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ind w:firstLine="0"/>
        <w:tabs>
          <w:tab w:val="left" w:pos="7642"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 </w:t>
      </w:r>
      <w:r>
        <w:rPr>
          <w:rFonts w:hint="eastAsia" w:ascii="宋体" w:hAnsi="宋体" w:cs="宋体"/>
          <w:b/>
          <w:color w:val="auto"/>
          <w:sz w:val="52"/>
          <w:szCs w:val="52"/>
          <w:highlight w:val="none"/>
        </w:rPr>
        <w:tab/>
      </w:r>
      <w:r/>
    </w:p>
    <w:p>
      <w:pPr>
        <w:pStyle w:val="1068"/>
        <w:ind w:firstLine="0"/>
        <w:jc w:val="center"/>
        <w:rPr>
          <w:rFonts w:ascii="宋体" w:hAnsi="宋体" w:cs="宋体"/>
          <w:b/>
          <w:color w:val="auto"/>
          <w:sz w:val="52"/>
          <w:szCs w:val="52"/>
          <w:highlight w:val="none"/>
        </w:rPr>
      </w:pPr>
      <w:r>
        <w:rPr>
          <w:rFonts w:ascii="宋体" w:hAnsi="宋体" w:cs="宋体"/>
          <w:b/>
          <w:color w:val="auto"/>
          <w:sz w:val="52"/>
          <w:szCs w:val="52"/>
          <w:highlight w:val="none"/>
        </w:rPr>
      </w:r>
      <w:r/>
    </w:p>
    <w:p>
      <w:pPr>
        <w:pStyle w:val="1068"/>
        <w:ind w:firstLine="0"/>
        <w:jc w:val="center"/>
        <w:rPr>
          <w:rFonts w:ascii="宋体" w:hAnsi="宋体" w:cs="宋体"/>
          <w:b/>
          <w:bCs/>
          <w:color w:val="auto"/>
          <w:sz w:val="84"/>
          <w:highlight w:val="none"/>
        </w:rPr>
      </w:pPr>
      <w:r>
        <w:rPr>
          <w:rFonts w:hint="eastAsia" w:ascii="宋体" w:hAnsi="宋体" w:cs="宋体"/>
          <w:b/>
          <w:bCs/>
          <w:color w:val="auto"/>
          <w:sz w:val="84"/>
          <w:highlight w:val="none"/>
        </w:rPr>
        <w:t xml:space="preserve"> 竞争性磋商文件</w:t>
      </w:r>
      <w:r/>
    </w:p>
    <w:p>
      <w:pPr>
        <w:pStyle w:val="1068"/>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68"/>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68"/>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68"/>
        <w:ind w:firstLine="0"/>
        <w:jc w:val="both"/>
        <w:rPr>
          <w:rFonts w:hint="eastAsia" w:ascii="宋体" w:hAnsi="宋体" w:cs="宋体" w:eastAsiaTheme="minorEastAsia"/>
          <w:b/>
          <w:bCs/>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b/>
          <w:bCs/>
          <w:color w:val="auto"/>
          <w:sz w:val="32"/>
          <w:highlight w:val="none"/>
          <w:lang w:eastAsia="zh-CN"/>
        </w:rPr>
        <w:t xml:space="preserve">盐渎实验学校教学楼屋顶渗漏维修工程</w:t>
      </w:r>
      <w:r/>
    </w:p>
    <w:p>
      <w:pPr>
        <w:pStyle w:val="1068"/>
        <w:ind w:firstLine="0"/>
        <w:jc w:val="both"/>
        <w:rPr>
          <w:rFonts w:hint="eastAsia" w:ascii="宋体" w:hAnsi="宋体" w:cs="宋体" w:eastAsiaTheme="minorEastAsia"/>
          <w:b/>
          <w:bCs/>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JSZC-320900-YCTX-C2026-0018</w:t>
      </w:r>
      <w:r/>
    </w:p>
    <w:p>
      <w:pPr>
        <w:pStyle w:val="1068"/>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8"/>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8"/>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8"/>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8"/>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8"/>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8"/>
        <w:ind w:firstLine="0"/>
        <w:jc w:val="center"/>
        <w:rPr>
          <w:rFonts w:hint="eastAsia" w:ascii="宋体" w:hAnsi="宋体" w:cs="宋体" w:eastAsiaTheme="minorEastAsia"/>
          <w:b/>
          <w:bCs/>
          <w:color w:val="auto"/>
          <w:sz w:val="32"/>
          <w:highlight w:val="none"/>
          <w:lang w:eastAsia="zh-CN"/>
        </w:rPr>
      </w:pPr>
      <w:r>
        <w:rPr>
          <w:rFonts w:hint="eastAsia" w:ascii="宋体" w:hAnsi="宋体" w:cs="宋体"/>
          <w:b/>
          <w:bCs/>
          <w:color w:val="auto"/>
          <w:sz w:val="32"/>
          <w:highlight w:val="none"/>
          <w:lang w:eastAsia="zh-CN"/>
        </w:rPr>
        <w:t xml:space="preserve">盐城市盐渎实验学校</w:t>
      </w:r>
      <w:r/>
    </w:p>
    <w:p>
      <w:pPr>
        <w:pStyle w:val="1068"/>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7</w:t>
      </w:r>
      <w:r>
        <w:rPr>
          <w:rFonts w:hint="eastAsia" w:ascii="宋体" w:hAnsi="宋体" w:cs="宋体"/>
          <w:b/>
          <w:bCs/>
          <w:color w:val="auto"/>
          <w:sz w:val="32"/>
          <w:highlight w:val="none"/>
        </w:rPr>
        <w:t xml:space="preserve">月</w:t>
      </w:r>
      <w:r/>
    </w:p>
    <w:p>
      <w:pPr>
        <w:pStyle w:val="1026"/>
        <w:jc w:val="center"/>
        <w:rPr>
          <w:b/>
          <w:bCs/>
          <w:color w:val="auto"/>
          <w:sz w:val="44"/>
          <w:szCs w:val="44"/>
          <w:highlight w:val="none"/>
          <w:lang w:val="zh-CN"/>
        </w:rPr>
        <w:sectPr>
          <w:footerReference w:type="first" r:id="rId9"/>
          <w:footnotePr/>
          <w:endnotePr/>
          <w:type w:val="nextPage"/>
          <w:pgSz w:w="11906" w:h="16838" w:orient="portrait"/>
          <w:pgMar w:top="1474" w:right="1474" w:bottom="1474" w:left="1474" w:header="851" w:footer="907" w:gutter="0"/>
          <w:pgNumType w:start="1"/>
          <w:cols w:num="1" w:sep="0" w:space="720" w:equalWidth="1"/>
          <w:docGrid w:linePitch="360"/>
          <w:titlePg/>
        </w:sectPr>
      </w:pPr>
      <w:r>
        <w:rPr>
          <w:b/>
          <w:bCs/>
          <w:color w:val="auto"/>
          <w:sz w:val="44"/>
          <w:szCs w:val="44"/>
          <w:highlight w:val="none"/>
          <w:lang w:val="zh-CN"/>
        </w:rPr>
      </w:r>
      <w:r/>
    </w:p>
    <w:p>
      <w:pPr>
        <w:pStyle w:val="1026"/>
        <w:jc w:val="center"/>
        <w:rPr>
          <w:b/>
          <w:bCs/>
          <w:color w:val="auto"/>
          <w:sz w:val="44"/>
          <w:szCs w:val="44"/>
          <w:highlight w:val="none"/>
          <w:lang w:val="zh-CN"/>
        </w:rPr>
      </w:pPr>
      <w:r>
        <w:rPr>
          <w:b/>
          <w:bCs/>
          <w:color w:val="auto"/>
          <w:sz w:val="44"/>
          <w:szCs w:val="44"/>
          <w:highlight w:val="none"/>
          <w:lang w:val="zh-CN"/>
        </w:rPr>
        <w:t xml:space="preserve">目录</w:t>
      </w:r>
      <w:r/>
    </w:p>
    <w:p>
      <w:pPr>
        <w:pStyle w:val="1026"/>
        <w:jc w:val="center"/>
        <w:rPr>
          <w:b/>
          <w:bCs/>
          <w:color w:val="auto"/>
          <w:sz w:val="44"/>
          <w:szCs w:val="44"/>
          <w:highlight w:val="none"/>
        </w:rPr>
      </w:pPr>
      <w:r>
        <w:rPr>
          <w:b/>
          <w:bCs/>
          <w:color w:val="auto"/>
          <w:sz w:val="44"/>
          <w:szCs w:val="44"/>
          <w:highlight w:val="none"/>
        </w:rPr>
      </w:r>
      <w:r/>
    </w:p>
    <w:p>
      <w:pPr>
        <w:pStyle w:val="80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TOC \o "1-3" \u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第一章 </w:t>
      </w:r>
      <w:r>
        <w:rPr>
          <w:rFonts w:hint="eastAsia" w:ascii="宋体" w:hAnsi="宋体"/>
          <w:color w:val="auto"/>
          <w:sz w:val="28"/>
          <w:szCs w:val="28"/>
          <w:highlight w:val="none"/>
          <w:lang w:val="en-US" w:eastAsia="zh-CN"/>
        </w:rPr>
        <w:t xml:space="preserve"> </w:t>
      </w:r>
      <w:r>
        <w:rPr>
          <w:rFonts w:ascii="宋体" w:hAnsi="宋体"/>
          <w:color w:val="auto"/>
          <w:sz w:val="28"/>
          <w:szCs w:val="28"/>
          <w:highlight w:val="none"/>
        </w:rPr>
        <w:t xml:space="preserve">竞争性磋商采购公告</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_Toc203032683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2</w:t>
      </w:r>
      <w:r>
        <w:rPr>
          <w:rFonts w:ascii="宋体" w:hAnsi="宋体"/>
          <w:color w:val="auto"/>
          <w:sz w:val="28"/>
          <w:szCs w:val="28"/>
          <w:highlight w:val="none"/>
        </w:rPr>
        <w:fldChar w:fldCharType="end"/>
      </w:r>
      <w:r/>
    </w:p>
    <w:p>
      <w:pPr>
        <w:pStyle w:val="80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第二章  磋商须知</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_Toc203032691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7</w:t>
      </w:r>
      <w:r>
        <w:rPr>
          <w:rFonts w:ascii="宋体" w:hAnsi="宋体"/>
          <w:color w:val="auto"/>
          <w:sz w:val="28"/>
          <w:szCs w:val="28"/>
          <w:highlight w:val="none"/>
        </w:rPr>
        <w:fldChar w:fldCharType="end"/>
      </w:r>
      <w:r/>
    </w:p>
    <w:p>
      <w:pPr>
        <w:pStyle w:val="80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第三章  合同条款及格式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_Toc203032699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20</w:t>
      </w:r>
      <w:r>
        <w:rPr>
          <w:rFonts w:ascii="宋体" w:hAnsi="宋体"/>
          <w:color w:val="auto"/>
          <w:sz w:val="28"/>
          <w:szCs w:val="28"/>
          <w:highlight w:val="none"/>
        </w:rPr>
        <w:fldChar w:fldCharType="end"/>
      </w:r>
      <w:r/>
    </w:p>
    <w:p>
      <w:pPr>
        <w:pStyle w:val="80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第四章  项目需求</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_Toc203032703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55</w:t>
      </w:r>
      <w:r>
        <w:rPr>
          <w:rFonts w:ascii="宋体" w:hAnsi="宋体"/>
          <w:color w:val="auto"/>
          <w:sz w:val="28"/>
          <w:szCs w:val="28"/>
          <w:highlight w:val="none"/>
        </w:rPr>
        <w:fldChar w:fldCharType="end"/>
      </w:r>
      <w:r/>
    </w:p>
    <w:p>
      <w:pPr>
        <w:pStyle w:val="80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第五章 </w:t>
      </w:r>
      <w:r>
        <w:rPr>
          <w:rFonts w:hint="eastAsia" w:ascii="宋体" w:hAnsi="宋体"/>
          <w:color w:val="auto"/>
          <w:sz w:val="28"/>
          <w:szCs w:val="28"/>
          <w:highlight w:val="none"/>
          <w:lang w:val="en-US" w:eastAsia="zh-CN"/>
        </w:rPr>
        <w:t xml:space="preserve"> </w:t>
      </w:r>
      <w:r>
        <w:rPr>
          <w:rFonts w:ascii="宋体" w:hAnsi="宋体"/>
          <w:color w:val="auto"/>
          <w:sz w:val="28"/>
          <w:szCs w:val="28"/>
          <w:highlight w:val="none"/>
        </w:rPr>
        <w:t xml:space="preserve">定标原则和评审标准</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_Toc203032706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66</w:t>
      </w:r>
      <w:r>
        <w:rPr>
          <w:rFonts w:ascii="宋体" w:hAnsi="宋体"/>
          <w:color w:val="auto"/>
          <w:sz w:val="28"/>
          <w:szCs w:val="28"/>
          <w:highlight w:val="none"/>
        </w:rPr>
        <w:fldChar w:fldCharType="end"/>
      </w:r>
      <w:r/>
    </w:p>
    <w:p>
      <w:pPr>
        <w:pStyle w:val="80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第六章  竞争性磋商响应文件格式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_Toc203032712 \h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70</w:t>
      </w:r>
      <w:r>
        <w:rPr>
          <w:rFonts w:ascii="宋体" w:hAnsi="宋体"/>
          <w:color w:val="auto"/>
          <w:sz w:val="28"/>
          <w:szCs w:val="28"/>
          <w:highlight w:val="none"/>
        </w:rPr>
        <w:fldChar w:fldCharType="end"/>
      </w:r>
      <w:r/>
    </w:p>
    <w:p>
      <w:pPr>
        <w:rPr>
          <w:b/>
          <w:bCs/>
          <w:color w:val="auto"/>
          <w:highlight w:val="none"/>
          <w:lang w:val="zh-CN"/>
        </w:rPr>
        <w:sectPr>
          <w:footerReference w:type="default" r:id="rId10"/>
          <w:footerReference w:type="first" r:id="rId11"/>
          <w:footnotePr/>
          <w:endnotePr/>
          <w:type w:val="nextPage"/>
          <w:pgSz w:w="11906" w:h="16838" w:orient="portrait"/>
          <w:pgMar w:top="1474" w:right="1474" w:bottom="1474" w:left="1474" w:header="851" w:footer="907" w:gutter="0"/>
          <w:pgNumType w:start="1"/>
          <w:cols w:num="1" w:sep="0" w:space="720" w:equalWidth="1"/>
          <w:docGrid w:linePitch="360"/>
          <w:titlePg/>
        </w:sectPr>
      </w:pPr>
      <w:r>
        <w:rPr>
          <w:rFonts w:ascii="宋体" w:hAnsi="宋体"/>
          <w:color w:val="auto"/>
          <w:sz w:val="28"/>
          <w:szCs w:val="28"/>
          <w:highlight w:val="none"/>
        </w:rPr>
        <w:fldChar w:fldCharType="end"/>
      </w:r>
      <w:r/>
    </w:p>
    <w:p>
      <w:pPr>
        <w:rPr>
          <w:color w:val="auto"/>
          <w:highlight w:val="none"/>
        </w:rPr>
      </w:pPr>
      <w:r>
        <w:rPr>
          <w:color w:val="auto"/>
          <w:highlight w:val="none"/>
        </w:rPr>
      </w:r>
      <w:r/>
    </w:p>
    <w:p>
      <w:pPr>
        <w:pStyle w:val="815"/>
        <w:rPr>
          <w:color w:val="auto"/>
          <w:sz w:val="36"/>
          <w:szCs w:val="36"/>
          <w:highlight w:val="none"/>
        </w:rPr>
      </w:pPr>
      <w:r/>
      <w:bookmarkStart w:id="0" w:name="_Toc203032683"/>
      <w:r>
        <w:rPr>
          <w:rFonts w:hint="eastAsia"/>
          <w:color w:val="auto"/>
          <w:sz w:val="36"/>
          <w:szCs w:val="36"/>
          <w:highlight w:val="none"/>
        </w:rPr>
        <w:t xml:space="preserve">第一章 竞争性磋商采购公告</w:t>
      </w:r>
      <w:bookmarkEnd w:id="0"/>
      <w:r/>
      <w:r/>
    </w:p>
    <w:p>
      <w:pPr>
        <w:rPr>
          <w:rFonts w:ascii="宋体" w:hAnsi="宋体" w:cs="宋体"/>
          <w:color w:val="auto"/>
          <w:highlight w:val="none"/>
        </w:rPr>
      </w:pPr>
      <w:r/>
      <w:bookmarkStart w:id="1" w:name="_Toc513029209"/>
      <w:r/>
      <w:bookmarkStart w:id="2" w:name="_Toc61149549"/>
      <w:r/>
      <w:bookmarkStart w:id="3" w:name="_Toc14577347"/>
      <w:r/>
      <w:r/>
    </w:p>
    <w:p>
      <w:pPr>
        <w:ind w:firstLine="480"/>
        <w:spacing w:line="50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cs="宋体"/>
          <w:color w:val="auto"/>
          <w:sz w:val="24"/>
          <w:highlight w:val="none"/>
        </w:rPr>
        <w:t xml:space="preserve">项目概况</w:t>
      </w:r>
      <w:r/>
    </w:p>
    <w:p>
      <w:pPr>
        <w:ind w:firstLine="480"/>
        <w:jc w:val="left"/>
        <w:spacing w:line="50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cs="宋体"/>
          <w:color w:val="auto"/>
          <w:sz w:val="24"/>
          <w:highlight w:val="none"/>
          <w:u w:val="single"/>
          <w:lang w:eastAsia="zh-CN"/>
        </w:rPr>
        <w:t xml:space="preserve">盐渎实验学校教学楼屋顶渗漏维修工程</w:t>
      </w:r>
      <w:r>
        <w:rPr>
          <w:rFonts w:hint="eastAsia" w:ascii="宋体" w:hAnsi="宋体" w:cs="宋体"/>
          <w:color w:val="auto"/>
          <w:sz w:val="24"/>
          <w:highlight w:val="none"/>
        </w:rPr>
        <w:t xml:space="preserve">（项目编号：</w:t>
      </w:r>
      <w:r>
        <w:rPr>
          <w:rFonts w:hint="eastAsia" w:ascii="仿宋" w:hAnsi="仿宋" w:eastAsia="仿宋"/>
          <w:color w:val="auto"/>
          <w:sz w:val="24"/>
          <w:highlight w:val="none"/>
          <w:lang w:eastAsia="zh-CN"/>
        </w:rPr>
        <w:t xml:space="preserve">JSZC-320900-YCTX-C2026-0018</w:t>
      </w:r>
      <w:r>
        <w:rPr>
          <w:rFonts w:hint="eastAsia" w:ascii="仿宋" w:hAnsi="仿宋" w:eastAsia="仿宋"/>
          <w:color w:val="auto"/>
          <w:sz w:val="24"/>
          <w:highlight w:val="none"/>
        </w:rPr>
        <w:t xml:space="preserve">） </w:t>
      </w:r>
      <w:r>
        <w:rPr>
          <w:rFonts w:hint="eastAsia" w:ascii="宋体" w:hAnsi="宋体"/>
          <w:color w:val="auto"/>
          <w:sz w:val="24"/>
          <w:highlight w:val="none"/>
        </w:rPr>
        <w:t xml:space="preserve">招标项目的潜在投标人应在“苏采云”系统内免费下载（投标人必须在苏采云系统中获取采购文件，方能参与政府采购项目）获取招标文件，并于</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rPr>
        <w:t xml:space="preserve">月</w:t>
      </w:r>
      <w:r>
        <w:rPr>
          <w:rFonts w:hint="eastAsia" w:ascii="宋体" w:hAnsi="宋体"/>
          <w:color w:val="auto"/>
          <w:sz w:val="24"/>
          <w:highlight w:val="none"/>
          <w:u w:val="single"/>
          <w:lang w:val="en-US" w:eastAsia="zh-CN"/>
        </w:rPr>
        <w:t xml:space="preserve">22</w:t>
      </w:r>
      <w:r>
        <w:rPr>
          <w:rFonts w:hint="eastAsia" w:ascii="宋体" w:hAnsi="宋体"/>
          <w:color w:val="auto"/>
          <w:sz w:val="24"/>
          <w:highlight w:val="none"/>
        </w:rPr>
        <w:t xml:space="preserve">日</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rPr>
        <w:t xml:space="preserve">点</w:t>
      </w:r>
      <w:r>
        <w:rPr>
          <w:rFonts w:hint="eastAsia" w:ascii="宋体" w:hAnsi="宋体"/>
          <w:color w:val="auto"/>
          <w:sz w:val="24"/>
          <w:highlight w:val="none"/>
          <w:u w:val="single"/>
        </w:rPr>
        <w:t xml:space="preserve">0</w:t>
      </w:r>
      <w:r>
        <w:rPr>
          <w:rFonts w:hint="eastAsia" w:ascii="宋体" w:hAnsi="宋体"/>
          <w:color w:val="auto"/>
          <w:sz w:val="24"/>
          <w:highlight w:val="none"/>
          <w:u w:val="single"/>
          <w:lang w:val="en-US" w:eastAsia="zh-CN"/>
        </w:rPr>
        <w:t xml:space="preserve">0</w:t>
      </w:r>
      <w:r>
        <w:rPr>
          <w:rFonts w:hint="eastAsia" w:ascii="宋体" w:hAnsi="宋体"/>
          <w:color w:val="auto"/>
          <w:sz w:val="24"/>
          <w:highlight w:val="none"/>
        </w:rPr>
        <w:t xml:space="preserve">分（北京时间）前递交投标文件。</w:t>
      </w:r>
      <w:r/>
    </w:p>
    <w:p>
      <w:pPr>
        <w:pStyle w:val="765"/>
        <w:jc w:val="both"/>
        <w:spacing w:before="0" w:after="0" w:line="520" w:lineRule="exact"/>
        <w:rPr>
          <w:rFonts w:ascii="宋体" w:hAnsi="宋体" w:eastAsia="宋体" w:cs="宋体"/>
          <w:bCs/>
          <w:color w:val="auto"/>
          <w:sz w:val="24"/>
          <w:szCs w:val="24"/>
          <w:highlight w:val="none"/>
        </w:rPr>
      </w:pPr>
      <w:r/>
      <w:bookmarkStart w:id="4" w:name="_Toc35393629"/>
      <w:r/>
      <w:bookmarkStart w:id="5" w:name="_Toc28359012"/>
      <w:r/>
      <w:bookmarkStart w:id="6" w:name="_Toc35393798"/>
      <w:r/>
      <w:bookmarkStart w:id="7" w:name="_Toc203032684"/>
      <w:r/>
      <w:bookmarkStart w:id="8" w:name="_Toc28359089"/>
      <w:r/>
      <w:bookmarkStart w:id="9" w:name="_Toc166856186"/>
      <w:r>
        <w:rPr>
          <w:rFonts w:hint="eastAsia" w:ascii="宋体" w:hAnsi="宋体" w:eastAsia="宋体" w:cs="宋体"/>
          <w:bCs/>
          <w:color w:val="auto"/>
          <w:sz w:val="24"/>
          <w:szCs w:val="24"/>
          <w:highlight w:val="none"/>
        </w:rPr>
        <w:t xml:space="preserve">一、项目基本情况</w:t>
      </w:r>
      <w:bookmarkEnd w:id="4"/>
      <w:r/>
      <w:bookmarkEnd w:id="5"/>
      <w:r/>
      <w:bookmarkEnd w:id="6"/>
      <w:r/>
      <w:bookmarkEnd w:id="7"/>
      <w:r/>
      <w:bookmarkEnd w:id="8"/>
      <w:r/>
      <w:bookmarkEnd w:id="9"/>
      <w:r/>
      <w:r/>
    </w:p>
    <w:p>
      <w:pPr>
        <w:ind w:firstLine="480"/>
        <w:spacing w:line="520" w:lineRule="exact"/>
        <w:rPr>
          <w:rFonts w:hint="eastAsia" w:ascii="宋体" w:hAnsi="宋体" w:eastAsia="宋体" w:cs="宋体"/>
          <w:color w:val="auto"/>
          <w:sz w:val="24"/>
          <w:highlight w:val="none"/>
          <w:lang w:eastAsia="zh-CN"/>
        </w:rPr>
      </w:pPr>
      <w:r/>
      <w:bookmarkStart w:id="10" w:name="_Toc35393799"/>
      <w:r/>
      <w:bookmarkStart w:id="11" w:name="_Toc28359090"/>
      <w:r/>
      <w:bookmarkStart w:id="12" w:name="_Toc166856187"/>
      <w:r/>
      <w:bookmarkStart w:id="13" w:name="_Toc28359013"/>
      <w:r/>
      <w:bookmarkStart w:id="14" w:name="_Toc35393630"/>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JSZC-320900-YCTX-C2026-0018</w:t>
      </w:r>
      <w:r/>
    </w:p>
    <w:p>
      <w:pPr>
        <w:ind w:firstLine="480"/>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盐渎实验学校教学楼屋顶渗漏维修工程</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4.预算金额：</w:t>
      </w:r>
      <w:r>
        <w:rPr>
          <w:rFonts w:hint="eastAsia" w:ascii="宋体" w:hAnsi="宋体" w:cs="宋体"/>
          <w:color w:val="auto"/>
          <w:sz w:val="24"/>
          <w:highlight w:val="none"/>
          <w:lang w:val="en-US" w:eastAsia="zh-CN"/>
        </w:rPr>
        <w:t xml:space="preserve">312.480000万元</w:t>
      </w:r>
      <w:r>
        <w:rPr>
          <w:rFonts w:hint="eastAsia" w:ascii="宋体" w:hAnsi="宋体" w:cs="宋体"/>
          <w:color w:val="auto"/>
          <w:sz w:val="24"/>
          <w:highlight w:val="none"/>
          <w:lang w:val="en-US" w:eastAsia="zh-CN"/>
        </w:rPr>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5.最高限价：</w:t>
      </w:r>
      <w:r>
        <w:rPr>
          <w:rFonts w:hint="eastAsia" w:ascii="宋体" w:hAnsi="宋体" w:cs="宋体"/>
          <w:color w:val="auto"/>
          <w:sz w:val="24"/>
          <w:highlight w:val="none"/>
          <w:lang w:val="en-US" w:eastAsia="zh-CN"/>
        </w:rPr>
        <w:t xml:space="preserve">296.15</w:t>
      </w:r>
      <w:r>
        <w:rPr>
          <w:rFonts w:hint="eastAsia" w:ascii="宋体" w:hAnsi="宋体" w:cs="宋体"/>
          <w:color w:val="auto"/>
          <w:sz w:val="24"/>
          <w:highlight w:val="none"/>
          <w:lang w:val="en-US" w:eastAsia="zh-CN"/>
        </w:rPr>
        <w:t xml:space="preserve">万元</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6.采购需求：</w:t>
      </w:r>
      <w:r>
        <w:rPr>
          <w:rFonts w:hint="eastAsia" w:ascii="宋体" w:hAnsi="宋体" w:cs="宋体"/>
          <w:color w:val="auto"/>
          <w:sz w:val="24"/>
          <w:highlight w:val="none"/>
        </w:rPr>
        <w:t xml:space="preserve">本工程建设地点位于</w:t>
      </w:r>
      <w:r>
        <w:rPr>
          <w:rFonts w:hint="eastAsia" w:ascii="宋体" w:hAnsi="宋体" w:cs="宋体"/>
          <w:color w:val="auto"/>
          <w:sz w:val="24"/>
          <w:highlight w:val="none"/>
          <w:lang w:eastAsia="zh-CN"/>
        </w:rPr>
        <w:t xml:space="preserve">盐城市盐渎实验学校</w:t>
      </w:r>
      <w:r>
        <w:rPr>
          <w:rFonts w:hint="eastAsia" w:ascii="宋体" w:hAnsi="宋体" w:cs="宋体"/>
          <w:color w:val="auto"/>
          <w:sz w:val="24"/>
          <w:highlight w:val="none"/>
        </w:rPr>
        <w:t xml:space="preserve">校园内。本次拟维修的屋顶面积约8128.26m2。主要施工内容为：拆</w:t>
      </w:r>
      <w:r>
        <w:rPr>
          <w:rFonts w:hint="eastAsia" w:ascii="宋体" w:hAnsi="宋体" w:cs="宋体"/>
          <w:color w:val="auto"/>
          <w:sz w:val="24"/>
          <w:highlight w:val="none"/>
        </w:rPr>
        <w:t xml:space="preserve">除原屋面保护层、找平层、保温层、防水层、找坡层、出气孔、屋面变形缝等，拆除至原屋面混凝土现浇面，混凝土屋面新做水泥砂浆找平层、1.5厚聚合物水泥防水涂料、3.0厚自粘聚合物改性沥青防水卷材两道、LC5.0轻集料混凝土找坡层、40厚挤塑聚苯板（XPS）保温层、50厚C30细石混凝土保护层；钢结构屋面整修，局部锈蚀彩钢板拆除更换，拆除更换原落水管，伸缩缝拆除更换、屋顶消火栓系统及屋顶强弱电检修及更换、厨房排烟系统及厨房水箱拆除重新安装等内容。具体详见本工程工程量清单，采购人保留对上述采购范围进行适当调整的权利。</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7.工期：</w:t>
      </w:r>
      <w:r>
        <w:rPr>
          <w:rFonts w:hint="eastAsia" w:ascii="宋体" w:hAnsi="宋体" w:cs="宋体"/>
          <w:color w:val="auto"/>
          <w:sz w:val="24"/>
          <w:highlight w:val="none"/>
          <w:lang w:val="en-US" w:eastAsia="zh-CN"/>
        </w:rPr>
        <w:t xml:space="preserve">30日历天</w:t>
      </w:r>
      <w:r>
        <w:rPr>
          <w:rFonts w:hint="eastAsia" w:ascii="宋体" w:hAnsi="宋体" w:cs="宋体"/>
          <w:color w:val="auto"/>
          <w:sz w:val="24"/>
          <w:highlight w:val="none"/>
        </w:rPr>
        <w:t xml:space="preserve">，具体开工日期以采购人的书面通知为准。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8.本项目不接受联合体投标。</w:t>
      </w:r>
      <w:r/>
    </w:p>
    <w:p>
      <w:pPr>
        <w:pStyle w:val="765"/>
        <w:jc w:val="both"/>
        <w:spacing w:before="0" w:after="0" w:line="520" w:lineRule="exact"/>
        <w:rPr>
          <w:rFonts w:ascii="宋体" w:hAnsi="宋体" w:eastAsia="宋体" w:cs="宋体"/>
          <w:bCs/>
          <w:color w:val="auto"/>
          <w:sz w:val="24"/>
          <w:szCs w:val="24"/>
          <w:highlight w:val="none"/>
        </w:rPr>
      </w:pPr>
      <w:r/>
      <w:bookmarkStart w:id="15" w:name="_Toc203032685"/>
      <w:r>
        <w:rPr>
          <w:rFonts w:hint="eastAsia" w:ascii="宋体" w:hAnsi="宋体" w:eastAsia="宋体" w:cs="宋体"/>
          <w:bCs/>
          <w:color w:val="auto"/>
          <w:sz w:val="24"/>
          <w:szCs w:val="24"/>
          <w:highlight w:val="none"/>
        </w:rPr>
        <w:t xml:space="preserve">二、申请人的资格要求：</w:t>
      </w:r>
      <w:bookmarkEnd w:id="10"/>
      <w:r/>
      <w:bookmarkEnd w:id="11"/>
      <w:r/>
      <w:bookmarkEnd w:id="12"/>
      <w:r/>
      <w:bookmarkEnd w:id="13"/>
      <w:r/>
      <w:bookmarkEnd w:id="14"/>
      <w:r/>
      <w:bookmarkEnd w:id="15"/>
      <w:r/>
      <w:r/>
    </w:p>
    <w:p>
      <w:pPr>
        <w:ind w:firstLine="480"/>
        <w:spacing w:line="520" w:lineRule="exact"/>
        <w:rPr>
          <w:rFonts w:ascii="宋体" w:hAnsi="宋体" w:cs="宋体"/>
          <w:color w:val="auto"/>
          <w:sz w:val="24"/>
          <w:highlight w:val="none"/>
        </w:rPr>
      </w:pPr>
      <w:r/>
      <w:bookmarkStart w:id="16" w:name="_Toc35393631"/>
      <w:r/>
      <w:bookmarkStart w:id="17" w:name="_Toc28359014"/>
      <w:r/>
      <w:bookmarkStart w:id="18" w:name="_Toc35393800"/>
      <w:r/>
      <w:bookmarkStart w:id="19" w:name="_Toc28359091"/>
      <w:r/>
      <w:bookmarkStart w:id="20" w:name="_Toc166856188"/>
      <w:r>
        <w:rPr>
          <w:rFonts w:hint="eastAsia" w:ascii="宋体" w:hAnsi="宋体" w:cs="宋体"/>
          <w:color w:val="auto"/>
          <w:sz w:val="24"/>
          <w:highlight w:val="none"/>
        </w:rPr>
        <w:t xml:space="preserve">（一）满足《中华人民共和国政府采购法》第二十二条规定：</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1.法人或者其他组织的营业执照等证明文件，自然人的身份证明。</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2.上一年度的财务状况报表（至少提供资产负债表、利润表、现金流量表，成立不满一年不需提供）。</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3.依法缴纳税收和社会保障资金的相关材料（依法享受缓缴、免缴税收、社会保障金的提供证明材料）。</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4.具备履行合同所必需的设备和专业技术能力的书面声明。</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5.参加政府采购活动前3年内在经营活动中没有重大违法记录的书面声明。</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7.未被“信用中国”网站（www.creditchina.gov.cn）列入失信被执行人、重大税收违法案件当事人名单、政府采购严重失信行为记录名单（响应文件中无需提供证明材料）。</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u w:val="single"/>
        </w:rPr>
        <w:t xml:space="preserve">本项目为专门面向中小企业采购的项目,供应商须为中小企业，不接受非中小型企业参与本项目投标。（具体中小企业划分标准详见《关于印发中小企业划型标准规定的通知》工信部联企业〔2011〕300号）文件。供应商投标时须提供《中小企业声明函》，否则按无效处理。采购标的的所属行业为建筑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i/>
          <w:iCs/>
          <w:color w:val="auto"/>
          <w:sz w:val="24"/>
          <w:highlight w:val="none"/>
          <w:u w:val="single"/>
        </w:rPr>
        <w:t xml:space="preserve">投标人资格要求：投标人须具有有效的建设行政主管部门核发的</w:t>
      </w:r>
      <w:r>
        <w:rPr>
          <w:rFonts w:hint="eastAsia" w:ascii="宋体" w:hAnsi="宋体" w:cs="宋体"/>
          <w:i/>
          <w:iCs/>
          <w:color w:val="auto"/>
          <w:sz w:val="24"/>
          <w:highlight w:val="none"/>
          <w:u w:val="single"/>
          <w:lang w:eastAsia="zh-CN"/>
        </w:rPr>
        <w:t xml:space="preserve">防水防腐保温工程专业承包</w:t>
      </w:r>
      <w:r>
        <w:rPr>
          <w:rFonts w:hint="eastAsia" w:ascii="宋体" w:hAnsi="宋体" w:cs="宋体"/>
          <w:i/>
          <w:iCs/>
          <w:color w:val="auto"/>
          <w:sz w:val="24"/>
          <w:highlight w:val="none"/>
          <w:u w:val="single"/>
          <w:lang w:val="en-US" w:eastAsia="zh-CN"/>
        </w:rPr>
        <w:t xml:space="preserve">二级</w:t>
      </w:r>
      <w:r>
        <w:rPr>
          <w:rFonts w:hint="eastAsia" w:ascii="宋体" w:hAnsi="宋体" w:cs="宋体"/>
          <w:i/>
          <w:iCs/>
          <w:color w:val="auto"/>
          <w:sz w:val="24"/>
          <w:highlight w:val="none"/>
          <w:u w:val="single"/>
        </w:rPr>
        <w:t xml:space="preserve">及以上资质</w:t>
      </w:r>
      <w:r>
        <w:rPr>
          <w:rFonts w:hint="eastAsia" w:ascii="宋体" w:hAnsi="宋体" w:cs="宋体"/>
          <w:i/>
          <w:iCs/>
          <w:color w:val="auto"/>
          <w:sz w:val="24"/>
          <w:highlight w:val="none"/>
          <w:u w:val="single"/>
        </w:rPr>
        <w:t xml:space="preserve">，并持有有效的行政主管部门核发的安全生产许可证。</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i/>
          <w:iCs/>
          <w:color w:val="auto"/>
          <w:sz w:val="24"/>
          <w:highlight w:val="none"/>
          <w:u w:val="single"/>
        </w:rPr>
        <w:t xml:space="preserve">项目负责人资格要求：项目负责人须是供应商本单位正式职工且无在建工程，具有有效的</w:t>
      </w:r>
      <w:r>
        <w:rPr>
          <w:rFonts w:hint="eastAsia" w:ascii="宋体" w:hAnsi="宋体" w:cs="宋体"/>
          <w:i/>
          <w:iCs/>
          <w:color w:val="auto"/>
          <w:sz w:val="24"/>
          <w:highlight w:val="none"/>
          <w:u w:val="single"/>
        </w:rPr>
        <w:t xml:space="preserve">建筑工程专业二级及以上</w:t>
      </w:r>
      <w:r>
        <w:rPr>
          <w:rFonts w:hint="eastAsia" w:ascii="宋体" w:hAnsi="宋体" w:cs="宋体"/>
          <w:i/>
          <w:iCs/>
          <w:color w:val="auto"/>
          <w:sz w:val="24"/>
          <w:highlight w:val="none"/>
          <w:u w:val="single"/>
        </w:rPr>
        <w:t xml:space="preserve">注册建造师资格，同时具有有效的行政主管部门核发的安全生产考核合格证（B类）。</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3.</w:t>
      </w:r>
      <w:r>
        <w:rPr>
          <w:rFonts w:hint="eastAsia" w:ascii="宋体" w:hAnsi="宋体" w:cs="宋体"/>
          <w:i/>
          <w:iCs/>
          <w:color w:val="auto"/>
          <w:sz w:val="24"/>
          <w:highlight w:val="none"/>
          <w:u w:val="single"/>
        </w:rPr>
        <w:t xml:space="preserve">项目负责人从本工程投标文件递交截止之日起必须满足下列条件：</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（1）项目负责人不得同时在两个或者两个以上单位受聘或者执业特指以下三</w:t>
      </w:r>
      <w:r>
        <w:rPr>
          <w:rFonts w:hint="eastAsia" w:ascii="宋体" w:hAnsi="宋体" w:cs="宋体"/>
          <w:i/>
          <w:iCs/>
          <w:color w:val="auto"/>
          <w:sz w:val="24"/>
          <w:highlight w:val="none"/>
          <w:u w:val="single"/>
        </w:rPr>
        <w:t xml:space="preserve">种情形：</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①同时在两个及以上单位签订劳动合同或缴纳社会保险；</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②将本人执（职）业资格证书同时注册在两个及以上单位；</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③项目负责人担任其他公司法定代表人（包括不限于投标人的子公司以及控股参股企业）、其他企业分公司负责人。（均以投标截止日注册登记为准）。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auto"/>
          <w:sz w:val="24"/>
          <w:highlight w:val="none"/>
        </w:rPr>
        <w:t xml:space="preserve">。</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项目负责人投标截止时不得同时在其他建设工程项目中担任现场管理人员、不在本项目兼任本项目的其它岗位。</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z w:val="24"/>
          <w:highlight w:val="none"/>
        </w:rPr>
        <w:t xml:space="preserve">。</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.投标人须保证项目负责人为本单位的正式职工，并提供从投标截止之日当月前1年内任意1个月在本单位缴纳养老保险的证明材料。（本项目不接受退休人员担任项目负责人）</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工程施工项目负责人部主要管理人员包括项目负责人、技术负责人、施工员、安全员、质量员。投标时，仅需提供项目负责人相关资料，其他现场人员在中标签订施工合同备案时按苏建建管〔2017〕236号文要求配备到位。</w:t>
      </w:r>
      <w:r/>
    </w:p>
    <w:p>
      <w:pPr>
        <w:pStyle w:val="765"/>
        <w:jc w:val="both"/>
        <w:spacing w:before="0" w:after="0" w:line="520" w:lineRule="exact"/>
        <w:rPr>
          <w:rFonts w:ascii="宋体" w:hAnsi="宋体" w:eastAsia="宋体" w:cs="宋体"/>
          <w:bCs/>
          <w:color w:val="auto"/>
          <w:sz w:val="24"/>
          <w:szCs w:val="24"/>
          <w:highlight w:val="none"/>
        </w:rPr>
      </w:pPr>
      <w:r/>
      <w:bookmarkStart w:id="21" w:name="_Toc203032686"/>
      <w:r>
        <w:rPr>
          <w:rFonts w:hint="eastAsia" w:ascii="宋体" w:hAnsi="宋体" w:eastAsia="宋体" w:cs="宋体"/>
          <w:bCs/>
          <w:color w:val="auto"/>
          <w:sz w:val="24"/>
          <w:szCs w:val="24"/>
          <w:highlight w:val="none"/>
        </w:rPr>
        <w:t xml:space="preserve">三、获取</w:t>
      </w:r>
      <w:bookmarkEnd w:id="16"/>
      <w:r/>
      <w:bookmarkEnd w:id="17"/>
      <w:r/>
      <w:bookmarkEnd w:id="18"/>
      <w:r/>
      <w:bookmarkEnd w:id="19"/>
      <w:r>
        <w:rPr>
          <w:rFonts w:hint="eastAsia" w:ascii="宋体" w:hAnsi="宋体" w:eastAsia="宋体" w:cs="宋体"/>
          <w:bCs/>
          <w:color w:val="auto"/>
          <w:sz w:val="24"/>
          <w:szCs w:val="24"/>
          <w:highlight w:val="none"/>
        </w:rPr>
        <w:t xml:space="preserve">磋商文件</w:t>
      </w:r>
      <w:bookmarkEnd w:id="20"/>
      <w:r/>
      <w:bookmarkEnd w:id="21"/>
      <w:r/>
      <w:r/>
    </w:p>
    <w:p>
      <w:pPr>
        <w:ind w:firstLine="480"/>
        <w:spacing w:line="520" w:lineRule="exact"/>
        <w:rPr>
          <w:rFonts w:ascii="宋体" w:hAnsi="宋体" w:cs="宋体"/>
          <w:color w:val="auto"/>
          <w:sz w:val="24"/>
          <w:highlight w:val="none"/>
        </w:rPr>
      </w:pPr>
      <w:r/>
      <w:bookmarkStart w:id="22" w:name="_Toc28359092"/>
      <w:r/>
      <w:bookmarkStart w:id="23" w:name="_Toc166856189"/>
      <w:r/>
      <w:bookmarkStart w:id="24" w:name="_Toc28359015"/>
      <w:r/>
      <w:bookmarkStart w:id="25" w:name="_Toc35393801"/>
      <w:r/>
      <w:bookmarkStart w:id="26" w:name="_Toc35393632"/>
      <w:r>
        <w:rPr>
          <w:rFonts w:hint="eastAsia" w:ascii="宋体" w:hAnsi="宋体" w:cs="宋体"/>
          <w:color w:val="auto"/>
          <w:sz w:val="24"/>
          <w:highlight w:val="none"/>
        </w:rPr>
        <w:t xml:space="preserve">时间：自招标文件公告发布之日起5个工作日；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地点：“苏采云”系统内免费下载（投标人必须在苏采云系统中获取采购文件，方能参与政府采购项目）；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方式：本项目采用网上注册登记方式；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售价：0.00元。</w:t>
      </w:r>
      <w:r/>
    </w:p>
    <w:p>
      <w:pPr>
        <w:pStyle w:val="765"/>
        <w:jc w:val="both"/>
        <w:spacing w:before="0" w:after="0" w:line="520" w:lineRule="exact"/>
        <w:rPr>
          <w:rFonts w:ascii="宋体" w:hAnsi="宋体" w:eastAsia="宋体" w:cs="宋体"/>
          <w:bCs/>
          <w:color w:val="auto"/>
          <w:sz w:val="24"/>
          <w:szCs w:val="24"/>
          <w:highlight w:val="none"/>
        </w:rPr>
      </w:pPr>
      <w:r/>
      <w:bookmarkStart w:id="27" w:name="_Toc203032687"/>
      <w:r>
        <w:rPr>
          <w:rFonts w:hint="eastAsia" w:ascii="宋体" w:hAnsi="宋体" w:eastAsia="宋体" w:cs="宋体"/>
          <w:bCs/>
          <w:color w:val="auto"/>
          <w:sz w:val="24"/>
          <w:szCs w:val="24"/>
          <w:highlight w:val="none"/>
        </w:rPr>
        <w:t xml:space="preserve">四、</w:t>
      </w:r>
      <w:bookmarkEnd w:id="22"/>
      <w:r/>
      <w:bookmarkEnd w:id="23"/>
      <w:r/>
      <w:bookmarkEnd w:id="24"/>
      <w:r/>
      <w:bookmarkEnd w:id="25"/>
      <w:r/>
      <w:bookmarkEnd w:id="26"/>
      <w:r/>
      <w:bookmarkEnd w:id="27"/>
      <w:r>
        <w:rPr>
          <w:rFonts w:hint="eastAsia" w:ascii="宋体" w:hAnsi="宋体" w:eastAsia="宋体" w:cs="宋体"/>
          <w:bCs/>
          <w:color w:val="auto"/>
          <w:sz w:val="24"/>
          <w:szCs w:val="24"/>
          <w:highlight w:val="none"/>
        </w:rPr>
        <w:t xml:space="preserve">响应文件提交</w:t>
      </w:r>
      <w:r/>
    </w:p>
    <w:p>
      <w:pPr>
        <w:ind w:firstLine="480"/>
        <w:spacing w:line="520" w:lineRule="exact"/>
        <w:rPr>
          <w:rFonts w:ascii="宋体" w:hAnsi="宋体" w:cs="宋体"/>
          <w:color w:val="auto"/>
          <w:sz w:val="24"/>
          <w:highlight w:val="none"/>
        </w:rPr>
      </w:pPr>
      <w:r/>
      <w:bookmarkStart w:id="28" w:name="_Toc35393633"/>
      <w:r/>
      <w:bookmarkStart w:id="29" w:name="_Toc166856190"/>
      <w:r/>
      <w:bookmarkStart w:id="30" w:name="_Toc28359016"/>
      <w:r/>
      <w:bookmarkStart w:id="31" w:name="_Toc28359093"/>
      <w:r/>
      <w:bookmarkStart w:id="32" w:name="_Toc35393802"/>
      <w:r/>
      <w:bookmarkStart w:id="33" w:name="_Toc28359094"/>
      <w:r/>
      <w:bookmarkStart w:id="34" w:name="_Toc28359017"/>
      <w:r/>
      <w:bookmarkStart w:id="35" w:name="_Toc35393634"/>
      <w:r/>
      <w:bookmarkStart w:id="36" w:name="_Toc35393803"/>
      <w:r>
        <w:rPr>
          <w:rFonts w:hint="eastAsia" w:ascii="宋体" w:hAnsi="宋体"/>
          <w:color w:val="auto"/>
          <w:sz w:val="24"/>
          <w:highlight w:val="none"/>
          <w:u w:val="none"/>
        </w:rPr>
        <w:t xml:space="preserve">202</w:t>
      </w:r>
      <w:r>
        <w:rPr>
          <w:rFonts w:hint="eastAsia" w:ascii="宋体" w:hAnsi="宋体"/>
          <w:color w:val="auto"/>
          <w:sz w:val="24"/>
          <w:highlight w:val="none"/>
          <w:u w:val="none"/>
          <w:lang w:val="en-US" w:eastAsia="zh-CN"/>
        </w:rPr>
        <w:t xml:space="preserve">6</w:t>
      </w:r>
      <w:r>
        <w:rPr>
          <w:rFonts w:hint="eastAsia" w:ascii="宋体" w:hAnsi="宋体"/>
          <w:color w:val="auto"/>
          <w:sz w:val="24"/>
          <w:highlight w:val="none"/>
          <w:u w:val="none"/>
        </w:rPr>
        <w:t xml:space="preserve">年</w:t>
      </w:r>
      <w:r>
        <w:rPr>
          <w:rFonts w:hint="eastAsia" w:ascii="宋体" w:hAnsi="宋体"/>
          <w:color w:val="auto"/>
          <w:sz w:val="24"/>
          <w:highlight w:val="none"/>
          <w:u w:val="none"/>
          <w:lang w:val="en-US" w:eastAsia="zh-CN"/>
        </w:rPr>
        <w:t xml:space="preserve">7</w:t>
      </w:r>
      <w:r>
        <w:rPr>
          <w:rFonts w:hint="eastAsia" w:ascii="宋体" w:hAnsi="宋体"/>
          <w:color w:val="auto"/>
          <w:sz w:val="24"/>
          <w:highlight w:val="none"/>
          <w:u w:val="none"/>
        </w:rPr>
        <w:t xml:space="preserve">月</w:t>
      </w:r>
      <w:r>
        <w:rPr>
          <w:rFonts w:hint="eastAsia" w:ascii="宋体" w:hAnsi="宋体"/>
          <w:color w:val="auto"/>
          <w:sz w:val="24"/>
          <w:highlight w:val="none"/>
          <w:u w:val="none"/>
          <w:lang w:val="en-US" w:eastAsia="zh-CN"/>
        </w:rPr>
        <w:t xml:space="preserve">22</w:t>
      </w:r>
      <w:r>
        <w:rPr>
          <w:rFonts w:hint="eastAsia" w:ascii="宋体" w:hAnsi="宋体"/>
          <w:color w:val="auto"/>
          <w:sz w:val="24"/>
          <w:highlight w:val="none"/>
          <w:u w:val="none"/>
        </w:rPr>
        <w:t xml:space="preserve">日</w:t>
      </w:r>
      <w:r>
        <w:rPr>
          <w:rFonts w:hint="eastAsia" w:ascii="宋体" w:hAnsi="宋体"/>
          <w:color w:val="auto"/>
          <w:sz w:val="24"/>
          <w:highlight w:val="none"/>
          <w:u w:val="none"/>
          <w:lang w:val="en-US" w:eastAsia="zh-CN"/>
        </w:rPr>
        <w:t xml:space="preserve">9</w:t>
      </w:r>
      <w:r>
        <w:rPr>
          <w:rFonts w:hint="eastAsia" w:ascii="宋体" w:hAnsi="宋体"/>
          <w:color w:val="auto"/>
          <w:sz w:val="24"/>
          <w:highlight w:val="none"/>
          <w:u w:val="none"/>
        </w:rPr>
        <w:t xml:space="preserve">点00分（北京时间）</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地点：“苏采云”政府采购交易系统网上开标大厅 </w:t>
      </w:r>
      <w:bookmarkEnd w:id="28"/>
      <w:r/>
      <w:bookmarkEnd w:id="29"/>
      <w:r/>
      <w:bookmarkEnd w:id="30"/>
      <w:r/>
      <w:bookmarkEnd w:id="31"/>
      <w:r/>
      <w:bookmarkEnd w:id="32"/>
      <w:r/>
      <w:r/>
    </w:p>
    <w:p>
      <w:pPr>
        <w:pStyle w:val="765"/>
        <w:jc w:val="both"/>
        <w:spacing w:before="0" w:after="0" w:line="520" w:lineRule="exact"/>
        <w:rPr>
          <w:rFonts w:hint="eastAsia" w:ascii="宋体" w:hAnsi="宋体" w:eastAsia="宋体" w:cs="宋体"/>
          <w:bCs/>
          <w:color w:val="auto"/>
          <w:sz w:val="24"/>
          <w:szCs w:val="24"/>
          <w:highlight w:val="none"/>
        </w:rPr>
      </w:pPr>
      <w:r/>
      <w:bookmarkStart w:id="37" w:name="_Toc203032688"/>
      <w:r/>
      <w:bookmarkStart w:id="38" w:name="_Toc166856191"/>
      <w:r>
        <w:rPr>
          <w:rFonts w:hint="eastAsia" w:ascii="宋体" w:hAnsi="宋体" w:eastAsia="宋体" w:cs="宋体"/>
          <w:bCs/>
          <w:color w:val="auto"/>
          <w:sz w:val="24"/>
          <w:szCs w:val="24"/>
          <w:highlight w:val="none"/>
        </w:rPr>
        <w:t xml:space="preserve">五、开启</w:t>
      </w:r>
      <w:r/>
    </w:p>
    <w:p>
      <w:pPr>
        <w:ind w:firstLine="480"/>
        <w:spacing w:line="520" w:lineRule="exact"/>
        <w:rPr>
          <w:rFonts w:hint="eastAsia" w:ascii="宋体" w:hAnsi="宋体" w:cs="宋体"/>
          <w:color w:val="auto"/>
          <w:sz w:val="24"/>
          <w:highlight w:val="none"/>
        </w:rPr>
      </w:pPr>
      <w:r>
        <w:rPr>
          <w:rFonts w:hint="eastAsia" w:ascii="宋体" w:hAnsi="宋体"/>
          <w:color w:val="auto"/>
          <w:sz w:val="24"/>
          <w:highlight w:val="none"/>
          <w:u w:val="none"/>
        </w:rPr>
        <w:t xml:space="preserve">202</w:t>
      </w:r>
      <w:r>
        <w:rPr>
          <w:rFonts w:hint="eastAsia" w:ascii="宋体" w:hAnsi="宋体"/>
          <w:color w:val="auto"/>
          <w:sz w:val="24"/>
          <w:highlight w:val="none"/>
          <w:u w:val="none"/>
          <w:lang w:val="en-US" w:eastAsia="zh-CN"/>
        </w:rPr>
        <w:t xml:space="preserve">6</w:t>
      </w:r>
      <w:r>
        <w:rPr>
          <w:rFonts w:hint="eastAsia" w:ascii="宋体" w:hAnsi="宋体"/>
          <w:color w:val="auto"/>
          <w:sz w:val="24"/>
          <w:highlight w:val="none"/>
          <w:u w:val="none"/>
        </w:rPr>
        <w:t xml:space="preserve">年</w:t>
      </w:r>
      <w:r>
        <w:rPr>
          <w:rFonts w:hint="eastAsia" w:ascii="宋体" w:hAnsi="宋体"/>
          <w:color w:val="auto"/>
          <w:sz w:val="24"/>
          <w:highlight w:val="none"/>
          <w:u w:val="none"/>
          <w:lang w:val="en-US" w:eastAsia="zh-CN"/>
        </w:rPr>
        <w:t xml:space="preserve">7</w:t>
      </w:r>
      <w:r>
        <w:rPr>
          <w:rFonts w:hint="eastAsia" w:ascii="宋体" w:hAnsi="宋体"/>
          <w:color w:val="auto"/>
          <w:sz w:val="24"/>
          <w:highlight w:val="none"/>
          <w:u w:val="none"/>
        </w:rPr>
        <w:t xml:space="preserve">月</w:t>
      </w:r>
      <w:r>
        <w:rPr>
          <w:rFonts w:hint="eastAsia" w:ascii="宋体" w:hAnsi="宋体"/>
          <w:color w:val="auto"/>
          <w:sz w:val="24"/>
          <w:highlight w:val="none"/>
          <w:u w:val="none"/>
          <w:lang w:val="en-US" w:eastAsia="zh-CN"/>
        </w:rPr>
        <w:t xml:space="preserve">22</w:t>
      </w:r>
      <w:r>
        <w:rPr>
          <w:rFonts w:hint="eastAsia" w:ascii="宋体" w:hAnsi="宋体"/>
          <w:color w:val="auto"/>
          <w:sz w:val="24"/>
          <w:highlight w:val="none"/>
          <w:u w:val="none"/>
        </w:rPr>
        <w:t xml:space="preserve">日</w:t>
      </w:r>
      <w:r>
        <w:rPr>
          <w:rFonts w:hint="eastAsia" w:ascii="宋体" w:hAnsi="宋体" w:cs="宋体"/>
          <w:color w:val="auto"/>
          <w:sz w:val="24"/>
          <w:highlight w:val="none"/>
        </w:rPr>
        <w:t xml:space="preserve">9点00分（北京时间）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地点：“苏采云”政府采购交易系统网上开标大厅</w:t>
      </w:r>
      <w:r/>
    </w:p>
    <w:p>
      <w:pPr>
        <w:pStyle w:val="765"/>
        <w:jc w:val="both"/>
        <w:spacing w:before="0" w:after="0" w:line="52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公告期限</w:t>
      </w:r>
      <w:bookmarkEnd w:id="33"/>
      <w:r/>
      <w:bookmarkEnd w:id="34"/>
      <w:r/>
      <w:bookmarkEnd w:id="35"/>
      <w:r/>
      <w:bookmarkEnd w:id="36"/>
      <w:r/>
      <w:bookmarkEnd w:id="37"/>
      <w:r/>
      <w:bookmarkEnd w:id="38"/>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pStyle w:val="765"/>
        <w:jc w:val="both"/>
        <w:spacing w:before="0" w:after="0" w:line="520" w:lineRule="exact"/>
        <w:rPr>
          <w:rFonts w:ascii="宋体" w:hAnsi="宋体" w:eastAsia="宋体" w:cs="宋体"/>
          <w:bCs/>
          <w:color w:val="auto"/>
          <w:sz w:val="24"/>
          <w:szCs w:val="24"/>
          <w:highlight w:val="none"/>
        </w:rPr>
      </w:pPr>
      <w:r/>
      <w:bookmarkStart w:id="39" w:name="_Toc166856192"/>
      <w:r/>
      <w:bookmarkStart w:id="40" w:name="_Toc35393635"/>
      <w:r/>
      <w:bookmarkStart w:id="41" w:name="_Toc203032689"/>
      <w:r/>
      <w:bookmarkStart w:id="42" w:name="_Toc35393804"/>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、其他补充事宜</w:t>
      </w:r>
      <w:bookmarkEnd w:id="39"/>
      <w:r/>
      <w:bookmarkEnd w:id="40"/>
      <w:r/>
      <w:bookmarkEnd w:id="41"/>
      <w:r/>
      <w:bookmarkEnd w:id="42"/>
      <w:r/>
      <w:r/>
    </w:p>
    <w:p>
      <w:pPr>
        <w:ind w:firstLine="480"/>
        <w:spacing w:line="520" w:lineRule="exact"/>
        <w:rPr>
          <w:rFonts w:hint="eastAsia" w:ascii="宋体" w:hAnsi="宋体" w:cs="宋体"/>
          <w:color w:val="auto"/>
          <w:sz w:val="24"/>
          <w:highlight w:val="none"/>
        </w:rPr>
      </w:pPr>
      <w:r/>
      <w:bookmarkStart w:id="43" w:name="_Toc166856193"/>
      <w:r/>
      <w:bookmarkStart w:id="44" w:name="_Toc35393805"/>
      <w:r/>
      <w:bookmarkStart w:id="45" w:name="_Toc35393636"/>
      <w:r/>
      <w:bookmarkStart w:id="46" w:name="_Toc28359095"/>
      <w:r/>
      <w:bookmarkStart w:id="47" w:name="_Toc28359018"/>
      <w:r>
        <w:rPr>
          <w:rFonts w:hint="eastAsia" w:ascii="宋体" w:hAnsi="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 潜在供应商访问电子招标响应交易平台的网络地址和方法：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2.2潜在投标人访问“苏采云”系统方法：江苏省政府采购网首页-“苏采云”链接。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2.3采购文件（后缀名为“.kedt”）、供应商操作手册及政府采购客户端 工具可通过“苏采云”系统相应链接进行下载。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2.4采购代理机构将数据电文形式的采购文件加载至“苏采云”系统，供潜在供应商下载或者查阅。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2.5请潜在投标单位提前安装相应的控件（详见《“苏采云”系统供应商操作手册》）并使用谷歌浏览器登录“苏采云”系统参与不见面开评标。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如潜在投标人未按上述要求操作，将自行承担所产生的风险。</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3.有关本次磋商的事项若存在变动或修改，敬请及时关注采购人在“中国政府采购网”“江苏政府采购网”“盐城市政府采购网”发布的更正公告。</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4.本次磋商不收取磋商保证金。</w:t>
      </w:r>
      <w:r/>
    </w:p>
    <w:p>
      <w:pPr>
        <w:pStyle w:val="765"/>
        <w:jc w:val="both"/>
        <w:spacing w:before="0" w:after="0" w:line="520" w:lineRule="exact"/>
        <w:rPr>
          <w:rFonts w:ascii="宋体" w:hAnsi="宋体" w:eastAsia="宋体" w:cs="宋体"/>
          <w:bCs/>
          <w:color w:val="auto"/>
          <w:sz w:val="24"/>
          <w:szCs w:val="24"/>
          <w:highlight w:val="none"/>
        </w:rPr>
      </w:pPr>
      <w:r/>
      <w:bookmarkStart w:id="48" w:name="_Toc203032690"/>
      <w:r>
        <w:rPr>
          <w:rFonts w:hint="eastAsia" w:ascii="宋体" w:hAnsi="宋体" w:eastAsia="宋体" w:cs="宋体"/>
          <w:bCs/>
          <w:color w:val="auto"/>
          <w:sz w:val="24"/>
          <w:szCs w:val="24"/>
          <w:highlight w:val="none"/>
        </w:rPr>
        <w:t xml:space="preserve">七、凡对本次采购提出询问，请按以下方式联系。</w:t>
      </w:r>
      <w:bookmarkEnd w:id="43"/>
      <w:r/>
      <w:bookmarkEnd w:id="44"/>
      <w:r/>
      <w:bookmarkEnd w:id="45"/>
      <w:r/>
      <w:bookmarkEnd w:id="46"/>
      <w:r/>
      <w:bookmarkEnd w:id="47"/>
      <w:r/>
      <w:bookmarkEnd w:id="48"/>
      <w:r/>
      <w:r/>
    </w:p>
    <w:p>
      <w:pPr>
        <w:ind w:firstLine="480"/>
        <w:spacing w:line="520" w:lineRule="exact"/>
        <w:rPr>
          <w:rFonts w:ascii="宋体" w:hAnsi="宋体" w:cs="宋体"/>
          <w:color w:val="auto"/>
          <w:sz w:val="24"/>
          <w:highlight w:val="none"/>
        </w:rPr>
      </w:pPr>
      <w:r/>
      <w:bookmarkStart w:id="49" w:name="_Toc35393637"/>
      <w:r/>
      <w:bookmarkStart w:id="50" w:name="_Toc28359019"/>
      <w:r/>
      <w:bookmarkStart w:id="51" w:name="_Toc35393806"/>
      <w:r/>
      <w:bookmarkStart w:id="52" w:name="_Toc28359096"/>
      <w:r>
        <w:rPr>
          <w:rFonts w:hint="eastAsia" w:ascii="宋体" w:hAnsi="宋体" w:cs="宋体"/>
          <w:color w:val="auto"/>
          <w:sz w:val="24"/>
          <w:highlight w:val="none"/>
        </w:rPr>
        <w:t xml:space="preserve">1.采购人信息</w:t>
      </w:r>
      <w:bookmarkEnd w:id="49"/>
      <w:r/>
      <w:bookmarkEnd w:id="50"/>
      <w:r/>
      <w:bookmarkEnd w:id="51"/>
      <w:r/>
      <w:bookmarkEnd w:id="52"/>
      <w:r/>
      <w:bookmarkStart w:id="53" w:name="_Toc28359020"/>
      <w:r/>
      <w:bookmarkEnd w:id="53"/>
      <w:r/>
      <w:bookmarkStart w:id="54" w:name="_Toc28359097"/>
      <w:r/>
      <w:bookmarkEnd w:id="54"/>
      <w:r/>
      <w:bookmarkStart w:id="55" w:name="_Toc35393807"/>
      <w:r/>
      <w:bookmarkEnd w:id="55"/>
      <w:r/>
      <w:bookmarkStart w:id="56" w:name="_Toc35393638"/>
      <w:r/>
      <w:bookmarkEnd w:id="56"/>
      <w:r/>
      <w:r/>
    </w:p>
    <w:p>
      <w:pPr>
        <w:ind w:firstLine="480"/>
        <w:spacing w:line="520" w:lineRule="exact"/>
        <w:rPr>
          <w:rFonts w:hint="eastAsia" w:ascii="宋体" w:hAnsi="宋体" w:eastAsia="宋体" w:cs="宋体"/>
          <w:color w:val="auto"/>
          <w:sz w:val="24"/>
          <w:highlight w:val="none"/>
          <w:lang w:eastAsia="zh-CN"/>
        </w:rPr>
      </w:pPr>
      <w:r/>
      <w:bookmarkStart w:id="57" w:name="_Toc35393808"/>
      <w:r/>
      <w:bookmarkStart w:id="58" w:name="_Toc28359098"/>
      <w:r/>
      <w:bookmarkStart w:id="59" w:name="_Toc28359021"/>
      <w:r/>
      <w:bookmarkStart w:id="60" w:name="_Toc35393639"/>
      <w:r>
        <w:rPr>
          <w:rFonts w:hint="eastAsia" w:ascii="宋体" w:hAnsi="宋体" w:cs="宋体"/>
          <w:color w:val="auto"/>
          <w:sz w:val="24"/>
          <w:highlight w:val="none"/>
        </w:rPr>
        <w:t xml:space="preserve">名</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称：</w:t>
      </w:r>
      <w:r>
        <w:rPr>
          <w:rFonts w:hint="eastAsia" w:ascii="宋体" w:hAnsi="宋体" w:cs="宋体"/>
          <w:color w:val="auto"/>
          <w:sz w:val="24"/>
          <w:highlight w:val="none"/>
          <w:lang w:eastAsia="zh-CN"/>
        </w:rPr>
        <w:t xml:space="preserve">盐城市盐渎实验学校</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址：</w:t>
      </w:r>
      <w:r>
        <w:rPr>
          <w:rFonts w:hint="eastAsia" w:ascii="宋体" w:hAnsi="宋体" w:cs="宋体"/>
          <w:color w:val="auto"/>
          <w:sz w:val="24"/>
          <w:szCs w:val="20"/>
          <w:highlight w:val="none"/>
          <w:lang w:eastAsia="zh-CN"/>
        </w:rPr>
        <w:t xml:space="preserve">江苏省盐城市海潮路</w:t>
      </w:r>
      <w:r>
        <w:rPr>
          <w:rFonts w:hint="eastAsia" w:ascii="宋体" w:hAnsi="宋体" w:cs="宋体"/>
          <w:color w:val="auto"/>
          <w:sz w:val="24"/>
          <w:szCs w:val="20"/>
          <w:highlight w:val="none"/>
          <w:lang w:val="en-US" w:eastAsia="zh-CN"/>
        </w:rPr>
        <w:t xml:space="preserve">10</w:t>
      </w:r>
      <w:r>
        <w:rPr>
          <w:rFonts w:hint="eastAsia" w:ascii="宋体" w:hAnsi="宋体" w:cs="宋体"/>
          <w:color w:val="auto"/>
          <w:sz w:val="24"/>
          <w:szCs w:val="20"/>
          <w:highlight w:val="none"/>
          <w:lang w:eastAsia="zh-CN"/>
        </w:rPr>
        <w:t xml:space="preserve">号</w:t>
      </w:r>
      <w:r/>
    </w:p>
    <w:p>
      <w:pPr>
        <w:ind w:firstLine="480"/>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系</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人：</w:t>
      </w:r>
      <w:r>
        <w:rPr>
          <w:rFonts w:hint="eastAsia" w:ascii="宋体" w:hAnsi="宋体" w:cs="宋体"/>
          <w:color w:val="auto"/>
          <w:sz w:val="24"/>
          <w:highlight w:val="none"/>
          <w:lang w:val="en-US" w:eastAsia="zh-CN"/>
        </w:rPr>
        <w:t xml:space="preserve">姚老师</w:t>
      </w:r>
      <w:r/>
    </w:p>
    <w:p>
      <w:pPr>
        <w:ind w:firstLine="480"/>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15895182128</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57"/>
      <w:r/>
      <w:bookmarkEnd w:id="58"/>
      <w:r/>
      <w:bookmarkEnd w:id="59"/>
      <w:r/>
      <w:bookmarkEnd w:id="60"/>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称：</w:t>
      </w:r>
      <w:r>
        <w:rPr>
          <w:rFonts w:hint="eastAsia" w:ascii="宋体" w:hAnsi="宋体" w:cs="宋体"/>
          <w:color w:val="auto"/>
          <w:sz w:val="24"/>
          <w:highlight w:val="none"/>
          <w:lang w:eastAsia="zh-CN"/>
        </w:rPr>
        <w:t xml:space="preserve">江苏天翔工程项目管理有限公司</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址：盐城市亭湖区长亭路3号长亭商厦1号楼南楼5楼（东电梯）</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联</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系</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人：</w:t>
      </w:r>
      <w:r>
        <w:rPr>
          <w:rFonts w:hint="eastAsia" w:cs="宋体"/>
          <w:color w:val="auto"/>
          <w:sz w:val="24"/>
          <w:szCs w:val="20"/>
          <w:highlight w:val="none"/>
          <w:lang w:val="en-US" w:eastAsia="zh-CN"/>
        </w:rPr>
        <w:t xml:space="preserve">陈工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13961998418</w:t>
      </w:r>
      <w:r/>
    </w:p>
    <w:p>
      <w:pPr>
        <w:jc w:val="left"/>
        <w:widowControl/>
        <w:rPr>
          <w:rFonts w:ascii="Cambria" w:hAnsi="Cambria"/>
          <w:b/>
          <w:bCs/>
          <w:color w:val="auto"/>
          <w:sz w:val="36"/>
          <w:szCs w:val="36"/>
          <w:highlight w:val="none"/>
        </w:rPr>
      </w:pPr>
      <w:r>
        <w:rPr>
          <w:color w:val="auto"/>
          <w:sz w:val="36"/>
          <w:szCs w:val="36"/>
          <w:highlight w:val="none"/>
        </w:rPr>
        <w:br w:type="page" w:clear="all"/>
      </w:r>
      <w:r/>
    </w:p>
    <w:p>
      <w:pPr>
        <w:pStyle w:val="815"/>
        <w:rPr>
          <w:color w:val="auto"/>
          <w:sz w:val="36"/>
          <w:szCs w:val="36"/>
          <w:highlight w:val="none"/>
        </w:rPr>
      </w:pPr>
      <w:r/>
      <w:bookmarkStart w:id="61" w:name="_Toc203032691"/>
      <w:r>
        <w:rPr>
          <w:rFonts w:hint="eastAsia"/>
          <w:color w:val="auto"/>
          <w:sz w:val="36"/>
          <w:szCs w:val="36"/>
          <w:highlight w:val="none"/>
        </w:rPr>
        <w:t xml:space="preserve">第二章  磋商须知</w:t>
      </w:r>
      <w:bookmarkEnd w:id="1"/>
      <w:r/>
      <w:bookmarkEnd w:id="2"/>
      <w:r/>
      <w:bookmarkEnd w:id="3"/>
      <w:r/>
      <w:bookmarkEnd w:id="61"/>
      <w:r/>
      <w:r/>
    </w:p>
    <w:p>
      <w:pPr>
        <w:ind w:firstLine="2040"/>
        <w:spacing w:after="143" w:line="360" w:lineRule="auto"/>
        <w:rPr>
          <w:rFonts w:ascii="宋体" w:hAnsi="宋体"/>
          <w:b/>
          <w:bCs/>
          <w:color w:val="auto"/>
          <w:sz w:val="24"/>
          <w:highlight w:val="none"/>
        </w:rPr>
      </w:pPr>
      <w:r/>
      <w:bookmarkStart w:id="62" w:name="_Toc16938553"/>
      <w:r/>
      <w:bookmarkStart w:id="63" w:name="_Toc513029237"/>
      <w:r/>
      <w:bookmarkStart w:id="64" w:name="_Toc20823309"/>
      <w:r>
        <w:rPr>
          <w:rFonts w:hint="eastAsia" w:ascii="宋体" w:hAnsi="宋体"/>
          <w:bCs/>
          <w:color w:val="auto"/>
          <w:sz w:val="24"/>
          <w:highlight w:val="none"/>
        </w:rPr>
        <w:t xml:space="preserve">（参加竞争性磋商的供应商以下简称“磋商供应商”）</w:t>
      </w:r>
      <w:r/>
    </w:p>
    <w:p>
      <w:pPr>
        <w:ind w:firstLine="482"/>
        <w:spacing w:line="440" w:lineRule="exact"/>
        <w:tabs>
          <w:tab w:val="left" w:pos="900" w:leader="none"/>
        </w:tabs>
        <w:rPr>
          <w:rFonts w:ascii="宋体" w:hAnsi="宋体"/>
          <w:color w:val="auto"/>
          <w:sz w:val="24"/>
          <w:highlight w:val="none"/>
        </w:rPr>
        <w:outlineLvl w:val="1"/>
      </w:pPr>
      <w:r/>
      <w:bookmarkStart w:id="65" w:name="_Toc203032692"/>
      <w:r>
        <w:rPr>
          <w:rFonts w:hint="eastAsia" w:ascii="宋体" w:hAnsi="宋体"/>
          <w:b/>
          <w:color w:val="auto"/>
          <w:sz w:val="24"/>
          <w:highlight w:val="none"/>
        </w:rPr>
        <w:t xml:space="preserve">一、总则</w:t>
      </w:r>
      <w:bookmarkEnd w:id="65"/>
      <w:r/>
      <w:r/>
    </w:p>
    <w:p>
      <w:pPr>
        <w:ind w:firstLine="480"/>
        <w:spacing w:line="440" w:lineRule="exact"/>
        <w:rPr>
          <w:rFonts w:ascii="宋体" w:hAnsi="宋体"/>
          <w:color w:val="auto"/>
          <w:sz w:val="24"/>
          <w:highlight w:val="none"/>
        </w:rPr>
      </w:pPr>
      <w:r/>
      <w:bookmarkStart w:id="66" w:name="_Hlt26668969"/>
      <w:r/>
      <w:bookmarkEnd w:id="66"/>
      <w:r/>
      <w:bookmarkStart w:id="67" w:name="_Hlt26670345"/>
      <w:r/>
      <w:bookmarkEnd w:id="67"/>
      <w:r/>
      <w:bookmarkStart w:id="68" w:name="_Hlt26954828"/>
      <w:r/>
      <w:bookmarkEnd w:id="68"/>
      <w:r/>
      <w:bookmarkStart w:id="69" w:name="_Hlt26670354"/>
      <w:r/>
      <w:bookmarkEnd w:id="69"/>
      <w:r/>
      <w:bookmarkStart w:id="70" w:name="_Hlt26670348"/>
      <w:r/>
      <w:bookmarkEnd w:id="70"/>
      <w:r/>
      <w:bookmarkStart w:id="71" w:name="_Hlt26954832"/>
      <w:r/>
      <w:bookmarkEnd w:id="71"/>
      <w:r/>
      <w:bookmarkStart w:id="72" w:name="_Hlt26954830"/>
      <w:r/>
      <w:bookmarkEnd w:id="72"/>
      <w:r/>
      <w:bookmarkStart w:id="73" w:name="_Toc462564072"/>
      <w:r/>
      <w:bookmarkStart w:id="74" w:name="_Toc14577351"/>
      <w:r/>
      <w:bookmarkStart w:id="75" w:name="_Toc61149553"/>
      <w:r/>
      <w:bookmarkStart w:id="76" w:name="_Toc513029213"/>
      <w:r>
        <w:rPr>
          <w:rFonts w:hint="eastAsia" w:ascii="宋体" w:hAnsi="宋体"/>
          <w:color w:val="auto"/>
          <w:sz w:val="24"/>
          <w:highlight w:val="none"/>
        </w:rPr>
        <w:t xml:space="preserve">1.采购方式</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1.1本次政府采购活动采取竞争性磋商(以下简称磋商)方式，本磋商文件仅适用于磋商公告中所述项目。</w:t>
      </w:r>
      <w:r/>
    </w:p>
    <w:p>
      <w:pPr>
        <w:ind w:firstLine="480"/>
        <w:spacing w:line="440" w:lineRule="exact"/>
        <w:rPr>
          <w:rFonts w:ascii="宋体" w:hAnsi="宋体"/>
          <w:color w:val="auto"/>
          <w:sz w:val="24"/>
          <w:highlight w:val="none"/>
        </w:rPr>
      </w:pPr>
      <w:r/>
      <w:bookmarkStart w:id="77" w:name="_Toc20823277"/>
      <w:r/>
      <w:bookmarkStart w:id="78" w:name="_Toc16938521"/>
      <w:r/>
      <w:bookmarkStart w:id="79" w:name="_Toc513029205"/>
      <w:r>
        <w:rPr>
          <w:rFonts w:hint="eastAsia" w:ascii="宋体" w:hAnsi="宋体"/>
          <w:color w:val="auto"/>
          <w:sz w:val="24"/>
          <w:highlight w:val="none"/>
        </w:rPr>
        <w:t xml:space="preserve">2.合格的</w:t>
      </w:r>
      <w:bookmarkEnd w:id="77"/>
      <w:r/>
      <w:bookmarkEnd w:id="78"/>
      <w:r/>
      <w:bookmarkEnd w:id="79"/>
      <w:r>
        <w:rPr>
          <w:rFonts w:hint="eastAsia" w:ascii="宋体" w:hAnsi="宋体"/>
          <w:color w:val="auto"/>
          <w:sz w:val="24"/>
          <w:highlight w:val="none"/>
        </w:rPr>
        <w:t xml:space="preserve">供应商</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2.1满足磋商公告中供应商资格要求的规定。</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2.2 满足本磋商文件实质性要求和条件的规定。</w:t>
      </w:r>
      <w:r/>
    </w:p>
    <w:p>
      <w:pPr>
        <w:ind w:firstLine="480"/>
        <w:spacing w:line="440" w:lineRule="exact"/>
        <w:rPr>
          <w:rFonts w:ascii="宋体" w:hAnsi="宋体"/>
          <w:color w:val="auto"/>
          <w:sz w:val="24"/>
          <w:highlight w:val="none"/>
        </w:rPr>
      </w:pPr>
      <w:r/>
      <w:bookmarkStart w:id="80" w:name="_Toc20823278"/>
      <w:r/>
      <w:bookmarkStart w:id="81" w:name="_Toc16938522"/>
      <w:r/>
      <w:bookmarkStart w:id="82" w:name="_Toc513029206"/>
      <w:r>
        <w:rPr>
          <w:rFonts w:hint="eastAsia" w:ascii="宋体" w:hAnsi="宋体"/>
          <w:color w:val="auto"/>
          <w:sz w:val="24"/>
          <w:highlight w:val="none"/>
        </w:rPr>
        <w:t xml:space="preserve">3.适用法律</w:t>
      </w:r>
      <w:bookmarkEnd w:id="80"/>
      <w:r/>
      <w:bookmarkEnd w:id="81"/>
      <w:r/>
      <w:bookmarkEnd w:id="82"/>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3.1 本次磋商及由此产生的合同受中华人民共和国有关的法律法规制约和保护。</w:t>
      </w:r>
      <w:r/>
    </w:p>
    <w:p>
      <w:pPr>
        <w:ind w:firstLine="480"/>
        <w:spacing w:line="440" w:lineRule="exact"/>
        <w:rPr>
          <w:rFonts w:ascii="宋体" w:hAnsi="宋体"/>
          <w:color w:val="auto"/>
          <w:sz w:val="24"/>
          <w:highlight w:val="none"/>
        </w:rPr>
      </w:pPr>
      <w:r/>
      <w:bookmarkStart w:id="83" w:name="_Toc16938523"/>
      <w:r/>
      <w:bookmarkStart w:id="84" w:name="_Toc462564067"/>
      <w:r/>
      <w:bookmarkStart w:id="85" w:name="_Toc513029207"/>
      <w:r/>
      <w:bookmarkStart w:id="86" w:name="_Toc20823279"/>
      <w:r>
        <w:rPr>
          <w:rFonts w:hint="eastAsia" w:ascii="宋体" w:hAnsi="宋体"/>
          <w:color w:val="auto"/>
          <w:sz w:val="24"/>
          <w:highlight w:val="none"/>
        </w:rPr>
        <w:t xml:space="preserve">4.磋商费用</w:t>
      </w:r>
      <w:bookmarkEnd w:id="83"/>
      <w:r/>
      <w:bookmarkEnd w:id="84"/>
      <w:r/>
      <w:bookmarkEnd w:id="85"/>
      <w:r/>
      <w:bookmarkEnd w:id="86"/>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宋体" w:hAnsi="宋体"/>
          <w:color w:val="auto"/>
          <w:sz w:val="24"/>
          <w:highlight w:val="none"/>
        </w:rPr>
      </w:pPr>
      <w:r>
        <w:rPr>
          <w:rFonts w:hint="eastAsia" w:ascii="宋体" w:hAnsi="宋体" w:cs="宋体"/>
          <w:color w:val="auto"/>
          <w:sz w:val="24"/>
          <w:highlight w:val="none"/>
        </w:rPr>
        <w:t xml:space="preserve">4.2本项目</w:t>
      </w:r>
      <w:r>
        <w:rPr>
          <w:rFonts w:hint="eastAsia" w:ascii="宋体" w:hAnsi="宋体"/>
          <w:color w:val="auto"/>
          <w:sz w:val="24"/>
          <w:highlight w:val="none"/>
        </w:rPr>
        <w:t xml:space="preserve">磋商服务费</w:t>
      </w:r>
      <w:r>
        <w:rPr>
          <w:rFonts w:hint="eastAsia" w:ascii="宋体" w:hAnsi="宋体"/>
          <w:bCs/>
          <w:color w:val="auto"/>
          <w:sz w:val="24"/>
          <w:highlight w:val="none"/>
          <w:u w:val="none"/>
        </w:rPr>
        <w:t xml:space="preserve">按</w:t>
      </w:r>
      <w:r>
        <w:rPr>
          <w:rFonts w:hint="eastAsia" w:ascii="宋体" w:hAnsi="宋体" w:cs="宋体"/>
          <w:color w:val="auto"/>
          <w:sz w:val="24"/>
          <w:highlight w:val="none"/>
          <w:u w:val="none"/>
        </w:rPr>
        <w:t xml:space="preserve">苏招协【2022】002号文件规定费用标准的</w:t>
      </w:r>
      <w:r>
        <w:rPr>
          <w:rFonts w:hint="eastAsia" w:ascii="宋体" w:hAnsi="宋体" w:cs="宋体"/>
          <w:color w:val="auto"/>
          <w:sz w:val="24"/>
          <w:highlight w:val="none"/>
          <w:u w:val="none"/>
          <w:lang w:val="en-US" w:eastAsia="zh-CN"/>
        </w:rPr>
        <w:t xml:space="preserve">7</w:t>
      </w:r>
      <w:r>
        <w:rPr>
          <w:rFonts w:hint="eastAsia" w:ascii="宋体" w:hAnsi="宋体" w:cs="宋体"/>
          <w:color w:val="auto"/>
          <w:sz w:val="24"/>
          <w:highlight w:val="none"/>
          <w:u w:val="none"/>
        </w:rPr>
        <w:t xml:space="preserve">0%计算，</w:t>
      </w:r>
      <w:r>
        <w:rPr>
          <w:rFonts w:hint="eastAsia" w:ascii="宋体" w:hAnsi="宋体" w:cs="宋体"/>
          <w:color w:val="auto"/>
          <w:sz w:val="24"/>
          <w:highlight w:val="none"/>
        </w:rPr>
        <w:t xml:space="preserve">由中标人在与招标人签合同之前，向代理公司支付。请投标人考虑在投标报价</w:t>
      </w:r>
      <w:r>
        <w:rPr>
          <w:rFonts w:hint="eastAsia" w:ascii="宋体" w:hAnsi="宋体"/>
          <w:color w:val="auto"/>
          <w:sz w:val="24"/>
          <w:highlight w:val="none"/>
        </w:rPr>
        <w:t xml:space="preserve">中（此项费用投标人在投标报价中不得单独列出）。</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5.磋商文件的约束力</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5.1供应商一旦参加本项目采购活动，即被认为接受了本磋商文件的规定和约束。</w:t>
      </w:r>
      <w:r/>
    </w:p>
    <w:p>
      <w:pPr>
        <w:ind w:firstLine="482"/>
        <w:spacing w:line="440" w:lineRule="exact"/>
        <w:tabs>
          <w:tab w:val="left" w:pos="900" w:leader="none"/>
        </w:tabs>
        <w:rPr>
          <w:rFonts w:ascii="宋体" w:hAnsi="宋体"/>
          <w:b/>
          <w:color w:val="auto"/>
          <w:sz w:val="24"/>
          <w:highlight w:val="none"/>
        </w:rPr>
        <w:outlineLvl w:val="1"/>
      </w:pPr>
      <w:r/>
      <w:bookmarkStart w:id="87" w:name="_Toc203032693"/>
      <w:r>
        <w:rPr>
          <w:rFonts w:hint="eastAsia" w:ascii="宋体" w:hAnsi="宋体"/>
          <w:b/>
          <w:color w:val="auto"/>
          <w:sz w:val="24"/>
          <w:highlight w:val="none"/>
        </w:rPr>
        <w:t xml:space="preserve">二、磋商文件</w:t>
      </w:r>
      <w:bookmarkEnd w:id="73"/>
      <w:r/>
      <w:bookmarkEnd w:id="74"/>
      <w:r/>
      <w:bookmarkEnd w:id="75"/>
      <w:r/>
      <w:bookmarkEnd w:id="76"/>
      <w:r/>
      <w:bookmarkEnd w:id="87"/>
      <w:r/>
      <w:bookmarkStart w:id="88" w:name="_Toc14577361"/>
      <w:r/>
      <w:bookmarkEnd w:id="88"/>
      <w:r/>
      <w:bookmarkStart w:id="89" w:name="_Toc513029223"/>
      <w:r/>
      <w:bookmarkEnd w:id="89"/>
      <w:r/>
      <w:bookmarkStart w:id="90" w:name="_Toc61149561"/>
      <w:r/>
      <w:bookmarkEnd w:id="90"/>
      <w:r/>
      <w:r/>
    </w:p>
    <w:p>
      <w:pPr>
        <w:ind w:firstLine="480"/>
        <w:spacing w:line="440" w:lineRule="exact"/>
        <w:rPr>
          <w:rFonts w:ascii="宋体" w:hAnsi="宋体"/>
          <w:color w:val="auto"/>
          <w:sz w:val="24"/>
          <w:highlight w:val="none"/>
        </w:rPr>
      </w:pPr>
      <w:r/>
      <w:bookmarkStart w:id="91" w:name="_Toc513029210"/>
      <w:r/>
      <w:bookmarkStart w:id="92" w:name="_Toc16938526"/>
      <w:r/>
      <w:bookmarkStart w:id="93" w:name="_Toc20823282"/>
      <w:r/>
      <w:bookmarkStart w:id="94" w:name="_Toc61149554"/>
      <w:r/>
      <w:bookmarkStart w:id="95" w:name="_Toc14577353"/>
      <w:r/>
      <w:bookmarkStart w:id="96" w:name="_Toc61149555"/>
      <w:r/>
      <w:bookmarkStart w:id="97" w:name="_Toc14577352"/>
      <w:r/>
      <w:bookmarkStart w:id="98" w:name="_Toc513029215"/>
      <w:r/>
      <w:bookmarkStart w:id="99" w:name="_Toc462564074"/>
      <w:r/>
      <w:bookmarkStart w:id="100" w:name="_Toc462564073"/>
      <w:r/>
      <w:bookmarkStart w:id="101" w:name="_Toc513029214"/>
      <w:r/>
      <w:bookmarkStart w:id="102" w:name="_Toc16938529"/>
      <w:r/>
      <w:bookmarkStart w:id="103" w:name="_Toc120614216"/>
      <w:r/>
      <w:bookmarkStart w:id="104" w:name="_Toc20823285"/>
      <w:r>
        <w:rPr>
          <w:rFonts w:hint="eastAsia" w:ascii="宋体" w:hAnsi="宋体"/>
          <w:color w:val="auto"/>
          <w:sz w:val="24"/>
          <w:highlight w:val="none"/>
        </w:rPr>
        <w:t xml:space="preserve">6.磋商文件构成</w:t>
      </w:r>
      <w:bookmarkEnd w:id="91"/>
      <w:r/>
      <w:bookmarkEnd w:id="92"/>
      <w:r/>
      <w:bookmarkEnd w:id="93"/>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6.1磋商文件由以下部分组成：</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（1）磋商公告</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（3）合同文本</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（5）评审方法与评审标准</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（6）响应文件格式</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请仔细检查磋商文件是否齐全，如有缺漏请立即与代理公司联系解决。</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ascii="宋体" w:hAnsi="宋体"/>
          <w:color w:val="auto"/>
          <w:sz w:val="24"/>
          <w:highlight w:val="none"/>
        </w:rPr>
      </w:pPr>
      <w:r/>
      <w:bookmarkStart w:id="105" w:name="_Toc20823283"/>
      <w:r/>
      <w:bookmarkStart w:id="106" w:name="_Toc462564070"/>
      <w:r/>
      <w:bookmarkStart w:id="107" w:name="_Toc16938527"/>
      <w:r/>
      <w:bookmarkStart w:id="108" w:name="_Toc513029211"/>
      <w:r>
        <w:rPr>
          <w:rFonts w:hint="eastAsia" w:ascii="宋体" w:hAnsi="宋体"/>
          <w:color w:val="auto"/>
          <w:sz w:val="24"/>
          <w:highlight w:val="none"/>
        </w:rPr>
        <w:t xml:space="preserve">7.磋商文件的澄清</w:t>
      </w:r>
      <w:bookmarkEnd w:id="105"/>
      <w:r/>
      <w:bookmarkEnd w:id="106"/>
      <w:r/>
      <w:bookmarkEnd w:id="107"/>
      <w:r/>
      <w:bookmarkEnd w:id="108"/>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7.1任何要求对磋商文件进行澄清的供应商，应在磋商截止期5日前按磋商公告中的通讯地址，以书面形式通知代理公司。</w:t>
      </w:r>
      <w:r/>
    </w:p>
    <w:p>
      <w:pPr>
        <w:ind w:firstLine="480"/>
        <w:spacing w:line="440" w:lineRule="exact"/>
        <w:rPr>
          <w:rFonts w:ascii="宋体" w:hAnsi="宋体"/>
          <w:color w:val="auto"/>
          <w:sz w:val="24"/>
          <w:highlight w:val="none"/>
        </w:rPr>
      </w:pPr>
      <w:r/>
      <w:bookmarkStart w:id="109" w:name="_Toc462564071"/>
      <w:r/>
      <w:bookmarkStart w:id="110" w:name="_Toc513029212"/>
      <w:r/>
      <w:bookmarkStart w:id="111" w:name="_Toc20823284"/>
      <w:r/>
      <w:bookmarkStart w:id="112" w:name="_Toc16938528"/>
      <w:r>
        <w:rPr>
          <w:rFonts w:hint="eastAsia" w:ascii="宋体" w:hAnsi="宋体"/>
          <w:color w:val="auto"/>
          <w:sz w:val="24"/>
          <w:highlight w:val="none"/>
        </w:rPr>
        <w:t xml:space="preserve">8.磋商文件的澄清和修改</w:t>
      </w:r>
      <w:bookmarkEnd w:id="109"/>
      <w:r/>
      <w:bookmarkEnd w:id="110"/>
      <w:r/>
      <w:bookmarkEnd w:id="111"/>
      <w:r/>
      <w:bookmarkEnd w:id="112"/>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8.1在响应文件提交截止时间前，代理公司可以对磋商文件进行澄清和修改,澄清或者修改的内容作为磋商文件的组成部分。澄清或者修改的内容可能影响响应文件编制的，代理公司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代理公司将顺延提交首次响应文件截止时间。</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8.2代理公司可以视采购项目的具体情况，组织供应商进行现场考察或召开磋商前答疑会，但不单独或分别组织只有一个供应商参加的现场考察和答疑会。</w:t>
      </w:r>
      <w:bookmarkEnd w:id="94"/>
      <w:r/>
      <w:bookmarkEnd w:id="95"/>
      <w:r/>
      <w:bookmarkEnd w:id="96"/>
      <w:r/>
      <w:bookmarkEnd w:id="97"/>
      <w:r/>
      <w:bookmarkEnd w:id="98"/>
      <w:r/>
      <w:bookmarkEnd w:id="99"/>
      <w:r/>
      <w:bookmarkEnd w:id="100"/>
      <w:r/>
      <w:bookmarkEnd w:id="101"/>
      <w:r/>
      <w:r/>
    </w:p>
    <w:p>
      <w:pPr>
        <w:ind w:firstLine="482"/>
        <w:spacing w:line="440" w:lineRule="exact"/>
        <w:tabs>
          <w:tab w:val="left" w:pos="900" w:leader="none"/>
        </w:tabs>
        <w:rPr>
          <w:rFonts w:ascii="宋体" w:hAnsi="宋体"/>
          <w:b/>
          <w:color w:val="auto"/>
          <w:sz w:val="24"/>
          <w:highlight w:val="none"/>
        </w:rPr>
        <w:outlineLvl w:val="1"/>
      </w:pPr>
      <w:r/>
      <w:bookmarkStart w:id="113" w:name="_Toc203032694"/>
      <w:r>
        <w:rPr>
          <w:rFonts w:hint="eastAsia" w:ascii="宋体" w:hAnsi="宋体"/>
          <w:b/>
          <w:color w:val="auto"/>
          <w:sz w:val="24"/>
          <w:highlight w:val="none"/>
        </w:rPr>
        <w:t xml:space="preserve">三、响应文件的编制</w:t>
      </w:r>
      <w:bookmarkEnd w:id="102"/>
      <w:r/>
      <w:bookmarkEnd w:id="103"/>
      <w:r/>
      <w:bookmarkEnd w:id="104"/>
      <w:r/>
      <w:bookmarkEnd w:id="113"/>
      <w:r/>
      <w:r/>
    </w:p>
    <w:p>
      <w:pPr>
        <w:ind w:firstLine="480"/>
        <w:spacing w:line="440" w:lineRule="exact"/>
        <w:rPr>
          <w:rFonts w:ascii="宋体" w:hAnsi="宋体" w:cs="宋体"/>
          <w:color w:val="auto"/>
          <w:sz w:val="24"/>
          <w:highlight w:val="none"/>
        </w:rPr>
      </w:pPr>
      <w:r/>
      <w:bookmarkStart w:id="114" w:name="_Toc16938530"/>
      <w:r/>
      <w:bookmarkStart w:id="115" w:name="_Toc20823286"/>
      <w:r>
        <w:rPr>
          <w:rFonts w:hint="eastAsia" w:ascii="宋体" w:hAnsi="宋体" w:cs="宋体"/>
          <w:color w:val="auto"/>
          <w:sz w:val="24"/>
          <w:highlight w:val="none"/>
        </w:rPr>
        <w:t xml:space="preserve">9.响应文件的语言及度量衡单位</w:t>
      </w:r>
      <w:bookmarkEnd w:id="114"/>
      <w:r/>
      <w:bookmarkEnd w:id="115"/>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9.1供应商提交的响应文件以及供应商与代理公司就有关磋商的所有来往通知、函件和文件均应使用简体中文。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9.2 除技术性能另有规定外，响应文件所使用的度量衡单位，均须采用国家法定计量单位。</w:t>
      </w:r>
      <w:r/>
    </w:p>
    <w:p>
      <w:pPr>
        <w:ind w:firstLine="480"/>
        <w:spacing w:line="440" w:lineRule="exact"/>
        <w:rPr>
          <w:rFonts w:ascii="宋体" w:hAnsi="宋体" w:cs="宋体"/>
          <w:color w:val="auto"/>
          <w:sz w:val="24"/>
          <w:highlight w:val="none"/>
        </w:rPr>
      </w:pPr>
      <w:r/>
      <w:bookmarkStart w:id="116" w:name="_Toc16938531"/>
      <w:r/>
      <w:bookmarkStart w:id="117" w:name="_Toc20823287"/>
      <w:r>
        <w:rPr>
          <w:rFonts w:hint="eastAsia" w:ascii="宋体" w:hAnsi="宋体" w:cs="宋体"/>
          <w:color w:val="auto"/>
          <w:sz w:val="24"/>
          <w:highlight w:val="none"/>
        </w:rPr>
        <w:t xml:space="preserve">10.响应文件构成</w:t>
      </w:r>
      <w:bookmarkEnd w:id="116"/>
      <w:r/>
      <w:bookmarkEnd w:id="117"/>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10.2 如标书制作工具中格式和内容与</w:t>
      </w:r>
      <w:r>
        <w:rPr>
          <w:rFonts w:hint="eastAsia" w:ascii="宋体" w:hAnsi="宋体"/>
          <w:color w:val="auto"/>
          <w:sz w:val="24"/>
          <w:highlight w:val="none"/>
        </w:rPr>
        <w:t xml:space="preserve">“中国政府采购网”、“江苏政府采购网”、“盐城市政府采购网”</w:t>
      </w:r>
      <w:r>
        <w:rPr>
          <w:rFonts w:hint="eastAsia" w:ascii="宋体" w:hAnsi="宋体" w:cs="宋体"/>
          <w:color w:val="auto"/>
          <w:sz w:val="24"/>
          <w:highlight w:val="none"/>
        </w:rPr>
        <w:t xml:space="preserve">发布的磋商文件不一致，请以</w:t>
      </w:r>
      <w:r>
        <w:rPr>
          <w:rFonts w:hint="eastAsia" w:ascii="宋体" w:hAnsi="宋体"/>
          <w:color w:val="auto"/>
          <w:sz w:val="24"/>
          <w:highlight w:val="none"/>
        </w:rPr>
        <w:t xml:space="preserve">“中国政府采购网”、“江苏政府采购网”、“盐城市政府采购网”</w:t>
      </w:r>
      <w:r>
        <w:rPr>
          <w:rFonts w:hint="eastAsia" w:ascii="宋体" w:hAnsi="宋体" w:cs="宋体"/>
          <w:color w:val="auto"/>
          <w:sz w:val="24"/>
          <w:highlight w:val="none"/>
        </w:rPr>
        <w:t xml:space="preserve">发布的磋商文件为准。</w:t>
      </w:r>
      <w:r/>
    </w:p>
    <w:p>
      <w:pPr>
        <w:ind w:firstLine="480"/>
        <w:spacing w:line="440" w:lineRule="exact"/>
        <w:rPr>
          <w:rFonts w:ascii="宋体" w:hAnsi="宋体" w:cs="宋体"/>
          <w:color w:val="auto"/>
          <w:sz w:val="24"/>
          <w:highlight w:val="none"/>
        </w:rPr>
      </w:pPr>
      <w:r/>
      <w:bookmarkStart w:id="118" w:name="_Toc49090507"/>
      <w:r/>
      <w:bookmarkStart w:id="119" w:name="_Toc513029216"/>
      <w:r/>
      <w:bookmarkStart w:id="120" w:name="_Toc513029219"/>
      <w:r/>
      <w:bookmarkStart w:id="121" w:name="_Toc14577355"/>
      <w:r/>
      <w:bookmarkStart w:id="122" w:name="_Toc49090509"/>
      <w:r/>
      <w:bookmarkStart w:id="123" w:name="_Toc14577354"/>
      <w:r/>
      <w:bookmarkStart w:id="124" w:name="_Toc49090508"/>
      <w:r/>
      <w:bookmarkStart w:id="125" w:name="_Toc14577357"/>
      <w:r>
        <w:rPr>
          <w:rFonts w:hint="eastAsia" w:ascii="宋体" w:hAnsi="宋体" w:cs="宋体"/>
          <w:color w:val="auto"/>
          <w:sz w:val="24"/>
          <w:highlight w:val="none"/>
        </w:rPr>
        <w:t xml:space="preserve">11.证明磋商响应标的符合磋商文件规定的文件</w:t>
      </w:r>
      <w:bookmarkEnd w:id="118"/>
      <w:r/>
      <w:bookmarkEnd w:id="119"/>
      <w:r/>
      <w:bookmarkEnd w:id="120"/>
      <w:r/>
      <w:bookmarkEnd w:id="121"/>
      <w:r/>
      <w:bookmarkEnd w:id="122"/>
      <w:r/>
      <w:bookmarkEnd w:id="123"/>
      <w:r/>
      <w:bookmarkEnd w:id="124"/>
      <w:r/>
      <w:bookmarkEnd w:id="125"/>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11.1供应商应按照磋商文件要求提交证明文件，证明其及磋商响应标的符合磋商文件规定。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11.2磋商文件对证明文件无明确形式要求的，证明文件可以以文字资料、图纸和数据等形式提交。</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12.已标价的工程量清单报价表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12.1供应商应按照磋商文件规定格式填报工程量清单报价表。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12.2磋商货币。响应文件中的单价和总价无特殊规定的采用人民币报价，以元为单位标注。磋商文件中另有规定的按规定执行。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13、技术要求响应及偏离表、商务要求响应及偏离表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13.1供应商需对磋商文件中的技术要求与商务要求逐项作出响应或偏离，并说明原因。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13.2供应商可在响应文件中提供认为需要的其他技术文件或说明。</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14.服务承诺、培训计划、人员安排及其他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14.2供应商需根据磋商文件要求提供培训计划。</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14.3供应商需根据磋商文件要求提供磋商响应标的的主要组成部分、功能设计、实现思路及关键技术等。</w:t>
      </w:r>
      <w:r/>
    </w:p>
    <w:p>
      <w:pPr>
        <w:ind w:firstLine="480"/>
        <w:spacing w:line="440" w:lineRule="exact"/>
        <w:rPr>
          <w:rFonts w:ascii="宋体" w:hAnsi="宋体" w:cs="宋体"/>
          <w:color w:val="auto"/>
          <w:sz w:val="24"/>
          <w:highlight w:val="none"/>
        </w:rPr>
      </w:pPr>
      <w:r/>
      <w:bookmarkStart w:id="126" w:name="_Toc49090510"/>
      <w:r/>
      <w:bookmarkStart w:id="127" w:name="_Toc14577359"/>
      <w:r>
        <w:rPr>
          <w:rFonts w:hint="eastAsia" w:ascii="宋体" w:hAnsi="宋体" w:cs="宋体"/>
          <w:color w:val="auto"/>
          <w:sz w:val="24"/>
          <w:highlight w:val="none"/>
        </w:rPr>
        <w:t xml:space="preserve">15.磋商响应函</w:t>
      </w:r>
      <w:bookmarkEnd w:id="126"/>
      <w:r/>
      <w:bookmarkEnd w:id="127"/>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15.1供应商应按照磋商文件中提供的格式完整、正确填写磋商响应函。</w:t>
      </w:r>
      <w:r/>
    </w:p>
    <w:p>
      <w:pPr>
        <w:ind w:firstLine="480"/>
        <w:spacing w:line="440" w:lineRule="exact"/>
        <w:rPr>
          <w:rFonts w:ascii="宋体" w:hAnsi="宋体" w:cs="宋体"/>
          <w:color w:val="auto"/>
          <w:sz w:val="24"/>
          <w:highlight w:val="none"/>
        </w:rPr>
      </w:pPr>
      <w:r/>
      <w:bookmarkStart w:id="128" w:name="_Toc14577360"/>
      <w:r/>
      <w:bookmarkStart w:id="129" w:name="_Toc49090511"/>
      <w:r>
        <w:rPr>
          <w:rFonts w:hint="eastAsia" w:ascii="宋体" w:hAnsi="宋体" w:cs="宋体"/>
          <w:color w:val="auto"/>
          <w:sz w:val="24"/>
          <w:highlight w:val="none"/>
        </w:rPr>
        <w:t xml:space="preserve">16.磋商有效期</w:t>
      </w:r>
      <w:bookmarkEnd w:id="128"/>
      <w:r/>
      <w:bookmarkEnd w:id="129"/>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16.1磋商有效期为代理公司规定的提交响应文件截止之日后九十（90）天。磋商有效期比规定短的将被视为非实质性响应磋商文件而予以拒绝。</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17.磋商有效期的延长</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ascii="宋体" w:hAnsi="宋体"/>
          <w:b/>
          <w:color w:val="auto"/>
          <w:sz w:val="24"/>
          <w:highlight w:val="none"/>
        </w:rPr>
        <w:outlineLvl w:val="1"/>
      </w:pPr>
      <w:r/>
      <w:bookmarkStart w:id="130" w:name="_Toc120614217"/>
      <w:r/>
      <w:bookmarkStart w:id="131" w:name="_Toc16938540"/>
      <w:r/>
      <w:bookmarkStart w:id="132" w:name="_Toc203032695"/>
      <w:r/>
      <w:bookmarkStart w:id="133" w:name="_Toc513029224"/>
      <w:r/>
      <w:bookmarkStart w:id="134" w:name="_Toc20823296"/>
      <w:r>
        <w:rPr>
          <w:rFonts w:hint="eastAsia" w:ascii="宋体" w:hAnsi="宋体"/>
          <w:b/>
          <w:color w:val="auto"/>
          <w:sz w:val="24"/>
          <w:highlight w:val="none"/>
        </w:rPr>
        <w:t xml:space="preserve">四、响应文件的递交</w:t>
      </w:r>
      <w:bookmarkEnd w:id="130"/>
      <w:r/>
      <w:bookmarkEnd w:id="131"/>
      <w:r/>
      <w:bookmarkEnd w:id="132"/>
      <w:r/>
      <w:bookmarkEnd w:id="133"/>
      <w:r/>
      <w:bookmarkEnd w:id="134"/>
      <w:r/>
      <w:r/>
    </w:p>
    <w:p>
      <w:pPr>
        <w:ind w:firstLine="480"/>
        <w:spacing w:line="440" w:lineRule="exact"/>
        <w:rPr>
          <w:rFonts w:ascii="宋体" w:hAnsi="宋体" w:cs="宋体"/>
          <w:color w:val="auto"/>
          <w:sz w:val="24"/>
          <w:highlight w:val="none"/>
        </w:rPr>
      </w:pPr>
      <w:r/>
      <w:bookmarkStart w:id="135" w:name="_Toc462564084"/>
      <w:r/>
      <w:bookmarkStart w:id="136" w:name="_Toc513029225"/>
      <w:r/>
      <w:bookmarkStart w:id="137" w:name="_Toc20823297"/>
      <w:r/>
      <w:bookmarkStart w:id="138" w:name="_Toc16938541"/>
      <w:r>
        <w:rPr>
          <w:rFonts w:hint="eastAsia" w:ascii="宋体" w:hAnsi="宋体" w:cs="宋体"/>
          <w:color w:val="auto"/>
          <w:sz w:val="24"/>
          <w:highlight w:val="none"/>
        </w:rPr>
        <w:t xml:space="preserve">18.电子磋商</w:t>
      </w:r>
      <w:bookmarkEnd w:id="135"/>
      <w:r/>
      <w:bookmarkEnd w:id="136"/>
      <w:r/>
      <w:bookmarkEnd w:id="137"/>
      <w:r/>
      <w:bookmarkEnd w:id="138"/>
      <w:r>
        <w:rPr>
          <w:rFonts w:hint="eastAsia" w:ascii="宋体" w:hAnsi="宋体" w:cs="宋体"/>
          <w:color w:val="auto"/>
          <w:sz w:val="24"/>
          <w:highlight w:val="none"/>
        </w:rPr>
        <w:t xml:space="preserve">响应文件的递交</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18.1供应商应当按照《操作手册》规定，在提交响应文件截止时间前制作并上传电子响应文件。</w:t>
      </w:r>
      <w:bookmarkStart w:id="139" w:name="_Toc16938542"/>
      <w:r/>
      <w:bookmarkEnd w:id="139"/>
      <w:r/>
      <w:bookmarkStart w:id="140" w:name="_Toc20823298"/>
      <w:r/>
      <w:bookmarkEnd w:id="140"/>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19、提交响应文件截止时间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19.1供应商上传电子响应文件的时间不得迟于磋商公告中规定的提交响应文件截止时间。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19.2 代理公司可以按照规定，通过修改磋商文件酌情延长提交响应文件截止日期，在此情况下，供应商的所有权利和义务以及供应商受制的截止日期均应以延长后新的截止日期为准。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ascii="宋体" w:hAnsi="宋体" w:cs="宋体"/>
          <w:color w:val="auto"/>
          <w:sz w:val="24"/>
          <w:highlight w:val="none"/>
        </w:rPr>
      </w:pPr>
      <w:r/>
      <w:bookmarkStart w:id="141" w:name="_Toc20823299"/>
      <w:r/>
      <w:bookmarkStart w:id="142" w:name="_Toc513029227"/>
      <w:r/>
      <w:bookmarkStart w:id="143" w:name="_Toc16938543"/>
      <w:r>
        <w:rPr>
          <w:rFonts w:hint="eastAsia" w:ascii="宋体" w:hAnsi="宋体" w:cs="宋体"/>
          <w:color w:val="auto"/>
          <w:sz w:val="24"/>
          <w:highlight w:val="none"/>
        </w:rPr>
        <w:t xml:space="preserve">20.响应文件</w:t>
      </w:r>
      <w:bookmarkEnd w:id="141"/>
      <w:r/>
      <w:bookmarkEnd w:id="142"/>
      <w:r/>
      <w:bookmarkEnd w:id="143"/>
      <w:r>
        <w:rPr>
          <w:rFonts w:hint="eastAsia" w:ascii="宋体" w:hAnsi="宋体" w:cs="宋体"/>
          <w:color w:val="auto"/>
          <w:sz w:val="24"/>
          <w:highlight w:val="none"/>
        </w:rPr>
        <w:t xml:space="preserve">的拒收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20.1 代理公司拒绝接收在其规定的提交响应文件截止时间后上传的任何电子响应文件。</w:t>
      </w:r>
      <w:r/>
    </w:p>
    <w:p>
      <w:pPr>
        <w:ind w:firstLine="480"/>
        <w:spacing w:line="440" w:lineRule="exact"/>
        <w:rPr>
          <w:rFonts w:ascii="宋体" w:hAnsi="宋体" w:cs="宋体"/>
          <w:color w:val="auto"/>
          <w:sz w:val="24"/>
          <w:highlight w:val="none"/>
        </w:rPr>
      </w:pPr>
      <w:r/>
      <w:bookmarkStart w:id="144" w:name="_Toc513029228"/>
      <w:r/>
      <w:bookmarkStart w:id="145" w:name="_Toc16938544"/>
      <w:r/>
      <w:bookmarkStart w:id="146" w:name="_Toc20823300"/>
      <w:r>
        <w:rPr>
          <w:rFonts w:hint="eastAsia" w:ascii="宋体" w:hAnsi="宋体" w:cs="宋体"/>
          <w:color w:val="auto"/>
          <w:sz w:val="24"/>
          <w:highlight w:val="none"/>
        </w:rPr>
        <w:t xml:space="preserve">21.响应文件的撤回和修改</w:t>
      </w:r>
      <w:bookmarkEnd w:id="144"/>
      <w:r/>
      <w:bookmarkEnd w:id="145"/>
      <w:r/>
      <w:bookmarkEnd w:id="146"/>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21.1响应文件的撤回</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21.1.1 电子响应文件的撤回</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供应商可在提交响应文件截止时间前，撤回其电子响应文件，具体操作方法见《操作手册》。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21.1.2供应商撤回电子响应文件，则认为其不再参与本项目磋商活动。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21.2响应文件的修改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供应商可在提交响应文件截止时间前，对其电子响应文件进行修改，具体操作方法见《操作手册》。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21.3 在提交响应文件截止时间之后，供应商不得对其电子响应文件作任何修改。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ascii="宋体" w:hAnsi="宋体"/>
          <w:b/>
          <w:color w:val="auto"/>
          <w:sz w:val="24"/>
          <w:highlight w:val="none"/>
        </w:rPr>
        <w:outlineLvl w:val="1"/>
      </w:pPr>
      <w:r/>
      <w:bookmarkStart w:id="147" w:name="_Toc120614218"/>
      <w:r/>
      <w:bookmarkStart w:id="148" w:name="_Toc513029229"/>
      <w:r/>
      <w:bookmarkStart w:id="149" w:name="_Toc20823301"/>
      <w:r/>
      <w:bookmarkStart w:id="150" w:name="_Toc203032696"/>
      <w:r/>
      <w:bookmarkStart w:id="151" w:name="_Toc16938545"/>
      <w:r>
        <w:rPr>
          <w:rFonts w:hint="eastAsia" w:ascii="宋体" w:hAnsi="宋体"/>
          <w:b/>
          <w:color w:val="auto"/>
          <w:sz w:val="24"/>
          <w:highlight w:val="none"/>
        </w:rPr>
        <w:t xml:space="preserve">五、响应文件的解密与评审</w:t>
      </w:r>
      <w:bookmarkEnd w:id="147"/>
      <w:r/>
      <w:bookmarkEnd w:id="148"/>
      <w:r/>
      <w:bookmarkEnd w:id="149"/>
      <w:r/>
      <w:bookmarkEnd w:id="150"/>
      <w:r/>
      <w:bookmarkEnd w:id="151"/>
      <w:r/>
      <w:r/>
    </w:p>
    <w:p>
      <w:pPr>
        <w:ind w:firstLine="480"/>
        <w:spacing w:line="440" w:lineRule="exact"/>
        <w:rPr>
          <w:rFonts w:ascii="宋体" w:hAnsi="宋体" w:cs="宋体"/>
          <w:color w:val="auto"/>
          <w:sz w:val="24"/>
          <w:highlight w:val="none"/>
        </w:rPr>
      </w:pPr>
      <w:r/>
      <w:bookmarkStart w:id="152" w:name="_Toc20823302"/>
      <w:r/>
      <w:bookmarkStart w:id="153" w:name="_Toc513029230"/>
      <w:r/>
      <w:bookmarkStart w:id="154" w:name="_Toc16938546"/>
      <w:r>
        <w:rPr>
          <w:rFonts w:hint="eastAsia" w:ascii="宋体" w:hAnsi="宋体" w:cs="宋体"/>
          <w:color w:val="auto"/>
          <w:sz w:val="24"/>
          <w:highlight w:val="none"/>
        </w:rPr>
        <w:t xml:space="preserve">22</w:t>
      </w:r>
      <w:bookmarkEnd w:id="152"/>
      <w:r/>
      <w:bookmarkEnd w:id="153"/>
      <w:r/>
      <w:bookmarkEnd w:id="154"/>
      <w:r>
        <w:rPr>
          <w:rFonts w:hint="eastAsia" w:ascii="宋体" w:hAnsi="宋体" w:cs="宋体"/>
          <w:color w:val="auto"/>
          <w:sz w:val="24"/>
          <w:highlight w:val="none"/>
        </w:rPr>
        <w:t xml:space="preserve">.响应文件解密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22.1供应商应当按照《操作手册》规定，在苏采云系统规定的时间内对磋商响应文件进行解密。</w:t>
      </w:r>
      <w:r/>
    </w:p>
    <w:p>
      <w:pPr>
        <w:ind w:firstLine="480"/>
        <w:spacing w:line="440" w:lineRule="exact"/>
        <w:rPr>
          <w:rFonts w:ascii="宋体" w:hAnsi="宋体" w:cs="宋体"/>
          <w:color w:val="auto"/>
          <w:sz w:val="24"/>
          <w:highlight w:val="none"/>
        </w:rPr>
      </w:pPr>
      <w:r/>
      <w:bookmarkStart w:id="155" w:name="_Toc513029231"/>
      <w:r/>
      <w:bookmarkStart w:id="156" w:name="_Toc16938547"/>
      <w:r/>
      <w:bookmarkStart w:id="157" w:name="_Toc20823303"/>
      <w:r>
        <w:rPr>
          <w:rFonts w:hint="eastAsia" w:ascii="宋体" w:hAnsi="宋体" w:cs="宋体"/>
          <w:color w:val="auto"/>
          <w:sz w:val="24"/>
          <w:highlight w:val="none"/>
        </w:rPr>
        <w:t xml:space="preserve">23.磋商小组</w:t>
      </w:r>
      <w:bookmarkEnd w:id="155"/>
      <w:r/>
      <w:bookmarkEnd w:id="156"/>
      <w:r/>
      <w:bookmarkEnd w:id="157"/>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23.1代理公司将组织磋商小组对响应文件进行评审。磋商小组由采购人代表和有关技术、经济等方面的专家组成，且人员构成符合政府采购有关规定。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23.2磋商小组独立工作，负责评审所有响应文件并确定成交候选人。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24.评审过程的保密与公正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24.1磋商小组、采购人和代理公司工作人员、相关监督人员等与评审工作有关的人员，对评审情况以及在评审过程中获悉的国家秘密、商业秘密负有保密责任。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24.2在评审过程中，供应商不得以任何行为影响磋商评审过程，否则其响应文件将被作为无效响应文件。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24.3在项目评审期间，代理公司将设专门人员与供应商联系。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24.4 代理公司和磋商小组不向未成交的供应商解释未成交原因，也不公布评审过程中的相关细节。</w:t>
      </w:r>
      <w:r/>
    </w:p>
    <w:p>
      <w:pPr>
        <w:ind w:firstLine="480"/>
        <w:spacing w:line="440" w:lineRule="exact"/>
        <w:rPr>
          <w:rFonts w:ascii="宋体" w:hAnsi="宋体" w:cs="宋体"/>
          <w:color w:val="auto"/>
          <w:sz w:val="24"/>
          <w:highlight w:val="none"/>
        </w:rPr>
      </w:pPr>
      <w:r/>
      <w:bookmarkStart w:id="158" w:name="_Toc513029232"/>
      <w:r/>
      <w:bookmarkStart w:id="159" w:name="_Toc16938548"/>
      <w:r/>
      <w:bookmarkStart w:id="160" w:name="_Toc20823304"/>
      <w:r>
        <w:rPr>
          <w:rFonts w:hint="eastAsia" w:ascii="宋体" w:hAnsi="宋体" w:cs="宋体"/>
          <w:color w:val="auto"/>
          <w:sz w:val="24"/>
          <w:highlight w:val="none"/>
        </w:rPr>
        <w:t xml:space="preserve">25.评审过程中的澄清</w:t>
      </w:r>
      <w:bookmarkEnd w:id="158"/>
      <w:r/>
      <w:bookmarkEnd w:id="159"/>
      <w:r/>
      <w:bookmarkEnd w:id="160"/>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磋商小组并非对每个供应商都作澄清要求。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25.3接到磋商小组澄清、说明和更正要求的供应商如未按规定做出澄清、说明和更正，其风险由供应商自行承担。</w:t>
      </w:r>
      <w:r/>
    </w:p>
    <w:p>
      <w:pPr>
        <w:ind w:firstLine="480"/>
        <w:spacing w:line="440" w:lineRule="exact"/>
        <w:rPr>
          <w:rFonts w:ascii="宋体" w:hAnsi="宋体" w:cs="宋体"/>
          <w:color w:val="auto"/>
          <w:sz w:val="24"/>
          <w:highlight w:val="none"/>
        </w:rPr>
      </w:pPr>
      <w:r/>
      <w:bookmarkStart w:id="161" w:name="_Toc16938549"/>
      <w:r/>
      <w:bookmarkStart w:id="162" w:name="_Toc20823305"/>
      <w:r/>
      <w:bookmarkStart w:id="163" w:name="_Toc513029233"/>
      <w:r>
        <w:rPr>
          <w:rFonts w:hint="eastAsia" w:ascii="宋体" w:hAnsi="宋体" w:cs="宋体"/>
          <w:color w:val="auto"/>
          <w:sz w:val="24"/>
          <w:highlight w:val="none"/>
        </w:rPr>
        <w:t xml:space="preserve">26.对响应文件的审</w:t>
      </w:r>
      <w:bookmarkEnd w:id="161"/>
      <w:r/>
      <w:bookmarkEnd w:id="162"/>
      <w:r/>
      <w:bookmarkEnd w:id="163"/>
      <w:r>
        <w:rPr>
          <w:rFonts w:hint="eastAsia" w:ascii="宋体" w:hAnsi="宋体" w:cs="宋体"/>
          <w:color w:val="auto"/>
          <w:sz w:val="24"/>
          <w:highlight w:val="none"/>
        </w:rPr>
        <w:t xml:space="preserve">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26.1响应文件审查分为资格审查和符合性审查。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26.3未实质性响应磋商文件的情形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26.3.1供应商在苏采云系统规定的时间内未成功解密电子响应文件的。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26.3.2供应商未按照磋商文件要求上传电子响应文件的。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26.3.3同一供应商提交两个（含两个）以上不同的响应文件或者最后报价的。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26.3.4供应商不具备磋商文件中规定资格要求的。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26.3.5供应商的最后报价超过了采购最高限价。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26.3.6不符合磋商文件中规定的实质性要求和条件的。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26.3.8响应文件含有采购人不能接受的附加条件的。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26.3.10供应商不能证明其报价合理性的，磋商小组应当将其作为无效响应处理。</w:t>
      </w:r>
      <w:r/>
    </w:p>
    <w:p>
      <w:pPr>
        <w:ind w:firstLine="422"/>
        <w:spacing w:line="4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（一）评审过程中出现下列情形之一的，磋商小组应当启动异常低价响应审查程序：</w:t>
      </w:r>
      <w:r/>
    </w:p>
    <w:p>
      <w:pPr>
        <w:ind w:firstLine="422"/>
        <w:spacing w:line="4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1.投标（响应）报价低于全部通过符合性审查供应商投标（响应）报价平均值60%的，即投标（响应）报价＜全部通过符合性审查供应商投标（响应）报价平均值×60%；</w:t>
      </w:r>
      <w:r/>
    </w:p>
    <w:p>
      <w:pPr>
        <w:ind w:firstLine="422"/>
        <w:spacing w:line="4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2.投标（响应）报价低于通过符合性审查的次低报价供应商投标（响应）报价60%的，即投标（响应）报价＜通过符合性审查的次低报价供应商投标（响应）报价×60%；</w:t>
      </w:r>
      <w:r/>
    </w:p>
    <w:p>
      <w:pPr>
        <w:ind w:firstLine="422"/>
        <w:spacing w:line="4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3.投标（响应）报价低于采购项目最高限价55%的，即投标（响应）报价＜采购项目最高限价×55%；</w:t>
      </w:r>
      <w:r/>
    </w:p>
    <w:p>
      <w:pPr>
        <w:ind w:firstLine="422"/>
        <w:spacing w:line="4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color w:val="auto"/>
          <w:szCs w:val="21"/>
          <w:highlight w:val="none"/>
          <w:u w:val="single"/>
        </w:rPr>
      </w:pPr>
      <w:r>
        <w:rPr>
          <w:rFonts w:hint="eastAsia" w:asciiTheme="minorEastAsia" w:hAnsiTheme="minorEastAsia"/>
          <w:b/>
          <w:color w:val="auto"/>
          <w:szCs w:val="21"/>
          <w:highlight w:val="none"/>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相关法律法规对供应商报价有规定的，从其规定。</w:t>
      </w:r>
      <w:r/>
    </w:p>
    <w:p>
      <w:pPr>
        <w:ind w:firstLine="422"/>
        <w:spacing w:line="4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hint="eastAsia" w:asciiTheme="minorEastAsia" w:hAnsiTheme="minorEastAsia"/>
          <w:b/>
          <w:color w:val="auto"/>
          <w:szCs w:val="21"/>
          <w:highlight w:val="none"/>
        </w:rPr>
      </w:pPr>
      <w:r>
        <w:rPr>
          <w:rFonts w:hint="eastAsia" w:asciiTheme="minorEastAsia" w:hAnsiTheme="minorEastAsia"/>
          <w:b/>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26.3.11响应文件未按照磋商文件要求加盖CA电子公章的。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26.4未实质性响应磋商文件的响应文件按无效响应处理。</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26.5如果响应文件实质上没有响应磋商文件的要求，磋商小组将予以拒绝，供应商不得通过修改或撤销不符合要求的偏离或保留而使其成为实质性响应的文件。</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164" w:name="_Toc513029234"/>
      <w:r/>
      <w:bookmarkStart w:id="165" w:name="_Toc16938550"/>
      <w:r/>
      <w:bookmarkStart w:id="166" w:name="_Toc20823306"/>
      <w:r>
        <w:rPr>
          <w:rFonts w:hint="eastAsia" w:ascii="宋体" w:hAnsi="宋体" w:cs="宋体"/>
          <w:color w:val="auto"/>
          <w:sz w:val="24"/>
          <w:highlight w:val="none"/>
        </w:rPr>
        <w:t xml:space="preserve">26.6供应商在项目评审全过程中应保持通信畅通，并安排专人与代理机构及磋商小组联系。</w:t>
      </w:r>
      <w:bookmarkEnd w:id="164"/>
      <w:r/>
      <w:bookmarkEnd w:id="165"/>
      <w:r/>
      <w:bookmarkEnd w:id="166"/>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27.磋商程序及评审方法和评审标准</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27.1磋商程序</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27.2评审方法和评审标准</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27.2.2评审标准</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见本磋商文件第五章规定。</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27.3采购活动终止的情况</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出现下列情形之一的，本次竞争性磋商采购活动将被终止：</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27.3.1因情况变化，不再符合规定的竞争性磋商采购方式适用情形的。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27.3.2出现影响采购公正的违法、违规行为的。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27.3.3除本磋商文件第二章第27.1.2条第三款规定的情形外，在磋商过程中符合要求的供应商或者最后报价未超过采购预算的供应商不足3家的。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27.3.4在苏采云系统规定时间内成功解密电子响应文件的供应商不足3家的。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167" w:name="_Toc16938551"/>
      <w:r/>
      <w:bookmarkStart w:id="168" w:name="_Toc513029235"/>
      <w:r/>
      <w:bookmarkStart w:id="169" w:name="_Toc20823307"/>
      <w:r/>
      <w:bookmarkStart w:id="170" w:name="_Toc120614219"/>
      <w:r>
        <w:rPr>
          <w:rFonts w:hint="eastAsia" w:ascii="宋体" w:hAnsi="宋体" w:cs="宋体"/>
          <w:color w:val="auto"/>
          <w:sz w:val="24"/>
          <w:highlight w:val="none"/>
        </w:rPr>
        <w:t xml:space="preserve">六、</w:t>
      </w:r>
      <w:bookmarkEnd w:id="167"/>
      <w:r/>
      <w:bookmarkEnd w:id="168"/>
      <w:r/>
      <w:bookmarkEnd w:id="169"/>
      <w:r/>
      <w:bookmarkEnd w:id="170"/>
      <w:r>
        <w:rPr>
          <w:rFonts w:hint="eastAsia" w:ascii="宋体" w:hAnsi="宋体" w:cs="宋体"/>
          <w:color w:val="auto"/>
          <w:sz w:val="24"/>
          <w:highlight w:val="none"/>
        </w:rPr>
        <w:t xml:space="preserve">成交</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171" w:name="_Toc20823310"/>
      <w:r/>
      <w:bookmarkStart w:id="172" w:name="_Toc16938554"/>
      <w:r/>
      <w:bookmarkStart w:id="173" w:name="_Toc513029238"/>
      <w:r>
        <w:rPr>
          <w:rFonts w:hint="eastAsia" w:ascii="宋体" w:hAnsi="宋体" w:cs="宋体"/>
          <w:color w:val="auto"/>
          <w:sz w:val="24"/>
          <w:highlight w:val="none"/>
        </w:rPr>
        <w:t xml:space="preserve">28</w:t>
      </w:r>
      <w:bookmarkEnd w:id="171"/>
      <w:r>
        <w:rPr>
          <w:rFonts w:hint="eastAsia" w:ascii="宋体" w:hAnsi="宋体" w:cs="宋体"/>
          <w:color w:val="auto"/>
          <w:sz w:val="24"/>
          <w:highlight w:val="none"/>
        </w:rPr>
        <w:t xml:space="preserve">.确定</w:t>
      </w:r>
      <w:bookmarkEnd w:id="172"/>
      <w:r/>
      <w:bookmarkEnd w:id="173"/>
      <w:r>
        <w:rPr>
          <w:rFonts w:hint="eastAsia" w:ascii="宋体" w:hAnsi="宋体" w:cs="宋体"/>
          <w:color w:val="auto"/>
          <w:sz w:val="24"/>
          <w:highlight w:val="none"/>
        </w:rPr>
        <w:t xml:space="preserve">成交单位</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28.3若有充分证据证明，成交供应商出现下列情况之一的，一经查实，将被取消成交资格：</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28.3.1提供虚假材料谋取成交的。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28.3.2与评审专家、采购人、其他供应商或者代理机构工作人员恶意串通的。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28.3.3向评审专家、采购人或代理机构工作人员行贿或者提供其他不正当利益的。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28.3.4恶意竞争，最后报价明显低于其自身合理成本且又无法提供证明的。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28.3.5不满足本磋商文件规定的实质性要求，但在评审过程中又未被磋商小组发现的。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28.3.6成交后无正当理由拒不与采购人签订政府采购合同或者未按照磋商文件确定的事项签订政府采购合同的。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28.3.7将政府采购合同转包的。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174" w:name="_Toc200451960"/>
      <w:r>
        <w:rPr>
          <w:rFonts w:hint="eastAsia" w:ascii="宋体" w:hAnsi="宋体" w:cs="宋体"/>
          <w:color w:val="auto"/>
          <w:sz w:val="24"/>
          <w:highlight w:val="none"/>
        </w:rPr>
        <w:t xml:space="preserve">29.质疑处理</w:t>
      </w:r>
      <w:bookmarkEnd w:id="174"/>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29.1提出质疑的供应商应当是参与所质疑项目采购活动的供应商。潜在供应商依法获取其可质疑的磋商文件的，可以对磋商文件提出质疑。</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29.2供应商认为磋商文件、磋商过程和磋商结果使自己的权益受到损害的，可以在知道或应知其权益受到损害之日起七个工作日内，以书面形式根据下述29.4条款的规定向采人或代理机构提出质疑。上述应知其权益受到损害之日，是指：</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29.2.1对可以质疑的磋商文件提出质疑的，为收到磋商文件之日或者磋商文件公告期限届满之日。</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29.2.2对磋商过程提出质疑的，为各采购程序环节结束之日。</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29.2.3对成交结果提出质疑的，为成交结果公告期限届满之日。</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29.4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采购人及代理机构只接收以纸质原件形式送达的质疑，采购人和代理机构不接受未填写快递运单的快件。</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29.5以下情形的质疑不予受理</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29.5.1内容不符合《政府采购质疑和投诉办法》第十二条规定的质疑。</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29.5.2超出政府采购法定期限的质疑。</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29.5.3以传真、电子邮件等方式递交的非原件形式的质疑。</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29.5.4未参加磋商活动的供应商或在磋商活动中自身权益未受到损害的供应商所提出的质疑。</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29.5.5供应商组成联合体参加磋商，联合体中任何一方或多方未按要求签字、盖章、加盖公章的质疑。</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30.成交通知书</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175" w:name="_Toc20823308"/>
      <w:r/>
      <w:bookmarkStart w:id="176" w:name="_Toc16938552"/>
      <w:r/>
      <w:bookmarkStart w:id="177" w:name="_Toc120614220"/>
      <w:r/>
      <w:bookmarkStart w:id="178" w:name="_Toc513029236"/>
      <w:r>
        <w:rPr>
          <w:rFonts w:hint="eastAsia" w:ascii="宋体" w:hAnsi="宋体" w:cs="宋体"/>
          <w:color w:val="auto"/>
          <w:sz w:val="24"/>
          <w:highlight w:val="none"/>
        </w:rPr>
        <w:t xml:space="preserve">七、授予合同</w:t>
      </w:r>
      <w:bookmarkEnd w:id="175"/>
      <w:r/>
      <w:bookmarkEnd w:id="176"/>
      <w:r/>
      <w:bookmarkEnd w:id="177"/>
      <w:r/>
      <w:bookmarkEnd w:id="178"/>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31.签订合同</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31.l成交供应商应当在成交通知书发出之日起三十日内，按照磋商文件确定的事项与采购人签订政府采购合同。</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31.2磋商文件、成交供应商的响应文件及磋商过程中有关澄清、承诺文件均应作为合同附件。</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32.标的物的追加</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33.政府采购政策功能落实</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33.1政府采购线上合同信用融资政策</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33.2进口产品</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33.3中小企业、监狱企业及残疾人福利性单位</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33.3.1中小企业定义：</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w:t>
      </w:r>
      <w:r>
        <w:rPr>
          <w:rFonts w:hint="eastAsia" w:ascii="宋体" w:hAnsi="宋体" w:cs="宋体"/>
          <w:color w:val="auto"/>
          <w:sz w:val="24"/>
          <w:highlight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33.3.2供应商提供的货物、工程或者服务符合下列情形的，享受中小企业扶持政策：</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33.3.2.1在货物采购项目中，货物由中小企业制造，即货物由中小企业生产且使用该中小企业商号或者注册商标；</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33.3.2.2在工程采购项目中，工程由中小企业承建，即工程施工单位为中小企业；</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33.3.3在货物采购项目中，供应商提供的货物既有中小企业制造货物，也有大型企业制造货物的，不享受中小企业扶持政策。</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33.3.6残疾人福利单位定义：享受政府采购支持政策的残疾人福利性单位应当同时满足以下条件：</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33.3.6.1安置的残疾人占本单位在职职工人数的比例不低于25%（含25%），并且安置的残疾人人数不少于10人（含10人）；</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33.3.6.2依法与安置的每位残疾人签订了一年以上（含一年）的劳动合同或服务协议；</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33.3.6.3为安置的每位残疾人按月足额缴纳了基本养老保险、基本医疗保险、失业保险、工伤保险和生育保险等社会保险费；</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33.3.7本项目是否专门面向中小企业预留采购份额见第一章《竞争性磋商公告》。</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33.3.8采购标的对应的中小企业划分标准所属行业见第四章《采购需求》。</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33.3.9小微企业价格评审优惠的政策：见第五章《评标方法和评标标准》。</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33.4政府采购节能产品、环境标志产品</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33.4.1严格执行政府采购关于支持</w:t>
      </w:r>
      <w:r>
        <w:rPr>
          <w:rFonts w:hint="eastAsia" w:ascii="宋体" w:hAnsi="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33.5绿色包装</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33.6政府采购创新产品</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33.7绿色数据中心政策</w:t>
      </w:r>
      <w:r/>
    </w:p>
    <w:p>
      <w:pPr>
        <w:ind w:firstLine="480"/>
        <w:spacing w:line="44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33.8履约保证金政策</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如以履约保函（保险）形式缴纳履约保证金，供应商可通过政府采购电子履约保函（保险）平台（www.jsdzbh.com）在线申请履约保函（保险）。</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34. 预付款制度</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本项目落实预付款制度，预付款比例为10%。在签订合同时，中标、成交供应商明确书面表示无需预付款或者主动要求降低预付款比例的，采购人可就预付款比例作相应调整。</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pStyle w:val="815"/>
        <w:rPr>
          <w:color w:val="auto"/>
          <w:sz w:val="36"/>
          <w:szCs w:val="36"/>
          <w:highlight w:val="none"/>
        </w:rPr>
      </w:pPr>
      <w:r>
        <w:rPr>
          <w:color w:val="auto"/>
          <w:highlight w:val="none"/>
        </w:rPr>
        <w:br w:type="page" w:clear="all"/>
      </w:r>
      <w:bookmarkEnd w:id="62"/>
      <w:r/>
      <w:bookmarkEnd w:id="63"/>
      <w:r/>
      <w:bookmarkEnd w:id="64"/>
      <w:r/>
      <w:bookmarkStart w:id="179" w:name="_Toc203032699"/>
      <w:r>
        <w:rPr>
          <w:rFonts w:hint="eastAsia"/>
          <w:color w:val="auto"/>
          <w:sz w:val="36"/>
          <w:szCs w:val="36"/>
          <w:highlight w:val="none"/>
        </w:rPr>
        <w:t xml:space="preserve">第三章  合同条款及格式</w:t>
      </w:r>
      <w:bookmarkEnd w:id="179"/>
      <w:r/>
      <w:r/>
    </w:p>
    <w:p>
      <w:pPr>
        <w:jc w:val="left"/>
        <w:rPr>
          <w:rFonts w:ascii="宋体" w:hAnsi="宋体" w:cs="宋体"/>
          <w:bCs/>
          <w:color w:val="auto"/>
          <w:sz w:val="28"/>
          <w:szCs w:val="28"/>
          <w:highlight w:val="none"/>
        </w:rPr>
      </w:pPr>
      <w:r/>
      <w:bookmarkStart w:id="180" w:name="_Toc26554097"/>
      <w:r/>
      <w:bookmarkStart w:id="181" w:name="_Toc23828480"/>
      <w:r/>
      <w:bookmarkStart w:id="182" w:name="_Toc61149622"/>
      <w:r/>
      <w:r/>
    </w:p>
    <w:p>
      <w:pPr>
        <w:jc w:val="lef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（GF—2017—0201）</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建设工程施工合同</w:t>
      </w:r>
      <w:r/>
    </w:p>
    <w:p>
      <w:pPr>
        <w:pStyle w:val="783"/>
        <w:rPr>
          <w:color w:val="auto"/>
          <w:highlight w:val="none"/>
        </w:rPr>
      </w:pPr>
      <w:r>
        <w:rPr>
          <w:color w:val="auto"/>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52"/>
          <w:szCs w:val="52"/>
          <w:highlight w:val="none"/>
        </w:rPr>
      </w:pPr>
      <w:r>
        <w:rPr>
          <w:rFonts w:ascii="宋体" w:hAnsi="宋体" w:cs="宋体"/>
          <w:b/>
          <w:color w:val="auto"/>
          <w:sz w:val="52"/>
          <w:szCs w:val="52"/>
          <w:highlight w:val="none"/>
        </w:rPr>
      </w:r>
      <w:r/>
    </w:p>
    <w:p>
      <w:pPr>
        <w:pStyle w:val="1037"/>
        <w:ind w:firstLine="60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right="2719" w:firstLine="2738"/>
        <w:rPr>
          <w:rFonts w:ascii="宋体" w:hAnsi="宋体" w:cs="宋体"/>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ind w:firstLine="161"/>
                              <w:rPr>
                                <w:b/>
                                <w:bCs/>
                                <w:sz w:val="32"/>
                              </w:rPr>
                            </w:pPr>
                            <w:r>
                              <w:rPr>
                                <w:rFonts w:hint="eastAsia"/>
                                <w:b/>
                                <w:bCs/>
                                <w:sz w:val="32"/>
                              </w:rPr>
                              <w:t xml:space="preserve">制定</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p>
                      <w:r/>
                      <w:r/>
                    </w:p>
                  </w:txbxContent>
                </v:textbox>
              </v:shape>
            </w:pict>
          </mc:Fallback>
        </mc:AlternateContent>
      </w:r>
      <w:r>
        <w:rPr>
          <w:rFonts w:hint="eastAsia" w:ascii="宋体" w:hAnsi="宋体" w:cs="宋体"/>
          <w:b/>
          <w:color w:val="auto"/>
          <w:sz w:val="32"/>
          <w:szCs w:val="28"/>
          <w:highlight w:val="none"/>
        </w:rPr>
        <w:t xml:space="preserve">住房和城乡建设部</w:t>
      </w:r>
      <w:r/>
    </w:p>
    <w:p>
      <w:pPr>
        <w:ind w:right="2719" w:firstLine="2750"/>
        <w:rPr>
          <w:rFonts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jc w:val="center"/>
        <w:keepLines/>
        <w:keepNext/>
        <w:rPr>
          <w:rFonts w:ascii="宋体" w:hAnsi="宋体" w:cs="宋体"/>
          <w:b/>
          <w:bCs/>
          <w:color w:val="auto"/>
          <w:sz w:val="32"/>
          <w:szCs w:val="28"/>
          <w:highlight w:val="none"/>
        </w:rPr>
        <w:outlineLvl w:val="1"/>
      </w:pPr>
      <w:r>
        <w:rPr>
          <w:rFonts w:hint="eastAsia" w:ascii="宋体" w:hAnsi="宋体" w:cs="宋体"/>
          <w:color w:val="auto"/>
          <w:highlight w:val="none"/>
        </w:rPr>
        <w:br w:type="page" w:clear="all"/>
      </w:r>
      <w:bookmarkStart w:id="183" w:name="_Toc203032700"/>
      <w:r>
        <w:rPr>
          <w:rFonts w:hint="eastAsia" w:ascii="宋体" w:hAnsi="宋体" w:cs="宋体"/>
          <w:b/>
          <w:bCs/>
          <w:color w:val="auto"/>
          <w:sz w:val="32"/>
          <w:szCs w:val="28"/>
          <w:highlight w:val="none"/>
        </w:rPr>
        <w:t xml:space="preserve">第一部分 合同协议书</w:t>
      </w:r>
      <w:bookmarkEnd w:id="183"/>
      <w:r/>
      <w:r/>
    </w:p>
    <w:p>
      <w:pPr>
        <w:ind w:firstLine="422"/>
        <w:jc w:val="left"/>
        <w:spacing w:line="360" w:lineRule="exact"/>
        <w:widowControl/>
        <w:rPr>
          <w:rFonts w:ascii="宋体" w:hAnsi="宋体" w:cs="宋体"/>
          <w:b/>
          <w:color w:val="auto"/>
          <w:szCs w:val="21"/>
          <w:highlight w:val="none"/>
        </w:rPr>
      </w:pPr>
      <w:r>
        <w:rPr>
          <w:rFonts w:ascii="宋体" w:hAnsi="宋体" w:cs="宋体"/>
          <w:b/>
          <w:color w:val="auto"/>
          <w:szCs w:val="21"/>
          <w:highlight w:val="none"/>
        </w:rPr>
      </w:r>
      <w:r/>
    </w:p>
    <w:p>
      <w:pPr>
        <w:jc w:val="left"/>
        <w:spacing w:line="360" w:lineRule="auto"/>
        <w:tabs>
          <w:tab w:val="left" w:pos="61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lang w:eastAsia="zh-CN"/>
        </w:rPr>
        <w:t xml:space="preserve">盐城市盐渎实验学校</w:t>
      </w:r>
      <w:r/>
    </w:p>
    <w:p>
      <w:pPr>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p>
    <w:p>
      <w:pPr>
        <w:ind w:right="120" w:firstLine="51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根据《中华人民共和国民法典》、《中华人民共和国建筑法》及有关法律规定，遵循 平等、自愿、公平和诚实信用的原则，双方就</w:t>
      </w:r>
      <w:r>
        <w:rPr>
          <w:rFonts w:hint="eastAsia" w:ascii="宋体" w:hAnsi="宋体" w:cs="宋体"/>
          <w:color w:val="auto"/>
          <w:sz w:val="24"/>
          <w:highlight w:val="none"/>
          <w:u w:val="single"/>
          <w:lang w:eastAsia="zh-CN"/>
        </w:rPr>
        <w:t xml:space="preserve">盐渎实验学校教学楼屋顶渗漏维修工程</w:t>
      </w:r>
      <w:r>
        <w:rPr>
          <w:rFonts w:hint="eastAsia" w:ascii="宋体" w:hAnsi="宋体" w:cs="宋体"/>
          <w:color w:val="auto"/>
          <w:sz w:val="24"/>
          <w:highlight w:val="none"/>
        </w:rPr>
        <w:t xml:space="preserve">施工及有关事项协商一致，共同达成 如下协议：</w:t>
      </w:r>
      <w:r/>
    </w:p>
    <w:p>
      <w:pPr>
        <w:jc w:val="left"/>
        <w:spacing w:line="360" w:lineRule="auto"/>
        <w:tabs>
          <w:tab w:val="left" w:pos="5080" w:leader="none"/>
          <w:tab w:val="left" w:pos="9960" w:leader="none"/>
          <w:tab w:val="left" w:pos="10100" w:leader="none"/>
        </w:tabs>
        <w:rPr>
          <w:rFonts w:ascii="宋体" w:hAnsi="宋体" w:cs="宋体"/>
          <w:color w:val="auto"/>
          <w:sz w:val="24"/>
          <w:highlight w:val="none"/>
        </w:rPr>
      </w:pPr>
      <w:r>
        <w:rPr>
          <w:rFonts w:hint="eastAsia" w:ascii="宋体" w:hAnsi="宋体" w:cs="宋体"/>
          <w:color w:val="auto"/>
          <w:sz w:val="24"/>
          <w:highlight w:val="none"/>
        </w:rPr>
        <w:t xml:space="preserve">　　一、工程概况</w:t>
      </w:r>
      <w:r/>
    </w:p>
    <w:p>
      <w:pPr>
        <w:jc w:val="left"/>
        <w:spacing w:line="360" w:lineRule="auto"/>
        <w:tabs>
          <w:tab w:val="left" w:pos="2160" w:leader="none"/>
          <w:tab w:val="left" w:pos="5080" w:leader="none"/>
          <w:tab w:val="left" w:pos="9960" w:leader="none"/>
          <w:tab w:val="left" w:pos="10100" w:leader="none"/>
        </w:tabs>
        <w:rPr>
          <w:rFonts w:ascii="宋体" w:hAnsi="宋体" w:cs="宋体"/>
          <w:color w:val="auto"/>
          <w:sz w:val="24"/>
          <w:highlight w:val="none"/>
        </w:rPr>
      </w:pPr>
      <w:r>
        <w:rPr>
          <w:rFonts w:hint="eastAsia" w:ascii="宋体" w:hAnsi="宋体" w:cs="宋体"/>
          <w:color w:val="auto"/>
          <w:sz w:val="24"/>
          <w:highlight w:val="none"/>
        </w:rPr>
        <w:t xml:space="preserve">　　1.工程名称：</w:t>
      </w:r>
      <w:r>
        <w:rPr>
          <w:rFonts w:hint="eastAsia" w:ascii="宋体" w:hAnsi="宋体" w:cs="宋体"/>
          <w:color w:val="auto"/>
          <w:sz w:val="24"/>
          <w:highlight w:val="none"/>
          <w:u w:val="single"/>
          <w:lang w:eastAsia="zh-CN"/>
        </w:rPr>
        <w:t xml:space="preserve">盐渎实验学校教学楼屋顶渗漏维修工程</w:t>
      </w:r>
      <w:r>
        <w:rPr>
          <w:rFonts w:hint="eastAsia" w:ascii="宋体" w:hAnsi="宋体" w:cs="宋体"/>
          <w:color w:val="auto"/>
          <w:sz w:val="24"/>
          <w:highlight w:val="none"/>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auto"/>
          <w:sz w:val="24"/>
          <w:highlight w:val="none"/>
        </w:rPr>
      </w:pPr>
      <w:r>
        <w:rPr>
          <w:rFonts w:hint="eastAsia" w:ascii="宋体" w:hAnsi="宋体" w:cs="宋体"/>
          <w:color w:val="auto"/>
          <w:sz w:val="24"/>
          <w:highlight w:val="none"/>
        </w:rPr>
        <w:t xml:space="preserve">　　2.工程地点：</w:t>
      </w:r>
      <w:r>
        <w:rPr>
          <w:rFonts w:hint="eastAsia" w:ascii="宋体" w:hAnsi="宋体" w:cs="宋体"/>
          <w:color w:val="auto"/>
          <w:sz w:val="24"/>
          <w:highlight w:val="none"/>
          <w:u w:val="single"/>
          <w:lang w:eastAsia="zh-CN"/>
        </w:rPr>
        <w:t xml:space="preserve">盐城市盐渎实验学校</w:t>
      </w:r>
      <w:r>
        <w:rPr>
          <w:rFonts w:hint="eastAsia" w:ascii="宋体" w:hAnsi="宋体" w:cs="宋体"/>
          <w:color w:val="auto"/>
          <w:sz w:val="24"/>
          <w:highlight w:val="none"/>
          <w:u w:val="single"/>
        </w:rPr>
        <w:t xml:space="preserve">内</w:t>
      </w:r>
      <w:r>
        <w:rPr>
          <w:rFonts w:hint="eastAsia" w:ascii="宋体" w:hAnsi="宋体" w:cs="宋体"/>
          <w:color w:val="auto"/>
          <w:sz w:val="24"/>
          <w:highlight w:val="none"/>
        </w:rPr>
        <w:t xml:space="preserve">。</w:t>
      </w:r>
      <w:r/>
    </w:p>
    <w:p>
      <w:pPr>
        <w:jc w:val="left"/>
        <w:spacing w:line="360" w:lineRule="auto"/>
        <w:tabs>
          <w:tab w:val="left" w:pos="3200" w:leader="none"/>
          <w:tab w:val="left" w:pos="5080" w:leader="none"/>
          <w:tab w:val="left" w:pos="9960" w:leader="none"/>
          <w:tab w:val="left" w:pos="10100" w:leader="none"/>
        </w:tabs>
        <w:rPr>
          <w:rFonts w:ascii="宋体" w:hAnsi="宋体" w:cs="宋体"/>
          <w:color w:val="auto"/>
          <w:sz w:val="24"/>
          <w:highlight w:val="none"/>
        </w:rPr>
      </w:pPr>
      <w:r>
        <w:rPr>
          <w:rFonts w:hint="eastAsia" w:ascii="宋体" w:hAnsi="宋体" w:cs="宋体"/>
          <w:color w:val="auto"/>
          <w:sz w:val="24"/>
          <w:highlight w:val="none"/>
        </w:rPr>
        <w:t xml:space="preserve">　　3.工程立项批准文号：</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auto"/>
          <w:sz w:val="24"/>
          <w:highlight w:val="none"/>
        </w:rPr>
      </w:pPr>
      <w:r>
        <w:rPr>
          <w:rFonts w:hint="eastAsia" w:ascii="宋体" w:hAnsi="宋体" w:cs="宋体"/>
          <w:color w:val="auto"/>
          <w:sz w:val="24"/>
          <w:highlight w:val="none"/>
        </w:rPr>
        <w:t xml:space="preserve">　　4.资金来源：</w:t>
      </w:r>
      <w:r>
        <w:rPr>
          <w:rFonts w:hint="eastAsia" w:ascii="宋体" w:hAnsi="宋体" w:cs="宋体"/>
          <w:color w:val="auto"/>
          <w:sz w:val="24"/>
          <w:highlight w:val="none"/>
          <w:u w:val="single"/>
        </w:rPr>
        <w:t xml:space="preserve">财政</w:t>
      </w:r>
      <w:r>
        <w:rPr>
          <w:rFonts w:hint="eastAsia" w:ascii="宋体" w:hAnsi="宋体" w:cs="宋体"/>
          <w:color w:val="auto"/>
          <w:sz w:val="24"/>
          <w:highlight w:val="none"/>
        </w:rPr>
        <w:t xml:space="preserve">。</w:t>
      </w:r>
      <w:r/>
    </w:p>
    <w:p>
      <w:pPr>
        <w:jc w:val="left"/>
        <w:spacing w:line="360" w:lineRule="auto"/>
        <w:tabs>
          <w:tab w:val="left" w:pos="2600" w:leader="none"/>
          <w:tab w:val="left" w:pos="3200" w:leader="none"/>
          <w:tab w:val="left" w:pos="5080" w:leader="none"/>
          <w:tab w:val="left" w:pos="9960" w:leader="none"/>
        </w:tabs>
        <w:rPr>
          <w:rFonts w:ascii="宋体" w:hAnsi="宋体" w:cs="宋体"/>
          <w:color w:val="auto"/>
          <w:sz w:val="24"/>
          <w:highlight w:val="none"/>
        </w:rPr>
      </w:pPr>
      <w:r>
        <w:rPr>
          <w:rFonts w:hint="eastAsia" w:ascii="宋体" w:hAnsi="宋体" w:cs="宋体"/>
          <w:color w:val="auto"/>
          <w:sz w:val="24"/>
          <w:highlight w:val="none"/>
        </w:rPr>
        <w:t xml:space="preserve">　　5.工程内容：</w:t>
      </w:r>
      <w:r>
        <w:rPr>
          <w:rFonts w:hint="eastAsia" w:ascii="宋体" w:hAnsi="宋体" w:cs="宋体"/>
          <w:color w:val="auto"/>
          <w:sz w:val="24"/>
          <w:highlight w:val="none"/>
          <w:u w:val="single"/>
        </w:rPr>
        <w:t xml:space="preserve">工程包工包料施工</w:t>
      </w:r>
      <w:r>
        <w:rPr>
          <w:rFonts w:hint="eastAsia" w:ascii="宋体" w:hAnsi="宋体" w:cs="宋体"/>
          <w:color w:val="auto"/>
          <w:sz w:val="24"/>
          <w:highlight w:val="none"/>
        </w:rPr>
        <w:t xml:space="preserve">。</w:t>
      </w:r>
      <w:r/>
    </w:p>
    <w:p>
      <w:pPr>
        <w:jc w:val="left"/>
        <w:spacing w:line="360" w:lineRule="auto"/>
        <w:tabs>
          <w:tab w:val="left" w:pos="3018" w:leader="none"/>
          <w:tab w:val="left" w:pos="3200" w:leader="none"/>
          <w:tab w:val="left" w:pos="5080" w:leader="none"/>
          <w:tab w:val="left" w:pos="9960" w:leader="none"/>
        </w:tabs>
        <w:rPr>
          <w:rFonts w:ascii="宋体" w:hAnsi="宋体" w:cs="宋体"/>
          <w:color w:val="auto"/>
          <w:sz w:val="24"/>
          <w:highlight w:val="none"/>
        </w:rPr>
      </w:pPr>
      <w:r>
        <w:rPr>
          <w:rFonts w:hint="eastAsia" w:ascii="宋体" w:hAnsi="宋体" w:cs="宋体"/>
          <w:color w:val="auto"/>
          <w:sz w:val="24"/>
          <w:highlight w:val="none"/>
        </w:rPr>
        <w:t xml:space="preserve">　　6.工程承包范围：</w:t>
      </w:r>
      <w:r>
        <w:rPr>
          <w:rFonts w:hint="eastAsia" w:ascii="宋体" w:hAnsi="宋体" w:cs="宋体"/>
          <w:bCs/>
          <w:color w:val="auto"/>
          <w:sz w:val="24"/>
          <w:highlight w:val="none"/>
          <w:lang w:eastAsia="zh-CN"/>
        </w:rPr>
        <w:t xml:space="preserve">盐渎实验学校教学楼屋顶渗漏维修工程</w:t>
      </w:r>
      <w:r>
        <w:rPr>
          <w:rFonts w:hint="eastAsia" w:ascii="宋体" w:hAnsi="宋体" w:cs="宋体"/>
          <w:bCs/>
          <w:color w:val="auto"/>
          <w:sz w:val="24"/>
          <w:highlight w:val="none"/>
        </w:rPr>
        <w:t xml:space="preserve">。详见工程量清单，招标人有权对工作量进行增减。</w:t>
      </w:r>
      <w:r/>
    </w:p>
    <w:p>
      <w:pPr>
        <w:jc w:val="left"/>
        <w:spacing w:line="360" w:lineRule="auto"/>
        <w:tabs>
          <w:tab w:val="left" w:pos="5080" w:leader="none"/>
          <w:tab w:val="left" w:pos="9960" w:leader="none"/>
          <w:tab w:val="left" w:pos="10100" w:leader="none"/>
        </w:tabs>
        <w:rPr>
          <w:rFonts w:ascii="宋体" w:hAnsi="宋体" w:cs="宋体"/>
          <w:color w:val="auto"/>
          <w:sz w:val="24"/>
          <w:highlight w:val="none"/>
        </w:rPr>
      </w:pPr>
      <w:r>
        <w:rPr>
          <w:rFonts w:hint="eastAsia" w:ascii="宋体" w:hAnsi="宋体" w:cs="宋体"/>
          <w:color w:val="auto"/>
          <w:sz w:val="24"/>
          <w:highlight w:val="none"/>
        </w:rPr>
        <w:t xml:space="preserve">　　二、合同工期</w:t>
      </w:r>
      <w:r/>
    </w:p>
    <w:p>
      <w:pPr>
        <w:jc w:val="left"/>
        <w:spacing w:line="360" w:lineRule="auto"/>
        <w:tabs>
          <w:tab w:val="left" w:pos="5080" w:leader="none"/>
          <w:tab w:val="left" w:pos="9960" w:leader="none"/>
          <w:tab w:val="left" w:pos="10100" w:leader="none"/>
        </w:tabs>
        <w:rPr>
          <w:rFonts w:ascii="宋体" w:hAnsi="宋体" w:cs="宋体"/>
          <w:color w:val="auto"/>
          <w:sz w:val="24"/>
          <w:highlight w:val="none"/>
        </w:rPr>
      </w:pPr>
      <w:r>
        <w:rPr>
          <w:rFonts w:hint="eastAsia" w:ascii="宋体" w:hAnsi="宋体" w:cs="宋体"/>
          <w:color w:val="auto"/>
          <w:sz w:val="24"/>
          <w:highlight w:val="none"/>
        </w:rPr>
        <w:t xml:space="preserve">　　计划开工日期：</w:t>
      </w:r>
      <w:r>
        <w:rPr>
          <w:rFonts w:hint="eastAsia" w:ascii="宋体" w:hAnsi="宋体" w:cs="宋体"/>
          <w:color w:val="auto"/>
          <w:sz w:val="24"/>
          <w:highlight w:val="none"/>
          <w:u w:val="single"/>
        </w:rPr>
        <w:t xml:space="preserve">（以发包人书面通知为准）  </w:t>
      </w:r>
      <w:r>
        <w:rPr>
          <w:rFonts w:hint="eastAsia" w:ascii="宋体" w:hAnsi="宋体" w:cs="宋体"/>
          <w:color w:val="auto"/>
          <w:sz w:val="24"/>
          <w:highlight w:val="none"/>
        </w:rPr>
        <w:t xml:space="preserve">。</w:t>
      </w:r>
      <w:r/>
    </w:p>
    <w:p>
      <w:pPr>
        <w:jc w:val="left"/>
        <w:spacing w:line="360" w:lineRule="auto"/>
        <w:tabs>
          <w:tab w:val="left" w:pos="2600" w:leader="none"/>
          <w:tab w:val="left" w:pos="4458" w:leader="none"/>
          <w:tab w:val="left" w:pos="9960" w:leader="none"/>
          <w:tab w:val="left" w:pos="10100" w:leader="none"/>
        </w:tabs>
        <w:rPr>
          <w:rFonts w:ascii="宋体" w:hAnsi="宋体" w:cs="宋体"/>
          <w:color w:val="auto"/>
          <w:sz w:val="24"/>
          <w:highlight w:val="none"/>
        </w:rPr>
      </w:pPr>
      <w:r>
        <w:rPr>
          <w:rFonts w:hint="eastAsia" w:ascii="宋体" w:hAnsi="宋体" w:cs="宋体"/>
          <w:color w:val="auto"/>
          <w:sz w:val="24"/>
          <w:highlight w:val="none"/>
        </w:rPr>
        <w:t xml:space="preserve">　　计划竣工日期：</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jc w:val="left"/>
        <w:spacing w:line="360" w:lineRule="auto"/>
        <w:tabs>
          <w:tab w:val="left" w:pos="2800" w:leader="none"/>
        </w:tabs>
        <w:rPr>
          <w:rFonts w:ascii="宋体" w:hAnsi="宋体" w:cs="宋体"/>
          <w:color w:val="auto"/>
          <w:sz w:val="24"/>
          <w:highlight w:val="none"/>
        </w:rPr>
      </w:pPr>
      <w:r>
        <w:rPr>
          <w:rFonts w:hint="eastAsia" w:ascii="宋体" w:hAnsi="宋体" w:cs="宋体"/>
          <w:color w:val="auto"/>
          <w:sz w:val="24"/>
          <w:highlight w:val="none"/>
        </w:rPr>
        <w:t xml:space="preserve">　　工期总日历天数：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天。工期总日历天数与根据前述计划开竣工日期计算的工期天数不一致的，以工期总日历天数为准。</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auto"/>
          <w:sz w:val="24"/>
          <w:highlight w:val="none"/>
        </w:rPr>
      </w:pPr>
      <w:r>
        <w:rPr>
          <w:rFonts w:hint="eastAsia" w:ascii="宋体" w:hAnsi="宋体" w:cs="宋体"/>
          <w:color w:val="auto"/>
          <w:sz w:val="24"/>
          <w:highlight w:val="none"/>
        </w:rPr>
        <w:t xml:space="preserve">　　三、质量标准</w:t>
      </w:r>
      <w:r/>
    </w:p>
    <w:p>
      <w:pPr>
        <w:jc w:val="left"/>
        <w:spacing w:line="360" w:lineRule="auto"/>
        <w:tabs>
          <w:tab w:val="left" w:pos="2200" w:leader="none"/>
          <w:tab w:val="left" w:pos="2800" w:leader="none"/>
          <w:tab w:val="left" w:pos="4960" w:leader="none"/>
          <w:tab w:val="left" w:pos="9500" w:leader="none"/>
        </w:tabs>
        <w:rPr>
          <w:rFonts w:ascii="宋体" w:hAnsi="宋体" w:cs="宋体"/>
          <w:color w:val="auto"/>
          <w:sz w:val="24"/>
          <w:highlight w:val="none"/>
        </w:rPr>
      </w:pPr>
      <w:r>
        <w:rPr>
          <w:rFonts w:hint="eastAsia" w:ascii="宋体" w:hAnsi="宋体" w:cs="宋体"/>
          <w:color w:val="auto"/>
          <w:sz w:val="24"/>
          <w:highlight w:val="none"/>
        </w:rPr>
        <w:t xml:space="preserve">　　工程质量符合</w:t>
      </w:r>
      <w:r>
        <w:rPr>
          <w:rFonts w:hint="eastAsia" w:ascii="宋体" w:hAnsi="宋体" w:cs="宋体"/>
          <w:color w:val="auto"/>
          <w:sz w:val="24"/>
          <w:highlight w:val="none"/>
          <w:u w:val="single"/>
        </w:rPr>
        <w:t xml:space="preserve"> 国家及地方相关验收规范的“合格”</w:t>
      </w:r>
      <w:r>
        <w:rPr>
          <w:rFonts w:hint="eastAsia" w:ascii="宋体" w:hAnsi="宋体" w:cs="宋体"/>
          <w:color w:val="auto"/>
          <w:sz w:val="24"/>
          <w:highlight w:val="none"/>
        </w:rPr>
        <w:t xml:space="preserve">标准，并符合招标人提出的具体质量要求。</w:t>
      </w:r>
      <w:r/>
    </w:p>
    <w:p>
      <w:pPr>
        <w:jc w:val="left"/>
        <w:spacing w:line="360" w:lineRule="auto"/>
        <w:tabs>
          <w:tab w:val="left" w:pos="9500" w:leader="none"/>
          <w:tab w:val="left" w:pos="9980" w:leader="none"/>
        </w:tabs>
        <w:rPr>
          <w:rFonts w:ascii="宋体" w:hAnsi="宋体" w:cs="宋体"/>
          <w:color w:val="auto"/>
          <w:sz w:val="24"/>
          <w:highlight w:val="none"/>
        </w:rPr>
      </w:pPr>
      <w:r>
        <w:rPr>
          <w:rFonts w:hint="eastAsia" w:ascii="宋体" w:hAnsi="宋体" w:cs="宋体"/>
          <w:color w:val="auto"/>
          <w:sz w:val="24"/>
          <w:highlight w:val="none"/>
        </w:rPr>
        <w:t xml:space="preserve">　　四、签约合同</w:t>
      </w:r>
      <w:r>
        <w:rPr>
          <w:rFonts w:hint="eastAsia" w:ascii="宋体" w:hAnsi="宋体" w:cs="宋体"/>
          <w:color w:val="auto"/>
          <w:sz w:val="24"/>
          <w:highlight w:val="none"/>
          <w:lang w:val="en-US" w:eastAsia="zh-CN"/>
        </w:rPr>
        <w:t xml:space="preserve">含税</w:t>
      </w:r>
      <w:r>
        <w:rPr>
          <w:rFonts w:hint="eastAsia" w:ascii="宋体" w:hAnsi="宋体" w:cs="宋体"/>
          <w:color w:val="auto"/>
          <w:sz w:val="24"/>
          <w:highlight w:val="none"/>
        </w:rPr>
        <w:t xml:space="preserve">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auto"/>
          <w:sz w:val="24"/>
          <w:highlight w:val="none"/>
        </w:rPr>
      </w:pPr>
      <w:r>
        <w:rPr>
          <w:rFonts w:hint="eastAsia" w:ascii="宋体" w:hAnsi="宋体" w:cs="宋体"/>
          <w:color w:val="auto"/>
          <w:sz w:val="24"/>
          <w:highlight w:val="none"/>
        </w:rPr>
        <w:t xml:space="preserve">　　1.签约合同价为：</w:t>
      </w:r>
      <w:r/>
    </w:p>
    <w:p>
      <w:pPr>
        <w:jc w:val="left"/>
        <w:spacing w:line="360" w:lineRule="auto"/>
        <w:tabs>
          <w:tab w:val="left" w:pos="4343" w:leader="none"/>
          <w:tab w:val="left" w:pos="4478" w:leader="none"/>
          <w:tab w:val="left" w:pos="4940" w:leader="none"/>
          <w:tab w:val="left" w:pos="6940" w:leader="none"/>
          <w:tab w:val="left" w:pos="7960" w:leader="none"/>
          <w:tab w:val="left" w:pos="9500" w:leader="none"/>
          <w:tab w:val="left" w:pos="9980" w:leader="none"/>
        </w:tabs>
        <w:rPr>
          <w:rFonts w:ascii="宋体" w:hAnsi="宋体" w:cs="宋体"/>
          <w:color w:val="auto"/>
          <w:sz w:val="24"/>
          <w:highlight w:val="none"/>
        </w:rPr>
      </w:pPr>
      <w:r>
        <w:rPr>
          <w:rFonts w:hint="eastAsia" w:ascii="宋体" w:hAnsi="宋体" w:cs="宋体"/>
          <w:color w:val="auto"/>
          <w:sz w:val="24"/>
          <w:highlight w:val="none"/>
        </w:rPr>
        <w:t xml:space="preserve">　　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right="7320" w:firstLine="510"/>
        <w:jc w:val="left"/>
        <w:spacing w:line="360" w:lineRule="auto"/>
        <w:rPr>
          <w:rFonts w:ascii="宋体" w:hAnsi="宋体" w:cs="宋体"/>
          <w:color w:val="auto"/>
          <w:sz w:val="24"/>
          <w:highlight w:val="none"/>
        </w:rPr>
      </w:pPr>
      <w:r/>
      <w:bookmarkStart w:id="184" w:name="page3"/>
      <w:r/>
      <w:bookmarkEnd w:id="184"/>
      <w:r>
        <w:rPr>
          <w:rFonts w:hint="eastAsia" w:ascii="宋体" w:hAnsi="宋体" w:cs="宋体"/>
          <w:color w:val="auto"/>
          <w:sz w:val="24"/>
          <w:highlight w:val="none"/>
        </w:rPr>
        <w:t xml:space="preserve">其中： </w:t>
      </w:r>
      <w:r/>
    </w:p>
    <w:p>
      <w:pPr>
        <w:ind w:right="94"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(1)安全文明施工费：</w:t>
      </w:r>
      <w:r/>
    </w:p>
    <w:p>
      <w:pPr>
        <w:jc w:val="left"/>
        <w:spacing w:line="360" w:lineRule="auto"/>
        <w:tabs>
          <w:tab w:val="left" w:pos="7560" w:leader="none"/>
          <w:tab w:val="left" w:pos="9960" w:leader="none"/>
        </w:tabs>
        <w:rPr>
          <w:rFonts w:ascii="宋体" w:hAnsi="宋体" w:cs="宋体"/>
          <w:color w:val="auto"/>
          <w:sz w:val="24"/>
          <w:highlight w:val="none"/>
        </w:rPr>
      </w:pPr>
      <w:r>
        <w:rPr>
          <w:rFonts w:hint="eastAsia" w:ascii="宋体" w:hAnsi="宋体" w:cs="宋体"/>
          <w:color w:val="auto"/>
          <w:sz w:val="24"/>
          <w:highlight w:val="none"/>
        </w:rPr>
        <w:t xml:space="preserve">　　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(2)材料和工程设备暂估价金额：</w:t>
      </w:r>
      <w:r/>
    </w:p>
    <w:p>
      <w:pPr>
        <w:jc w:val="left"/>
        <w:spacing w:line="360" w:lineRule="auto"/>
        <w:tabs>
          <w:tab w:val="left" w:pos="7560" w:leader="none"/>
          <w:tab w:val="left" w:pos="9960" w:leader="none"/>
        </w:tabs>
        <w:rPr>
          <w:rFonts w:ascii="宋体" w:hAnsi="宋体" w:cs="宋体"/>
          <w:color w:val="auto"/>
          <w:sz w:val="24"/>
          <w:highlight w:val="none"/>
        </w:rPr>
      </w:pPr>
      <w:r>
        <w:rPr>
          <w:rFonts w:hint="eastAsia" w:ascii="宋体" w:hAnsi="宋体" w:cs="宋体"/>
          <w:color w:val="auto"/>
          <w:sz w:val="24"/>
          <w:highlight w:val="none"/>
        </w:rPr>
        <w:t xml:space="preserve">　　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(3)专业工程暂估价金额：</w:t>
      </w:r>
      <w:r/>
    </w:p>
    <w:p>
      <w:pPr>
        <w:jc w:val="left"/>
        <w:spacing w:line="360" w:lineRule="auto"/>
        <w:tabs>
          <w:tab w:val="left" w:pos="6195" w:leader="none"/>
          <w:tab w:val="left" w:pos="9960" w:leader="none"/>
        </w:tabs>
        <w:rPr>
          <w:rFonts w:ascii="宋体" w:hAnsi="宋体" w:cs="宋体"/>
          <w:color w:val="auto"/>
          <w:sz w:val="24"/>
          <w:highlight w:val="none"/>
        </w:rPr>
      </w:pPr>
      <w:r>
        <w:rPr>
          <w:rFonts w:hint="eastAsia" w:ascii="宋体" w:hAnsi="宋体" w:cs="宋体"/>
          <w:color w:val="auto"/>
          <w:sz w:val="24"/>
          <w:highlight w:val="none"/>
        </w:rPr>
        <w:t xml:space="preserve">　　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(4)暂列金额：</w:t>
      </w:r>
      <w:r/>
    </w:p>
    <w:p>
      <w:pPr>
        <w:jc w:val="left"/>
        <w:spacing w:line="360" w:lineRule="auto"/>
        <w:tabs>
          <w:tab w:val="left" w:pos="3945" w:leader="none"/>
          <w:tab w:val="left" w:pos="6730" w:leader="none"/>
          <w:tab w:val="left" w:pos="7960" w:leader="none"/>
          <w:tab w:val="left" w:pos="9980" w:leader="none"/>
        </w:tabs>
        <w:rPr>
          <w:rFonts w:ascii="宋体" w:hAnsi="宋体" w:cs="宋体"/>
          <w:color w:val="auto"/>
          <w:sz w:val="24"/>
          <w:highlight w:val="none"/>
        </w:rPr>
      </w:pPr>
      <w:r>
        <w:rPr>
          <w:rFonts w:hint="eastAsia" w:ascii="宋体" w:hAnsi="宋体" w:cs="宋体"/>
          <w:color w:val="auto"/>
          <w:sz w:val="24"/>
          <w:highlight w:val="none"/>
        </w:rPr>
        <w:t xml:space="preserve">　　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jc w:val="left"/>
        <w:spacing w:line="360" w:lineRule="auto"/>
        <w:tabs>
          <w:tab w:val="left" w:pos="2232" w:leader="none"/>
          <w:tab w:val="left" w:pos="4572" w:leader="none"/>
          <w:tab w:val="left" w:pos="5292" w:leader="none"/>
          <w:tab w:val="left" w:pos="7960" w:leader="none"/>
          <w:tab w:val="left" w:pos="9980" w:leader="none"/>
        </w:tabs>
        <w:rPr>
          <w:rFonts w:ascii="宋体" w:hAnsi="宋体" w:cs="宋体"/>
          <w:color w:val="auto"/>
          <w:sz w:val="24"/>
          <w:highlight w:val="none"/>
        </w:rPr>
      </w:pPr>
      <w:r>
        <w:rPr>
          <w:rFonts w:hint="eastAsia" w:ascii="宋体" w:hAnsi="宋体" w:cs="宋体"/>
          <w:color w:val="auto"/>
          <w:sz w:val="24"/>
          <w:highlight w:val="none"/>
        </w:rPr>
        <w:t xml:space="preserve">　　2.合同价格形式：</w:t>
      </w:r>
      <w:r>
        <w:rPr>
          <w:rFonts w:hint="eastAsia" w:ascii="宋体" w:hAnsi="宋体" w:cs="宋体"/>
          <w:color w:val="auto"/>
          <w:sz w:val="24"/>
          <w:highlight w:val="none"/>
          <w:u w:val="single"/>
        </w:rPr>
        <w:t xml:space="preserve">固定单价合同</w:t>
      </w:r>
      <w:r>
        <w:rPr>
          <w:rFonts w:hint="eastAsia" w:ascii="宋体" w:hAnsi="宋体" w:cs="宋体"/>
          <w:color w:val="auto"/>
          <w:sz w:val="24"/>
          <w:highlight w:val="none"/>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auto"/>
          <w:sz w:val="24"/>
          <w:highlight w:val="none"/>
        </w:rPr>
      </w:pPr>
      <w:r>
        <w:rPr>
          <w:rFonts w:hint="eastAsia" w:ascii="宋体" w:hAnsi="宋体" w:cs="宋体"/>
          <w:color w:val="auto"/>
          <w:sz w:val="24"/>
          <w:highlight w:val="none"/>
        </w:rPr>
        <w:t xml:space="preserve">　　五、项目负责人</w:t>
      </w:r>
      <w:r/>
    </w:p>
    <w:p>
      <w:pPr>
        <w:jc w:val="left"/>
        <w:spacing w:line="360" w:lineRule="auto"/>
        <w:tabs>
          <w:tab w:val="left" w:pos="4240" w:leader="none"/>
          <w:tab w:val="left" w:pos="7835" w:leader="none"/>
          <w:tab w:val="left" w:pos="9980" w:leader="none"/>
        </w:tabs>
        <w:rPr>
          <w:rFonts w:ascii="宋体" w:hAnsi="宋体" w:cs="宋体"/>
          <w:color w:val="auto"/>
          <w:sz w:val="24"/>
          <w:highlight w:val="none"/>
        </w:rPr>
      </w:pPr>
      <w:r>
        <w:rPr>
          <w:rFonts w:hint="eastAsia" w:ascii="宋体" w:hAnsi="宋体" w:cs="宋体"/>
          <w:color w:val="auto"/>
          <w:sz w:val="24"/>
          <w:highlight w:val="none"/>
        </w:rPr>
        <w:t xml:space="preserve">　　承包人项目负责人：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auto"/>
          <w:sz w:val="24"/>
          <w:highlight w:val="none"/>
        </w:rPr>
      </w:pPr>
      <w:r>
        <w:rPr>
          <w:rFonts w:hint="eastAsia" w:ascii="宋体" w:hAnsi="宋体" w:cs="宋体"/>
          <w:color w:val="auto"/>
          <w:sz w:val="24"/>
          <w:highlight w:val="none"/>
        </w:rPr>
        <w:t xml:space="preserve">　　六、合同文件构成</w:t>
      </w:r>
      <w:r/>
    </w:p>
    <w:p>
      <w:pPr>
        <w:ind w:left="510" w:right="-37"/>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本协议书与下列文件一起构成合同文件：</w:t>
      </w:r>
      <w:r/>
    </w:p>
    <w:p>
      <w:pPr>
        <w:ind w:firstLine="480"/>
        <w:jc w:val="left"/>
        <w:spacing w:line="360" w:lineRule="auto"/>
        <w:tabs>
          <w:tab w:val="left" w:pos="5475" w:leader="none"/>
        </w:tabs>
        <w:rPr>
          <w:rFonts w:ascii="宋体" w:hAnsi="宋体" w:cs="宋体"/>
          <w:color w:val="auto"/>
          <w:sz w:val="24"/>
          <w:highlight w:val="none"/>
        </w:rPr>
      </w:pPr>
      <w:r>
        <w:rPr>
          <w:rFonts w:hint="eastAsia" w:ascii="宋体" w:hAnsi="宋体" w:cs="宋体"/>
          <w:color w:val="auto"/>
          <w:sz w:val="24"/>
          <w:highlight w:val="none"/>
        </w:rPr>
        <w:t xml:space="preserve">（1）中标通知书（如果有）；</w:t>
      </w:r>
      <w:r>
        <w:rPr>
          <w:rFonts w:ascii="宋体" w:hAnsi="宋体" w:cs="宋体"/>
          <w:color w:val="auto"/>
          <w:sz w:val="24"/>
          <w:highlight w:val="none"/>
        </w:rPr>
        <w:tab/>
      </w:r>
      <w:r/>
    </w:p>
    <w:p>
      <w:pPr>
        <w:ind w:firstLine="51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（2）投标函及其附录（如果有）；</w:t>
      </w:r>
      <w:r/>
    </w:p>
    <w:p>
      <w:pPr>
        <w:ind w:firstLine="51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ind w:firstLine="51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（4）通用合同条款；</w:t>
      </w:r>
      <w:r/>
    </w:p>
    <w:p>
      <w:pPr>
        <w:ind w:firstLine="51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（5）技术标准和要求；</w:t>
      </w:r>
      <w:r/>
    </w:p>
    <w:p>
      <w:pPr>
        <w:ind w:firstLine="51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（6）图纸（如有）；</w:t>
      </w:r>
      <w:r/>
    </w:p>
    <w:p>
      <w:pPr>
        <w:ind w:firstLine="51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（7）已标价工程量清单或预算书；</w:t>
      </w:r>
      <w:r>
        <w:rPr>
          <w:rFonts w:ascii="宋体" w:hAnsi="宋体" w:cs="宋体"/>
          <w:color w:val="auto"/>
          <w:sz w:val="24"/>
          <w:highlight w:val="none"/>
        </w:rPr>
        <w:t xml:space="preserve"> </w:t>
      </w:r>
      <w:r/>
    </w:p>
    <w:p>
      <w:pPr>
        <w:ind w:firstLine="51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（8）其他合同文件。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七、承诺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1.发包人承诺按照法律规定履行项目审批手续、筹集工程建设资金并按照合同约定的 期限和方式支付合同价款。</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3.发包人和承包人通过招投标形式签订合同的，双方理解并承诺不再就同一工程另行 签订与合同实质性内容相背离的协议。</w:t>
      </w:r>
      <w:r/>
    </w:p>
    <w:p>
      <w:pPr>
        <w:jc w:val="left"/>
        <w:spacing w:line="360" w:lineRule="auto"/>
        <w:rPr>
          <w:rFonts w:ascii="宋体" w:hAnsi="宋体" w:cs="宋体"/>
          <w:color w:val="auto"/>
          <w:sz w:val="24"/>
          <w:highlight w:val="none"/>
        </w:rPr>
      </w:pPr>
      <w:r/>
      <w:bookmarkStart w:id="185" w:name="page4"/>
      <w:r/>
      <w:bookmarkEnd w:id="185"/>
      <w:r>
        <w:rPr>
          <w:rFonts w:hint="eastAsia" w:ascii="宋体" w:hAnsi="宋体" w:cs="宋体"/>
          <w:color w:val="auto"/>
          <w:sz w:val="24"/>
          <w:highlight w:val="none"/>
        </w:rPr>
        <w:t xml:space="preserve">　　八、词语含义</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本协议书中词语含义与第二部分通用合同条款中赋予的含义相同。</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九、签订时间</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本合同于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签订。</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十、签订地点</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本合同在</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签订。</w:t>
      </w:r>
      <w:r/>
    </w:p>
    <w:p>
      <w:pPr>
        <w:ind w:firstLine="51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十一、补充协议 　　</w:t>
      </w:r>
      <w:r/>
    </w:p>
    <w:p>
      <w:pPr>
        <w:ind w:left="630" w:hanging="1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合同未尽事宜，合同当事人另行签订补充协议，补充协议是合同的组成部分。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十二、合同生效 　　</w:t>
      </w:r>
      <w:r/>
    </w:p>
    <w:p>
      <w:pPr>
        <w:ind w:left="630" w:hanging="1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本合同自</w:t>
      </w:r>
      <w:r>
        <w:rPr>
          <w:rFonts w:hint="eastAsia" w:ascii="宋体" w:hAnsi="宋体" w:cs="宋体"/>
          <w:color w:val="auto"/>
          <w:sz w:val="24"/>
          <w:highlight w:val="none"/>
          <w:u w:val="single"/>
        </w:rPr>
        <w:t xml:space="preserve"> 发、承包双方法定代表人或授权代表签字并加盖单位公章后 </w:t>
      </w:r>
      <w:r>
        <w:rPr>
          <w:rFonts w:hint="eastAsia" w:ascii="宋体" w:hAnsi="宋体" w:cs="宋体"/>
          <w:color w:val="auto"/>
          <w:sz w:val="24"/>
          <w:highlight w:val="none"/>
        </w:rPr>
        <w:t xml:space="preserve">生效。</w:t>
      </w:r>
      <w:r/>
    </w:p>
    <w:p>
      <w:pPr>
        <w:ind w:right="1240" w:firstLine="51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十三、合同份数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捌  </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肆  </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肆  </w:t>
      </w:r>
      <w:r>
        <w:rPr>
          <w:rFonts w:hint="eastAsia" w:ascii="宋体" w:hAnsi="宋体" w:cs="宋体"/>
          <w:bCs/>
          <w:color w:val="auto"/>
          <w:sz w:val="24"/>
          <w:highlight w:val="none"/>
        </w:rPr>
        <w:t xml:space="preserve">份。</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ind w:firstLine="12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（签字）                                     （签字）</w:t>
      </w:r>
      <w:r/>
    </w:p>
    <w:p>
      <w:pPr>
        <w:ind w:firstLine="240"/>
        <w:spacing w:line="360" w:lineRule="auto"/>
        <w:tabs>
          <w:tab w:val="left" w:pos="4410" w:leader="none"/>
        </w:tabs>
        <w:rPr>
          <w:rFonts w:ascii="宋体" w:hAnsi="宋体" w:cs="宋体"/>
          <w:color w:val="auto"/>
          <w:sz w:val="24"/>
          <w:highlight w:val="none"/>
        </w:rPr>
      </w:pPr>
      <w:r>
        <w:rPr>
          <w:rFonts w:hint="eastAsia" w:ascii="宋体" w:hAnsi="宋体" w:cs="宋体"/>
          <w:color w:val="auto"/>
          <w:sz w:val="24"/>
          <w:highlight w:val="none"/>
        </w:rPr>
        <w:t xml:space="preserve">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w:t>
      </w:r>
      <w:r>
        <w:rPr>
          <w:rFonts w:hint="eastAsia" w:ascii="宋体" w:hAnsi="宋体" w:cs="宋体"/>
          <w:color w:val="auto"/>
          <w:sz w:val="24"/>
          <w:highlight w:val="none"/>
          <w:u w:val="single"/>
        </w:rPr>
        <w:t xml:space="preserve">               </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电子信箱：</w:t>
      </w:r>
      <w:r>
        <w:rPr>
          <w:rFonts w:hint="eastAsia" w:ascii="宋体" w:hAnsi="宋体" w:cs="宋体"/>
          <w:color w:val="auto"/>
          <w:sz w:val="24"/>
          <w:highlight w:val="none"/>
          <w:u w:val="single"/>
        </w:rPr>
        <w:t xml:space="preserve">           </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jc w:val="left"/>
        <w:spacing w:line="400" w:lineRule="exact"/>
        <w:rPr>
          <w:rFonts w:ascii="宋体" w:hAnsi="宋体"/>
          <w:color w:val="auto"/>
          <w:szCs w:val="21"/>
          <w:highlight w:val="none"/>
        </w:rPr>
      </w:pPr>
      <w:r>
        <w:rPr>
          <w:rFonts w:ascii="宋体" w:hAnsi="宋体"/>
          <w:color w:val="auto"/>
          <w:szCs w:val="21"/>
          <w:highlight w:val="none"/>
        </w:rPr>
      </w:r>
      <w:r/>
    </w:p>
    <w:p>
      <w:pPr>
        <w:jc w:val="left"/>
        <w:spacing w:line="400" w:lineRule="exact"/>
        <w:rPr>
          <w:rFonts w:ascii="宋体" w:hAnsi="宋体"/>
          <w:color w:val="auto"/>
          <w:szCs w:val="21"/>
          <w:highlight w:val="none"/>
        </w:rPr>
      </w:pPr>
      <w:r>
        <w:rPr>
          <w:rFonts w:ascii="宋体" w:hAnsi="宋体"/>
          <w:color w:val="auto"/>
          <w:szCs w:val="21"/>
          <w:highlight w:val="none"/>
        </w:rPr>
      </w:r>
      <w:r/>
    </w:p>
    <w:p>
      <w:pPr>
        <w:jc w:val="center"/>
        <w:keepLines/>
        <w:keepNext/>
        <w:rPr>
          <w:rFonts w:ascii="宋体" w:hAnsi="宋体" w:cs="宋体"/>
          <w:b/>
          <w:bCs/>
          <w:color w:val="auto"/>
          <w:sz w:val="32"/>
          <w:szCs w:val="28"/>
          <w:highlight w:val="none"/>
        </w:rPr>
        <w:outlineLvl w:val="1"/>
      </w:pPr>
      <w:r/>
      <w:bookmarkStart w:id="186" w:name="page5"/>
      <w:r/>
      <w:bookmarkEnd w:id="186"/>
      <w:r>
        <w:rPr>
          <w:rFonts w:ascii="宋体" w:hAnsi="宋体" w:cs="宋体"/>
          <w:b/>
          <w:bCs/>
          <w:color w:val="auto"/>
          <w:sz w:val="40"/>
          <w:szCs w:val="40"/>
          <w:highlight w:val="none"/>
        </w:rPr>
        <w:br w:type="page" w:clear="all"/>
      </w:r>
      <w:bookmarkStart w:id="187" w:name="_Toc114424413"/>
      <w:r/>
      <w:bookmarkStart w:id="188" w:name="_Toc203032701"/>
      <w:r/>
      <w:bookmarkStart w:id="189" w:name="_Toc166856196"/>
      <w:r>
        <w:rPr>
          <w:rFonts w:ascii="宋体" w:hAnsi="宋体" w:cs="宋体"/>
          <w:b/>
          <w:bCs/>
          <w:color w:val="auto"/>
          <w:sz w:val="32"/>
          <w:szCs w:val="28"/>
          <w:highlight w:val="none"/>
        </w:rPr>
        <w:t xml:space="preserve">第二部分</w:t>
      </w:r>
      <w:r>
        <w:rPr>
          <w:rFonts w:hint="eastAsia" w:ascii="宋体" w:hAnsi="宋体" w:cs="宋体"/>
          <w:b/>
          <w:bCs/>
          <w:color w:val="auto"/>
          <w:sz w:val="32"/>
          <w:szCs w:val="28"/>
          <w:highlight w:val="none"/>
        </w:rPr>
        <w:t xml:space="preserve">  </w:t>
      </w:r>
      <w:r>
        <w:rPr>
          <w:rFonts w:ascii="宋体" w:hAnsi="宋体" w:cs="宋体"/>
          <w:b/>
          <w:bCs/>
          <w:color w:val="auto"/>
          <w:sz w:val="32"/>
          <w:szCs w:val="28"/>
          <w:highlight w:val="none"/>
        </w:rPr>
        <w:t xml:space="preserve">通用合同条款</w:t>
      </w:r>
      <w:bookmarkEnd w:id="187"/>
      <w:r/>
      <w:bookmarkEnd w:id="188"/>
      <w:r/>
      <w:bookmarkEnd w:id="189"/>
      <w:r/>
      <w:r/>
    </w:p>
    <w:p>
      <w:pPr>
        <w:ind w:firstLine="480"/>
        <w:rPr>
          <w:rFonts w:ascii="宋体" w:hAnsi="宋体"/>
          <w:color w:val="auto"/>
          <w:sz w:val="24"/>
          <w:highlight w:val="none"/>
        </w:rPr>
      </w:pPr>
      <w:r>
        <w:rPr>
          <w:rFonts w:ascii="宋体" w:hAnsi="宋体"/>
          <w:color w:val="auto"/>
          <w:sz w:val="24"/>
          <w:highlight w:val="none"/>
        </w:rPr>
        <w:t xml:space="preserve">同建设工程施工合同（示范文本）（GF—201</w:t>
      </w:r>
      <w:r>
        <w:rPr>
          <w:rFonts w:hint="eastAsia" w:ascii="宋体" w:hAnsi="宋体"/>
          <w:color w:val="auto"/>
          <w:sz w:val="24"/>
          <w:highlight w:val="none"/>
        </w:rPr>
        <w:t xml:space="preserve">7</w:t>
      </w:r>
      <w:r>
        <w:rPr>
          <w:rFonts w:ascii="宋体" w:hAnsi="宋体"/>
          <w:color w:val="auto"/>
          <w:sz w:val="24"/>
          <w:highlight w:val="none"/>
        </w:rPr>
        <w:t xml:space="preserve">—0201）内的通用合同条款。</w:t>
      </w:r>
      <w:r/>
    </w:p>
    <w:p>
      <w:pPr>
        <w:ind w:left="3860"/>
        <w:jc w:val="left"/>
        <w:rPr>
          <w:rFonts w:ascii="宋体" w:hAnsi="宋体" w:cs="宋体"/>
          <w:color w:val="auto"/>
          <w:sz w:val="24"/>
          <w:highlight w:val="none"/>
        </w:rPr>
      </w:pPr>
      <w:r>
        <w:rPr>
          <w:rFonts w:ascii="宋体" w:hAnsi="宋体" w:cs="宋体"/>
          <w:color w:val="auto"/>
          <w:sz w:val="24"/>
          <w:highlight w:val="none"/>
        </w:rPr>
      </w:r>
      <w:r/>
    </w:p>
    <w:p>
      <w:pPr>
        <w:jc w:val="center"/>
        <w:keepLines/>
        <w:keepNext/>
        <w:rPr>
          <w:rFonts w:ascii="宋体" w:hAnsi="宋体"/>
          <w:b/>
          <w:bCs/>
          <w:color w:val="auto"/>
          <w:szCs w:val="22"/>
          <w:highlight w:val="none"/>
        </w:rPr>
        <w:outlineLvl w:val="1"/>
      </w:pPr>
      <w:r/>
      <w:bookmarkStart w:id="190" w:name="_Toc114424414"/>
      <w:r/>
      <w:bookmarkStart w:id="191" w:name="_Toc166856197"/>
      <w:r/>
      <w:bookmarkStart w:id="192" w:name="_Toc203032702"/>
      <w:r>
        <w:rPr>
          <w:rFonts w:hint="eastAsia" w:ascii="宋体" w:hAnsi="宋体" w:cs="宋体"/>
          <w:b/>
          <w:bCs/>
          <w:color w:val="auto"/>
          <w:sz w:val="32"/>
          <w:szCs w:val="28"/>
          <w:highlight w:val="none"/>
        </w:rPr>
        <w:t xml:space="preserve">第三部分  专用合同条款</w:t>
      </w:r>
      <w:bookmarkEnd w:id="190"/>
      <w:r/>
      <w:bookmarkEnd w:id="191"/>
      <w:r/>
      <w:bookmarkEnd w:id="192"/>
      <w:r/>
      <w:r/>
    </w:p>
    <w:p>
      <w:pPr>
        <w:ind w:firstLine="480"/>
        <w:keepLines/>
        <w:keepNext/>
        <w:spacing w:line="360" w:lineRule="auto"/>
        <w:rPr>
          <w:rFonts w:ascii="宋体" w:hAnsi="宋体"/>
          <w:bCs/>
          <w:color w:val="auto"/>
          <w:sz w:val="24"/>
          <w:highlight w:val="none"/>
        </w:rPr>
        <w:outlineLvl w:val="3"/>
      </w:pPr>
      <w:r/>
      <w:bookmarkStart w:id="193" w:name="_Toc351203633"/>
      <w:r>
        <w:rPr>
          <w:rFonts w:ascii="宋体" w:hAnsi="宋体"/>
          <w:bCs/>
          <w:color w:val="auto"/>
          <w:sz w:val="24"/>
          <w:highlight w:val="none"/>
        </w:rPr>
        <w:t xml:space="preserve">1</w:t>
      </w:r>
      <w:bookmarkStart w:id="194" w:name="_Toc292559866"/>
      <w:r/>
      <w:bookmarkStart w:id="195" w:name="_Toc297120456"/>
      <w:r/>
      <w:bookmarkStart w:id="196" w:name="_Toc296891196"/>
      <w:r/>
      <w:bookmarkStart w:id="197" w:name="_Toc297048342"/>
      <w:r/>
      <w:bookmarkStart w:id="198" w:name="_Toc296944495"/>
      <w:r/>
      <w:bookmarkStart w:id="199" w:name="_Toc296347155"/>
      <w:r/>
      <w:bookmarkStart w:id="200" w:name="_Toc296890984"/>
      <w:r/>
      <w:bookmarkStart w:id="201" w:name="_Toc292559361"/>
      <w:r/>
      <w:bookmarkStart w:id="202" w:name="_Toc296346657"/>
      <w:r/>
      <w:bookmarkStart w:id="203" w:name="_Toc296503156"/>
      <w:r>
        <w:rPr>
          <w:rFonts w:ascii="宋体" w:hAnsi="宋体"/>
          <w:bCs/>
          <w:color w:val="auto"/>
          <w:sz w:val="24"/>
          <w:highlight w:val="none"/>
        </w:rPr>
        <w:t xml:space="preserve">. 一般约定</w:t>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1.1 词语定义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1.1.1合同</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1.1.1.10其他合同文件包括：</w:t>
      </w:r>
      <w:r>
        <w:rPr>
          <w:rFonts w:hint="eastAsia" w:ascii="宋体" w:hAnsi="宋体"/>
          <w:color w:val="auto"/>
          <w:sz w:val="24"/>
          <w:highlight w:val="none"/>
          <w:u w:val="single"/>
        </w:rPr>
        <w:t xml:space="preserve">本</w:t>
      </w:r>
      <w:r>
        <w:rPr>
          <w:rFonts w:ascii="宋体" w:hAnsi="宋体"/>
          <w:color w:val="auto"/>
          <w:sz w:val="24"/>
          <w:highlight w:val="none"/>
          <w:u w:val="single"/>
        </w:rPr>
        <w:t xml:space="preserve">工程</w:t>
      </w:r>
      <w:r>
        <w:rPr>
          <w:rFonts w:hint="eastAsia" w:ascii="宋体" w:hAnsi="宋体"/>
          <w:color w:val="auto"/>
          <w:sz w:val="24"/>
          <w:highlight w:val="none"/>
          <w:u w:val="single"/>
        </w:rPr>
        <w:t xml:space="preserve">磋商</w:t>
      </w:r>
      <w:r>
        <w:rPr>
          <w:rFonts w:ascii="宋体" w:hAnsi="宋体"/>
          <w:color w:val="auto"/>
          <w:sz w:val="24"/>
          <w:highlight w:val="none"/>
          <w:u w:val="single"/>
        </w:rPr>
        <w:t xml:space="preserve">文件、</w:t>
      </w:r>
      <w:r>
        <w:rPr>
          <w:rFonts w:hint="eastAsia" w:ascii="宋体" w:hAnsi="宋体"/>
          <w:color w:val="auto"/>
          <w:sz w:val="24"/>
          <w:highlight w:val="none"/>
          <w:u w:val="single"/>
        </w:rPr>
        <w:t xml:space="preserve">合同履行过程中双方确认的对合同有影响的会议纪要、签证、施工方案、设计变更等相关材料</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1.1.2 合同当事人及其他相关方</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1.1.2.4监理人：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通信地址：</w:t>
      </w:r>
      <w:r>
        <w:rPr>
          <w:rFonts w:hint="eastAsia" w:ascii="宋体" w:hAnsi="宋体" w:cs="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1.1.2.5 设计人：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1.1.3 工程和设备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1.1.3.7 作为施工现场组成部分的其他场所包括：</w:t>
      </w:r>
      <w:r>
        <w:rPr>
          <w:rFonts w:hint="eastAsia" w:ascii="宋体" w:hAnsi="宋体"/>
          <w:color w:val="auto"/>
          <w:sz w:val="24"/>
          <w:highlight w:val="none"/>
          <w:u w:val="single"/>
        </w:rPr>
        <w:t xml:space="preserve">发包人项目部、监理、设计、审计、检测等服务单位办公场所</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1.1.3.9 永久占地包括：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1.1.3.10 临时占地包括：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1.3法律 </w:t>
      </w:r>
      <w:r/>
    </w:p>
    <w:p>
      <w:pPr>
        <w:ind w:left="596"/>
        <w:jc w:val="left"/>
        <w:spacing w:line="360" w:lineRule="auto"/>
        <w:rPr>
          <w:rFonts w:ascii="宋体" w:hAnsi="宋体"/>
          <w:color w:val="auto"/>
          <w:sz w:val="24"/>
          <w:highlight w:val="none"/>
        </w:rPr>
      </w:pPr>
      <w:r>
        <w:rPr>
          <w:rFonts w:ascii="宋体" w:hAnsi="宋体"/>
          <w:color w:val="auto"/>
          <w:sz w:val="24"/>
          <w:highlight w:val="none"/>
        </w:rPr>
        <w:t xml:space="preserve">适用于合同的其他规范性文件：</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1.4 标准和规范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1.4.1适用于工程的标准规范包括：</w:t>
      </w:r>
      <w:r>
        <w:rPr>
          <w:rFonts w:hint="eastAsia" w:ascii="宋体" w:hAnsi="宋体"/>
          <w:color w:val="auto"/>
          <w:sz w:val="24"/>
          <w:highlight w:val="none"/>
          <w:u w:val="single"/>
        </w:rPr>
        <w:t xml:space="preserve">国家标准、行业标准、工程所在地的地方标准以及相应的规范、规程等</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bookmarkStart w:id="204" w:name="_Toc502788888"/>
      <w:r/>
      <w:bookmarkStart w:id="205" w:name="_Toc504379176"/>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204"/>
      <w:r/>
      <w:bookmarkEnd w:id="20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1.5 合同文件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合同文件组成为：</w:t>
      </w:r>
      <w:r>
        <w:rPr>
          <w:rFonts w:hint="eastAsia" w:ascii="宋体" w:hAnsi="宋体"/>
          <w:color w:val="auto"/>
          <w:sz w:val="24"/>
          <w:highlight w:val="none"/>
          <w:u w:val="single"/>
        </w:rPr>
        <w:t xml:space="preserve">（1）合同协议书；（2）中标通知书；（3）招标文件、投标函及其附录；（4）专用合同条款及其附件；（5）通用合同条款；（6）技术标准和要求；（7）图纸；（8）已标价工程量清单；（9）其他合同文件。</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1.6 图纸（如有）和承包人文件</w:t>
      </w:r>
      <w:r>
        <w:rPr>
          <w:rFonts w:ascii="宋体" w:hAnsi="宋体"/>
          <w:b/>
          <w:bCs/>
          <w:color w:val="auto"/>
          <w:sz w:val="24"/>
          <w:highlight w:val="none"/>
        </w:rPr>
        <w:tab/>
      </w:r>
      <w:r/>
    </w:p>
    <w:p>
      <w:pPr>
        <w:ind w:firstLine="480"/>
        <w:spacing w:line="360" w:lineRule="auto"/>
        <w:rPr>
          <w:rFonts w:ascii="宋体" w:hAnsi="宋体"/>
          <w:color w:val="auto"/>
          <w:sz w:val="24"/>
          <w:highlight w:val="none"/>
        </w:rPr>
      </w:pPr>
      <w:r>
        <w:rPr>
          <w:rFonts w:ascii="宋体" w:hAnsi="宋体"/>
          <w:color w:val="auto"/>
          <w:sz w:val="24"/>
          <w:highlight w:val="none"/>
        </w:rPr>
        <w:t xml:space="preserve">1.6.1 图纸的提供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发包人向承包人提供图纸的期限：</w:t>
      </w:r>
      <w:r>
        <w:rPr>
          <w:rFonts w:hint="eastAsia" w:ascii="宋体" w:hAnsi="宋体"/>
          <w:color w:val="auto"/>
          <w:sz w:val="24"/>
          <w:highlight w:val="none"/>
          <w:u w:val="single"/>
        </w:rPr>
        <w:t xml:space="preserve">正式开工三天前</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发包人向承包人提供图纸的数量：</w:t>
      </w:r>
      <w:r>
        <w:rPr>
          <w:rFonts w:hint="eastAsia" w:ascii="宋体" w:hAnsi="宋体"/>
          <w:color w:val="auto"/>
          <w:sz w:val="24"/>
          <w:highlight w:val="none"/>
          <w:u w:val="single"/>
        </w:rPr>
        <w:t xml:space="preserve">提供全套施工图纸5套（含编制竣工资料用2套），未经发包人同意不得复制。不得向承包人以外的人员泄露图纸（如有）的有关内容</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发包人向承包人提供图纸的内容：</w:t>
      </w:r>
      <w:r>
        <w:rPr>
          <w:rFonts w:hint="eastAsia" w:ascii="宋体" w:hAnsi="宋体" w:cs="宋体"/>
          <w:color w:val="auto"/>
          <w:sz w:val="24"/>
          <w:highlight w:val="none"/>
          <w:u w:val="single"/>
        </w:rPr>
        <w:t xml:space="preserve">全套经审查的施工图</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1.6.4 承包人文件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需要由承包人提供的文件，包括：</w:t>
      </w:r>
      <w:r>
        <w:rPr>
          <w:rFonts w:hint="eastAsia" w:ascii="宋体" w:hAnsi="宋体"/>
          <w:color w:val="auto"/>
          <w:sz w:val="24"/>
          <w:highlight w:val="none"/>
          <w:u w:val="single"/>
        </w:rPr>
        <w:t xml:space="preserve">施工组织设计、专项方案、深化设计等，以及发包人、监理要求提供的其他资料</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承包人提供的文件的期限为：</w:t>
      </w:r>
      <w:r>
        <w:rPr>
          <w:rFonts w:hint="eastAsia" w:ascii="宋体" w:hAnsi="宋体" w:cs="MingLiU_HKSCS"/>
          <w:color w:val="auto"/>
          <w:sz w:val="24"/>
          <w:highlight w:val="none"/>
          <w:u w:val="single"/>
        </w:rPr>
        <w:t xml:space="preserve">施工进场七天前</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承包人提供的文件的数量为：</w:t>
      </w:r>
      <w:r>
        <w:rPr>
          <w:rFonts w:hint="eastAsia" w:ascii="宋体" w:hAnsi="宋体" w:cs="宋体"/>
          <w:color w:val="auto"/>
          <w:sz w:val="24"/>
          <w:highlight w:val="none"/>
          <w:u w:val="single"/>
        </w:rPr>
        <w:t xml:space="preserve">三套</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承包人提供的文件的形式为：</w:t>
      </w:r>
      <w:r>
        <w:rPr>
          <w:rFonts w:hint="eastAsia" w:ascii="宋体" w:hAnsi="宋体" w:cs="宋体"/>
          <w:color w:val="auto"/>
          <w:sz w:val="24"/>
          <w:highlight w:val="none"/>
          <w:u w:val="single"/>
        </w:rPr>
        <w:t xml:space="preserve">书面及电子版</w:t>
      </w:r>
      <w:r>
        <w:rPr>
          <w:rFonts w:hint="eastAsia" w:ascii="宋体" w:hAnsi="宋体" w:cs="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MingLiU_HKSCS"/>
          <w:color w:val="auto"/>
          <w:sz w:val="24"/>
          <w:highlight w:val="none"/>
          <w:u w:val="single"/>
        </w:rPr>
        <w:t xml:space="preserve">呈交齐全后一周内</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1.6.5 现场图纸准备</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关于现场图纸准备的约定：</w:t>
      </w:r>
      <w:r>
        <w:rPr>
          <w:rFonts w:hint="eastAsia" w:ascii="宋体" w:hAnsi="宋体"/>
          <w:color w:val="auto"/>
          <w:sz w:val="24"/>
          <w:highlight w:val="none"/>
          <w:u w:val="single"/>
        </w:rPr>
        <w:t xml:space="preserve">承包人应在施工现场另外保存一套完整的图纸和承包人文件，供发包人、监理人及有关人员进行工程检查时使用</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1.7 联络</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1.7.1发包人和承包人应当在</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七 </w:t>
      </w:r>
      <w:r>
        <w:rPr>
          <w:rFonts w:ascii="宋体" w:hAnsi="宋体"/>
          <w:color w:val="auto"/>
          <w:sz w:val="24"/>
          <w:highlight w:val="none"/>
          <w:u w:val="single"/>
        </w:rPr>
        <w:t xml:space="preserve"> </w:t>
      </w:r>
      <w:r>
        <w:rPr>
          <w:rFonts w:ascii="宋体" w:hAnsi="宋体"/>
          <w:color w:val="auto"/>
          <w:sz w:val="24"/>
          <w:highlight w:val="none"/>
        </w:rPr>
        <w:t xml:space="preserve">天内将与合同有关的通知、批准、证明、证书、指示、指令、要求、请求、同意、意见、确定和决定等书面函件送达对方当事人</w:t>
      </w:r>
      <w:r>
        <w:rPr>
          <w:rFonts w:hint="eastAsia" w:ascii="宋体" w:hAnsi="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olor w:val="auto"/>
          <w:sz w:val="24"/>
          <w:highlight w:val="none"/>
        </w:rPr>
        <w:t xml:space="preserve">1.7.2</w:t>
      </w:r>
      <w:r>
        <w:rPr>
          <w:rFonts w:hint="eastAsia" w:ascii="宋体" w:hAnsi="宋体" w:cs="宋体"/>
          <w:color w:val="auto"/>
          <w:sz w:val="24"/>
          <w:highlight w:val="none"/>
        </w:rPr>
        <w:t xml:space="preserve">发包人接收文件的地点：</w:t>
      </w:r>
      <w:r>
        <w:rPr>
          <w:rFonts w:hint="eastAsia" w:ascii="宋体" w:hAnsi="宋体"/>
          <w:color w:val="auto"/>
          <w:sz w:val="24"/>
          <w:highlight w:val="none"/>
          <w:u w:val="single"/>
        </w:rPr>
        <w:t xml:space="preserve">施工现场</w:t>
      </w:r>
      <w:r>
        <w:rPr>
          <w:rFonts w:hint="eastAsia" w:ascii="宋体" w:hAnsi="宋体" w:cs="宋体"/>
          <w:color w:val="auto"/>
          <w:sz w:val="24"/>
          <w:highlight w:val="none"/>
        </w:rPr>
        <w:t xml:space="preserve">；</w:t>
      </w:r>
      <w:r/>
    </w:p>
    <w:p>
      <w:pPr>
        <w:jc w:val="left"/>
        <w:spacing w:line="360" w:lineRule="auto"/>
        <w:tabs>
          <w:tab w:val="left" w:pos="3500" w:leader="none"/>
          <w:tab w:val="left" w:pos="4240" w:leader="none"/>
          <w:tab w:val="left" w:pos="10180" w:leader="none"/>
        </w:tabs>
        <w:rPr>
          <w:rFonts w:ascii="宋体" w:hAnsi="宋体"/>
          <w:color w:val="auto"/>
          <w:sz w:val="24"/>
          <w:highlight w:val="none"/>
        </w:rPr>
      </w:pPr>
      <w:r>
        <w:rPr>
          <w:rFonts w:hint="eastAsia" w:ascii="宋体" w:hAnsi="宋体" w:cs="宋体"/>
          <w:color w:val="auto"/>
          <w:sz w:val="24"/>
          <w:highlight w:val="none"/>
        </w:rPr>
        <w:t xml:space="preserve">　　发包人指定的接收人为</w:t>
      </w:r>
      <w:r>
        <w:rPr>
          <w:rFonts w:hint="eastAsia" w:ascii="宋体" w:hAnsi="宋体" w:cs="MS PGothic"/>
          <w:color w:val="auto"/>
          <w:sz w:val="24"/>
          <w:highlight w:val="none"/>
        </w:rPr>
        <w:t xml:space="preserve">：</w:t>
      </w:r>
      <w:r>
        <w:rPr>
          <w:rFonts w:hint="eastAsia" w:ascii="宋体" w:hAnsi="宋体" w:cs="宋体"/>
          <w:color w:val="auto"/>
          <w:sz w:val="24"/>
          <w:highlight w:val="none"/>
          <w:u w:val="single"/>
        </w:rPr>
        <w:t xml:space="preserve">发包人代表</w:t>
      </w:r>
      <w:r>
        <w:rPr>
          <w:rFonts w:hint="eastAsia" w:ascii="宋体" w:hAnsi="宋体" w:cs="宋体"/>
          <w:color w:val="auto"/>
          <w:sz w:val="24"/>
          <w:highlight w:val="none"/>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auto"/>
          <w:sz w:val="24"/>
          <w:highlight w:val="none"/>
        </w:rPr>
      </w:pPr>
      <w:r/>
      <w:bookmarkStart w:id="206" w:name="page7"/>
      <w:r/>
      <w:bookmarkEnd w:id="206"/>
      <w:r>
        <w:rPr>
          <w:rFonts w:hint="eastAsia" w:ascii="宋体" w:hAnsi="宋体" w:cs="宋体"/>
          <w:color w:val="auto"/>
          <w:sz w:val="24"/>
          <w:highlight w:val="none"/>
        </w:rPr>
        <w:t xml:space="preserve">　　承包人接收文件的地点</w:t>
      </w:r>
      <w:r>
        <w:rPr>
          <w:rFonts w:hint="eastAsia" w:ascii="宋体" w:hAnsi="宋体" w:cs="MS PGothic"/>
          <w:color w:val="auto"/>
          <w:sz w:val="24"/>
          <w:highlight w:val="none"/>
        </w:rPr>
        <w:t xml:space="preserve">：</w:t>
      </w:r>
      <w:r>
        <w:rPr>
          <w:rFonts w:hint="eastAsia" w:ascii="宋体" w:hAnsi="宋体"/>
          <w:color w:val="auto"/>
          <w:sz w:val="24"/>
          <w:highlight w:val="none"/>
          <w:u w:val="single"/>
        </w:rPr>
        <w:t xml:space="preserve">施工现场</w:t>
      </w:r>
      <w:r>
        <w:rPr>
          <w:rFonts w:hint="eastAsia" w:ascii="宋体" w:hAnsi="宋体" w:cs="MS PGothic"/>
          <w:color w:val="auto"/>
          <w:sz w:val="24"/>
          <w:highlight w:val="none"/>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auto"/>
          <w:sz w:val="24"/>
          <w:highlight w:val="none"/>
        </w:rPr>
      </w:pPr>
      <w:r>
        <w:rPr>
          <w:rFonts w:hint="eastAsia" w:ascii="宋体" w:hAnsi="宋体" w:cs="宋体"/>
          <w:color w:val="auto"/>
          <w:sz w:val="24"/>
          <w:highlight w:val="none"/>
        </w:rPr>
        <w:t xml:space="preserve">　　承包人指定的接收人为</w:t>
      </w:r>
      <w:r>
        <w:rPr>
          <w:rFonts w:hint="eastAsia" w:ascii="宋体" w:hAnsi="宋体" w:cs="MS PGothic"/>
          <w:color w:val="auto"/>
          <w:sz w:val="24"/>
          <w:highlight w:val="none"/>
        </w:rPr>
        <w:t xml:space="preserve">：</w:t>
      </w:r>
      <w:r>
        <w:rPr>
          <w:rFonts w:hint="eastAsia" w:ascii="宋体" w:hAnsi="宋体" w:cs="宋体"/>
          <w:color w:val="auto"/>
          <w:sz w:val="24"/>
          <w:highlight w:val="none"/>
          <w:u w:val="single"/>
        </w:rPr>
        <w:t xml:space="preserve">项目负责人</w:t>
      </w:r>
      <w:r>
        <w:rPr>
          <w:rFonts w:hint="eastAsia" w:ascii="宋体" w:hAnsi="宋体" w:cs="宋体"/>
          <w:color w:val="auto"/>
          <w:sz w:val="24"/>
          <w:highlight w:val="none"/>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auto"/>
          <w:sz w:val="24"/>
          <w:highlight w:val="none"/>
        </w:rPr>
      </w:pPr>
      <w:r>
        <w:rPr>
          <w:rFonts w:hint="eastAsia" w:ascii="宋体" w:hAnsi="宋体" w:cs="宋体"/>
          <w:color w:val="auto"/>
          <w:sz w:val="24"/>
          <w:highlight w:val="none"/>
        </w:rPr>
        <w:t xml:space="preserve">　　监理人接收文件的地点</w:t>
      </w:r>
      <w:r>
        <w:rPr>
          <w:rFonts w:hint="eastAsia" w:ascii="宋体" w:hAnsi="宋体" w:cs="MS PGothic"/>
          <w:color w:val="auto"/>
          <w:sz w:val="24"/>
          <w:highlight w:val="none"/>
        </w:rPr>
        <w:t xml:space="preserve">：</w:t>
      </w:r>
      <w:r>
        <w:rPr>
          <w:rFonts w:hint="eastAsia" w:ascii="宋体" w:hAnsi="宋体"/>
          <w:color w:val="auto"/>
          <w:sz w:val="24"/>
          <w:highlight w:val="none"/>
          <w:u w:val="single"/>
        </w:rPr>
        <w:t xml:space="preserve">施工现场</w:t>
      </w:r>
      <w:r>
        <w:rPr>
          <w:rFonts w:hint="eastAsia" w:ascii="宋体" w:hAnsi="宋体" w:cs="MS PGothic"/>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监理人指定的接收人为</w:t>
      </w:r>
      <w:r>
        <w:rPr>
          <w:rFonts w:hint="eastAsia" w:ascii="宋体" w:hAnsi="宋体" w:cs="MS PGothic"/>
          <w:color w:val="auto"/>
          <w:sz w:val="24"/>
          <w:highlight w:val="none"/>
        </w:rPr>
        <w:t xml:space="preserve">：</w:t>
      </w:r>
      <w:r>
        <w:rPr>
          <w:rFonts w:hint="eastAsia" w:ascii="宋体" w:hAnsi="宋体" w:cs="宋体"/>
          <w:color w:val="auto"/>
          <w:sz w:val="24"/>
          <w:highlight w:val="none"/>
          <w:u w:val="single"/>
        </w:rPr>
        <w:t xml:space="preserve">总监理工程师</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1.10 交通运输</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bookmarkStart w:id="207" w:name="_Toc300934943"/>
      <w:r/>
      <w:bookmarkStart w:id="208" w:name="_Toc318581155"/>
      <w:r/>
      <w:bookmarkStart w:id="209" w:name="_Toc303539100"/>
      <w:r/>
      <w:bookmarkStart w:id="210" w:name="_Toc304295521"/>
      <w:r/>
      <w:bookmarkStart w:id="211" w:name="_Toc312677986"/>
      <w:r>
        <w:rPr>
          <w:rFonts w:ascii="宋体" w:hAnsi="宋体"/>
          <w:color w:val="auto"/>
          <w:sz w:val="24"/>
          <w:highlight w:val="none"/>
        </w:rPr>
        <w:t xml:space="preserve">.10.1 出入现场的权利</w:t>
      </w:r>
      <w:r/>
    </w:p>
    <w:p>
      <w:pPr>
        <w:ind w:firstLine="480"/>
        <w:jc w:val="left"/>
        <w:spacing w:line="360" w:lineRule="auto"/>
        <w:tabs>
          <w:tab w:val="left" w:pos="3500" w:leader="none"/>
          <w:tab w:val="left" w:pos="5980" w:leader="none"/>
          <w:tab w:val="left" w:pos="9960" w:leader="none"/>
          <w:tab w:val="left" w:pos="10180" w:leader="none"/>
        </w:tabs>
        <w:rPr>
          <w:rFonts w:ascii="宋体" w:hAnsi="宋体" w:cs="宋体"/>
          <w:color w:val="auto"/>
          <w:sz w:val="24"/>
          <w:highlight w:val="none"/>
          <w:u w:val="single"/>
        </w:rPr>
      </w:pPr>
      <w:r>
        <w:rPr>
          <w:rFonts w:ascii="宋体" w:hAnsi="宋体" w:cs="宋体"/>
          <w:color w:val="auto"/>
          <w:sz w:val="24"/>
          <w:highlight w:val="none"/>
        </w:rPr>
        <w:t xml:space="preserve">关于出入现场的权利的约定：</w:t>
      </w:r>
      <w:r>
        <w:rPr>
          <w:rFonts w:hint="eastAsia" w:ascii="宋体" w:hAnsi="宋体" w:cs="宋体"/>
          <w:color w:val="auto"/>
          <w:sz w:val="24"/>
          <w:highlight w:val="none"/>
          <w:u w:val="single"/>
        </w:rPr>
        <w:t xml:space="preserve">使用周边道路，不得损坏。如损坏负责保护并修复，同时做好现场环境保护和安全文明，在影响主要道路交通时及时向发包人汇报并听从发包人安排。</w:t>
      </w:r>
      <w:bookmarkEnd w:id="207"/>
      <w:r/>
      <w:bookmarkEnd w:id="208"/>
      <w:r/>
      <w:bookmarkEnd w:id="209"/>
      <w:r/>
      <w:bookmarkEnd w:id="210"/>
      <w:r/>
      <w:bookmarkEnd w:id="211"/>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bookmarkStart w:id="212" w:name="_Toc312677987"/>
      <w:r/>
      <w:bookmarkStart w:id="213" w:name="_Toc300934944"/>
      <w:r/>
      <w:bookmarkStart w:id="214" w:name="_Toc318581156"/>
      <w:r/>
      <w:bookmarkStart w:id="215" w:name="_Toc303539101"/>
      <w:r/>
      <w:bookmarkStart w:id="216" w:name="_Toc304295522"/>
      <w:r>
        <w:rPr>
          <w:rFonts w:ascii="宋体" w:hAnsi="宋体"/>
          <w:color w:val="auto"/>
          <w:sz w:val="24"/>
          <w:highlight w:val="none"/>
        </w:rPr>
        <w:t xml:space="preserve">.10.3 场内交通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关于场外交通和场内交通的边界的约定：</w:t>
      </w:r>
      <w:r>
        <w:rPr>
          <w:rFonts w:hint="eastAsia" w:ascii="宋体" w:hAnsi="宋体" w:cs="宋体"/>
          <w:color w:val="auto"/>
          <w:sz w:val="24"/>
          <w:highlight w:val="none"/>
          <w:u w:val="single"/>
        </w:rPr>
        <w:t xml:space="preserve">按通用条款</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关于发包人向承包人免费提供满足工程施工需要的场内道路和交通设施的约定：</w:t>
      </w:r>
      <w:r>
        <w:rPr>
          <w:rFonts w:hint="eastAsia" w:ascii="宋体" w:hAnsi="宋体" w:cs="宋体"/>
          <w:color w:val="auto"/>
          <w:sz w:val="24"/>
          <w:highlight w:val="none"/>
          <w:u w:val="single"/>
        </w:rPr>
        <w:t xml:space="preserve">除场地</w:t>
      </w:r>
      <w:r>
        <w:rPr>
          <w:rFonts w:ascii="宋体" w:hAnsi="宋体" w:cs="宋体"/>
          <w:color w:val="auto"/>
          <w:sz w:val="24"/>
          <w:highlight w:val="none"/>
          <w:u w:val="single"/>
        </w:rPr>
        <w:t xml:space="preserve">现状</w:t>
      </w:r>
      <w:r>
        <w:rPr>
          <w:rFonts w:hint="eastAsia" w:ascii="宋体" w:hAnsi="宋体" w:cs="宋体"/>
          <w:color w:val="auto"/>
          <w:sz w:val="24"/>
          <w:highlight w:val="none"/>
          <w:u w:val="single"/>
        </w:rPr>
        <w:t xml:space="preserve">条件外，</w:t>
      </w:r>
      <w:r>
        <w:rPr>
          <w:rFonts w:ascii="宋体" w:hAnsi="宋体" w:cs="宋体"/>
          <w:color w:val="auto"/>
          <w:sz w:val="24"/>
          <w:highlight w:val="none"/>
          <w:u w:val="single"/>
        </w:rPr>
        <w:t xml:space="preserve">工程施工需要的场地内道路和交通设施由承包人自行负责，费用自行承担</w:t>
      </w:r>
      <w:r>
        <w:rPr>
          <w:rFonts w:ascii="宋体" w:hAnsi="宋体"/>
          <w:color w:val="auto"/>
          <w:sz w:val="24"/>
          <w:highlight w:val="none"/>
        </w:rPr>
        <w:t xml:space="preserve">。</w:t>
      </w:r>
      <w:bookmarkEnd w:id="212"/>
      <w:r/>
      <w:bookmarkEnd w:id="213"/>
      <w:r/>
      <w:bookmarkEnd w:id="214"/>
      <w:r/>
      <w:bookmarkEnd w:id="215"/>
      <w:r/>
      <w:bookmarkEnd w:id="216"/>
      <w:r/>
      <w:bookmarkStart w:id="217" w:name="_Toc318581157"/>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1.10.4超大件和超重件的运输</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运输超大件或超重件所需的道路和桥梁临时加固改造费用和其他有关费用由</w:t>
      </w:r>
      <w:r>
        <w:rPr>
          <w:rFonts w:hint="eastAsia" w:ascii="宋体" w:hAnsi="宋体"/>
          <w:color w:val="auto"/>
          <w:sz w:val="24"/>
          <w:highlight w:val="none"/>
          <w:u w:val="single"/>
        </w:rPr>
        <w:t xml:space="preserve">承包人</w:t>
      </w:r>
      <w:r>
        <w:rPr>
          <w:rFonts w:ascii="宋体" w:hAnsi="宋体"/>
          <w:color w:val="auto"/>
          <w:sz w:val="24"/>
          <w:highlight w:val="none"/>
        </w:rPr>
        <w:t xml:space="preserve">承担。</w:t>
      </w:r>
      <w:bookmarkEnd w:id="217"/>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1.11 知识产权</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 xml:space="preserve">发包人</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关于发包人提供的上述文件的使用限制的要求：</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1.11.2 关于承包人为实施工程所编制文件的著作权的归属：</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发包人</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bookmarkStart w:id="218" w:name="_Toc504379185"/>
      <w:r/>
      <w:bookmarkStart w:id="219" w:name="_Toc502788897"/>
      <w:r>
        <w:rPr>
          <w:rFonts w:hint="eastAsia" w:ascii="宋体" w:hAnsi="宋体" w:cs="宋体"/>
          <w:color w:val="auto"/>
          <w:sz w:val="24"/>
          <w:highlight w:val="none"/>
        </w:rPr>
        <w:t xml:space="preserve">1.11.4 承包人在施工过程中所采用的专利、专有技术、技术秘密的使用费的承担方式：</w:t>
      </w:r>
      <w:r>
        <w:rPr>
          <w:rFonts w:hint="eastAsia" w:ascii="宋体" w:hAnsi="宋体"/>
          <w:color w:val="auto"/>
          <w:sz w:val="24"/>
          <w:highlight w:val="none"/>
          <w:u w:val="single"/>
        </w:rPr>
        <w:t xml:space="preserve">由承包人承担</w:t>
      </w:r>
      <w:r>
        <w:rPr>
          <w:rFonts w:hint="eastAsia" w:ascii="宋体" w:hAnsi="宋体" w:cs="宋体"/>
          <w:color w:val="auto"/>
          <w:sz w:val="24"/>
          <w:highlight w:val="none"/>
        </w:rPr>
        <w:t xml:space="preserve">。</w:t>
      </w:r>
      <w:bookmarkEnd w:id="218"/>
      <w:r/>
      <w:bookmarkEnd w:id="219"/>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1.13工程量清单错误的修正</w:t>
      </w:r>
      <w:r/>
    </w:p>
    <w:p>
      <w:pPr>
        <w:ind w:firstLine="480"/>
        <w:spacing w:line="360" w:lineRule="auto"/>
        <w:rPr>
          <w:rFonts w:ascii="宋体" w:hAnsi="宋体"/>
          <w:color w:val="auto"/>
          <w:sz w:val="24"/>
          <w:highlight w:val="none"/>
          <w:u w:val="single"/>
        </w:rPr>
      </w:pPr>
      <w:r>
        <w:rPr>
          <w:rFonts w:hint="eastAsia" w:ascii="宋体" w:hAnsi="宋体" w:cs="宋体"/>
          <w:color w:val="auto"/>
          <w:sz w:val="24"/>
          <w:highlight w:val="none"/>
        </w:rPr>
        <w:t xml:space="preserve">出现工程量清单错误时，是否调整合同价格：</w:t>
      </w:r>
      <w:r>
        <w:rPr>
          <w:rFonts w:hint="eastAsia" w:ascii="宋体" w:hAnsi="宋体"/>
          <w:color w:val="auto"/>
          <w:sz w:val="24"/>
          <w:highlight w:val="none"/>
          <w:u w:val="single"/>
        </w:rPr>
        <w:t xml:space="preserve">无论招标时工程量清单中项目特征描述是否完整或准确，发包人要求承包人的投标报价应为完成施工图纸的全部内容，若无相关设计变更，中标的综合单价不予调整。</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允许调整合同价格的工程量偏差范围：</w:t>
      </w:r>
      <w:r>
        <w:rPr>
          <w:rFonts w:hint="eastAsia" w:ascii="宋体" w:hAnsi="宋体"/>
          <w:color w:val="auto"/>
          <w:sz w:val="24"/>
          <w:highlight w:val="none"/>
          <w:u w:val="single"/>
        </w:rPr>
        <w:t xml:space="preserve">原工程量清单的误差、漏项、非承包人原因造成的工程变更（含设计变更、工程数量调整）或其它不可预见的工程量。</w:t>
      </w:r>
      <w:r/>
    </w:p>
    <w:p>
      <w:pPr>
        <w:ind w:firstLine="482"/>
        <w:keepLines/>
        <w:keepNext/>
        <w:spacing w:line="360" w:lineRule="auto"/>
        <w:rPr>
          <w:rFonts w:ascii="宋体" w:hAnsi="宋体"/>
          <w:b/>
          <w:bCs/>
          <w:color w:val="auto"/>
          <w:sz w:val="24"/>
          <w:highlight w:val="none"/>
        </w:rPr>
        <w:outlineLvl w:val="3"/>
      </w:pPr>
      <w:r/>
      <w:bookmarkStart w:id="220" w:name="_Toc351203634"/>
      <w:r>
        <w:rPr>
          <w:rFonts w:ascii="宋体" w:hAnsi="宋体"/>
          <w:b/>
          <w:bCs/>
          <w:color w:val="auto"/>
          <w:sz w:val="24"/>
          <w:highlight w:val="none"/>
        </w:rPr>
        <w:t xml:space="preserve">2</w:t>
      </w:r>
      <w:bookmarkStart w:id="221" w:name="_Toc296503157"/>
      <w:r/>
      <w:bookmarkStart w:id="222" w:name="_Toc296891197"/>
      <w:r/>
      <w:bookmarkStart w:id="223" w:name="_Toc297120457"/>
      <w:r/>
      <w:bookmarkStart w:id="224" w:name="_Toc296890985"/>
      <w:r/>
      <w:bookmarkStart w:id="225" w:name="_Toc297048343"/>
      <w:r/>
      <w:bookmarkStart w:id="226" w:name="_Toc296944496"/>
      <w:r/>
      <w:bookmarkStart w:id="227" w:name="_Toc296346658"/>
      <w:r/>
      <w:bookmarkStart w:id="228" w:name="_Toc296347156"/>
      <w:r/>
      <w:bookmarkStart w:id="229" w:name="_Toc292559867"/>
      <w:r/>
      <w:bookmarkStart w:id="230" w:name="_Toc292559362"/>
      <w:r>
        <w:rPr>
          <w:rFonts w:ascii="宋体" w:hAnsi="宋体"/>
          <w:b/>
          <w:bCs/>
          <w:color w:val="auto"/>
          <w:sz w:val="24"/>
          <w:highlight w:val="none"/>
        </w:rPr>
        <w:t xml:space="preserve">. 发包人</w:t>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2.2 发包人代表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发包人代表：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姓    名：</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身份证号：</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职    务：</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电子信箱：</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通信地址：</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b/>
          <w:color w:val="auto"/>
          <w:sz w:val="24"/>
          <w:highlight w:val="none"/>
        </w:rPr>
      </w:pPr>
      <w:r>
        <w:rPr>
          <w:rFonts w:ascii="宋体" w:hAnsi="宋体"/>
          <w:color w:val="auto"/>
          <w:sz w:val="24"/>
          <w:highlight w:val="none"/>
        </w:rPr>
        <w:t xml:space="preserve">发包人对发包人代表的授权范围如下：</w:t>
      </w:r>
      <w:r>
        <w:rPr>
          <w:rFonts w:hint="eastAsia" w:ascii="宋体" w:hAnsi="宋体"/>
          <w:color w:val="auto"/>
          <w:sz w:val="24"/>
          <w:highlight w:val="none"/>
          <w:u w:val="single"/>
        </w:rPr>
        <w:t xml:space="preserve">代表发包人负责工程现场质量、安全、进度等管理工程，负责协调各参见方之间的矛盾及外围事物；所有的签证及设计变更等事项按规章制度及工作流程办理。</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2.4 施工现场、施工条件和基础资料的提供</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2.4.1 提供施工现场</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关于发包人移交施工现场的期限要求：</w:t>
      </w:r>
      <w:r>
        <w:rPr>
          <w:rFonts w:hint="eastAsia" w:ascii="宋体" w:hAnsi="宋体"/>
          <w:color w:val="auto"/>
          <w:sz w:val="24"/>
          <w:highlight w:val="none"/>
          <w:u w:val="single"/>
        </w:rPr>
        <w:t xml:space="preserve">书面正式通知后三天内</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2.4.2 提供施工条件</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关于发包人应负责提供施工</w:t>
      </w:r>
      <w:r>
        <w:rPr>
          <w:rFonts w:hint="eastAsia" w:ascii="宋体" w:hAnsi="宋体"/>
          <w:color w:val="auto"/>
          <w:sz w:val="24"/>
          <w:highlight w:val="none"/>
        </w:rPr>
        <w:t xml:space="preserve">所需要的条件，</w:t>
      </w:r>
      <w:r>
        <w:rPr>
          <w:rFonts w:ascii="宋体" w:hAnsi="宋体"/>
          <w:color w:val="auto"/>
          <w:sz w:val="24"/>
          <w:highlight w:val="none"/>
        </w:rPr>
        <w:t xml:space="preserve">包括：</w:t>
      </w:r>
      <w:r>
        <w:rPr>
          <w:rFonts w:hint="eastAsia" w:ascii="宋体" w:hAnsi="宋体"/>
          <w:color w:val="auto"/>
          <w:sz w:val="24"/>
          <w:highlight w:val="none"/>
          <w:u w:val="single"/>
        </w:rPr>
        <w:t xml:space="preserve">按现状条件发包，如不具备，则由承包人实施，并承担费用</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2.5 资金来源证明及支付担保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发包人是否提供支付担保：</w:t>
      </w:r>
      <w:r>
        <w:rPr>
          <w:rFonts w:hint="eastAsia" w:ascii="宋体" w:hAnsi="宋体" w:cs="宋体"/>
          <w:color w:val="auto"/>
          <w:sz w:val="24"/>
          <w:highlight w:val="none"/>
          <w:u w:val="single"/>
        </w:rPr>
        <w:t xml:space="preserve">          不提供         </w:t>
      </w:r>
      <w:r>
        <w:rPr>
          <w:rFonts w:hint="eastAsia" w:ascii="宋体" w:hAnsi="宋体" w:cs="宋体"/>
          <w:color w:val="auto"/>
          <w:sz w:val="24"/>
          <w:highlight w:val="none"/>
        </w:rPr>
        <w:t xml:space="preserve">。</w:t>
      </w:r>
      <w:r/>
    </w:p>
    <w:p>
      <w:pPr>
        <w:ind w:firstLine="480"/>
        <w:spacing w:line="360" w:lineRule="auto"/>
        <w:rPr>
          <w:rFonts w:ascii="宋体" w:hAnsi="宋体"/>
          <w:color w:val="auto"/>
          <w:sz w:val="24"/>
          <w:highlight w:val="none"/>
          <w:u w:val="single"/>
        </w:rPr>
      </w:pPr>
      <w:r>
        <w:rPr>
          <w:rFonts w:hint="eastAsia" w:ascii="宋体" w:hAnsi="宋体" w:cs="宋体"/>
          <w:color w:val="auto"/>
          <w:sz w:val="24"/>
          <w:highlight w:val="none"/>
        </w:rPr>
        <w:t xml:space="preserve">发包人提供支付担保的形式：</w:t>
      </w:r>
      <w:r>
        <w:rPr>
          <w:rFonts w:hint="eastAsia" w:ascii="宋体" w:hAnsi="宋体" w:cs="宋体"/>
          <w:color w:val="auto"/>
          <w:sz w:val="24"/>
          <w:highlight w:val="none"/>
          <w:u w:val="single"/>
        </w:rPr>
        <w:t xml:space="preserve">           /            </w:t>
      </w:r>
      <w:r>
        <w:rPr>
          <w:rFonts w:ascii="宋体" w:hAnsi="宋体"/>
          <w:color w:val="auto"/>
          <w:sz w:val="24"/>
          <w:highlight w:val="none"/>
        </w:rPr>
        <w:t xml:space="preserve">。</w:t>
      </w:r>
      <w:r/>
    </w:p>
    <w:p>
      <w:pPr>
        <w:ind w:firstLine="480"/>
        <w:keepLines/>
        <w:keepNext/>
        <w:spacing w:line="360" w:lineRule="auto"/>
        <w:rPr>
          <w:rFonts w:ascii="宋体" w:hAnsi="宋体"/>
          <w:bCs/>
          <w:color w:val="auto"/>
          <w:sz w:val="24"/>
          <w:highlight w:val="none"/>
        </w:rPr>
        <w:outlineLvl w:val="3"/>
      </w:pPr>
      <w:r/>
      <w:bookmarkStart w:id="231" w:name="_Toc351203635"/>
      <w:r>
        <w:rPr>
          <w:rFonts w:ascii="宋体" w:hAnsi="宋体"/>
          <w:bCs/>
          <w:color w:val="auto"/>
          <w:sz w:val="24"/>
          <w:highlight w:val="none"/>
        </w:rPr>
        <w:t xml:space="preserve">3</w:t>
      </w:r>
      <w:bookmarkStart w:id="232" w:name="_Toc296346659"/>
      <w:r/>
      <w:bookmarkStart w:id="233" w:name="_Toc296944497"/>
      <w:r/>
      <w:bookmarkStart w:id="234" w:name="_Toc296503158"/>
      <w:r/>
      <w:bookmarkStart w:id="235" w:name="_Toc297048344"/>
      <w:r/>
      <w:bookmarkStart w:id="236" w:name="_Toc292559868"/>
      <w:r/>
      <w:bookmarkStart w:id="237" w:name="_Toc292559363"/>
      <w:r/>
      <w:bookmarkStart w:id="238" w:name="_Toc297120458"/>
      <w:r/>
      <w:bookmarkStart w:id="239" w:name="_Toc296347157"/>
      <w:r/>
      <w:bookmarkStart w:id="240" w:name="_Toc296891198"/>
      <w:r/>
      <w:bookmarkStart w:id="241" w:name="_Toc296890986"/>
      <w:r>
        <w:rPr>
          <w:rFonts w:ascii="宋体" w:hAnsi="宋体"/>
          <w:bCs/>
          <w:color w:val="auto"/>
          <w:sz w:val="24"/>
          <w:highlight w:val="none"/>
        </w:rPr>
        <w:t xml:space="preserve">. 承包人</w:t>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80"/>
        <w:spacing w:line="360" w:lineRule="auto"/>
        <w:rPr>
          <w:rFonts w:ascii="宋体" w:hAnsi="宋体"/>
          <w:color w:val="auto"/>
          <w:sz w:val="24"/>
          <w:highlight w:val="none"/>
        </w:rPr>
      </w:pPr>
      <w:r>
        <w:rPr>
          <w:rFonts w:ascii="宋体" w:hAnsi="宋体"/>
          <w:color w:val="auto"/>
          <w:sz w:val="24"/>
          <w:highlight w:val="none"/>
        </w:rPr>
        <w:t xml:space="preserve">3.1 承包人的一般义务</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）承包人提交的竣工资料的内容：</w:t>
      </w:r>
      <w:r>
        <w:rPr>
          <w:rFonts w:hint="eastAsia" w:ascii="宋体" w:hAnsi="宋体"/>
          <w:color w:val="auto"/>
          <w:sz w:val="24"/>
          <w:highlight w:val="none"/>
          <w:u w:val="single"/>
        </w:rPr>
        <w:t xml:space="preserve">按发包人要求提交全套施工资料及竣工图</w:t>
      </w:r>
      <w:r>
        <w:rPr>
          <w:rFonts w:ascii="宋体" w:hAnsi="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承包人需要提交的竣工资料套数：</w:t>
      </w:r>
      <w:r>
        <w:rPr>
          <w:rFonts w:hint="eastAsia" w:ascii="宋体" w:hAnsi="宋体"/>
          <w:color w:val="auto"/>
          <w:sz w:val="24"/>
          <w:highlight w:val="none"/>
          <w:u w:val="single"/>
        </w:rPr>
        <w:t xml:space="preserve">按发包人要求提供。</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承包人提交的竣工资料的费用承担：</w:t>
      </w:r>
      <w:r>
        <w:rPr>
          <w:rFonts w:hint="eastAsia" w:ascii="宋体" w:hAnsi="宋体"/>
          <w:color w:val="auto"/>
          <w:sz w:val="24"/>
          <w:highlight w:val="none"/>
          <w:u w:val="single"/>
        </w:rPr>
        <w:t xml:space="preserve">由承包人</w:t>
      </w:r>
      <w:r>
        <w:rPr>
          <w:rFonts w:hint="eastAsia" w:ascii="宋体" w:hAnsi="宋体" w:cs="宋体"/>
          <w:color w:val="auto"/>
          <w:sz w:val="24"/>
          <w:highlight w:val="none"/>
          <w:u w:val="single"/>
        </w:rPr>
        <w:t xml:space="preserve">承担 </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承包人提交的竣工资料移交时间：</w:t>
      </w:r>
      <w:r>
        <w:rPr>
          <w:rFonts w:hint="eastAsia" w:ascii="宋体" w:hAnsi="宋体"/>
          <w:color w:val="auto"/>
          <w:sz w:val="24"/>
          <w:highlight w:val="none"/>
          <w:u w:val="single"/>
        </w:rPr>
        <w:t xml:space="preserve">工程竣工验收合格后</w:t>
      </w:r>
      <w:r>
        <w:rPr>
          <w:rFonts w:ascii="宋体" w:hAnsi="宋体"/>
          <w:color w:val="auto"/>
          <w:sz w:val="24"/>
          <w:highlight w:val="none"/>
          <w:u w:val="single"/>
        </w:rPr>
        <w:t xml:space="preserve">28</w:t>
      </w:r>
      <w:r>
        <w:rPr>
          <w:rFonts w:hint="eastAsia" w:ascii="宋体" w:hAnsi="宋体"/>
          <w:color w:val="auto"/>
          <w:sz w:val="24"/>
          <w:highlight w:val="none"/>
          <w:u w:val="single"/>
        </w:rPr>
        <w:t xml:space="preserve">日内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承包人提交的竣工资料形式要求：</w:t>
      </w:r>
      <w:r>
        <w:rPr>
          <w:rFonts w:hint="eastAsia" w:ascii="宋体" w:hAnsi="宋体"/>
          <w:color w:val="auto"/>
          <w:sz w:val="24"/>
          <w:highlight w:val="none"/>
          <w:u w:val="single"/>
        </w:rPr>
        <w:t xml:space="preserve">书面资料及电子档资料</w:t>
      </w:r>
      <w:r>
        <w:rPr>
          <w:rFonts w:hint="eastAsia" w:ascii="宋体" w:hAnsi="宋体" w:cs="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w:t>
      </w:r>
      <w:r>
        <w:rPr>
          <w:rFonts w:hint="eastAsia" w:ascii="宋体" w:hAnsi="宋体"/>
          <w:color w:val="auto"/>
          <w:sz w:val="24"/>
          <w:highlight w:val="none"/>
        </w:rPr>
        <w:t xml:space="preserve">10</w:t>
      </w:r>
      <w:r>
        <w:rPr>
          <w:rFonts w:ascii="宋体" w:hAnsi="宋体"/>
          <w:color w:val="auto"/>
          <w:sz w:val="24"/>
          <w:highlight w:val="none"/>
        </w:rPr>
        <w:t xml:space="preserve">）承包人应履行的其他义务：</w:t>
      </w:r>
      <w:r>
        <w:rPr>
          <w:rFonts w:hint="eastAsia" w:ascii="宋体" w:hAnsi="宋体"/>
          <w:color w:val="auto"/>
          <w:sz w:val="24"/>
          <w:highlight w:val="none"/>
          <w:u w:val="single"/>
        </w:rPr>
        <w:t xml:space="preserve">①安排专人24小时负责安全保卫工作，非夜间施工照明应注意安全要求，费用由承包人承担；②承包人必须按规定对施工现场成品进行保护，专业施工项目验收合格之日起交付给发包人止，专业工程施工现场成品保护由专业工</w:t>
      </w:r>
      <w:r>
        <w:rPr>
          <w:rFonts w:hint="eastAsia" w:ascii="宋体" w:hAnsi="宋体"/>
          <w:color w:val="auto"/>
          <w:sz w:val="24"/>
          <w:highlight w:val="none"/>
          <w:u w:val="single"/>
        </w:rPr>
        <w:t xml:space="preserve">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ascii="宋体" w:hAnsi="宋体"/>
          <w:color w:val="auto"/>
          <w:sz w:val="24"/>
          <w:highlight w:val="none"/>
          <w:u w:val="single"/>
        </w:rPr>
        <w:fldChar w:fldCharType="begin"/>
      </w:r>
      <w:r>
        <w:rPr>
          <w:rFonts w:ascii="宋体" w:hAnsi="宋体"/>
          <w:color w:val="auto"/>
          <w:sz w:val="24"/>
          <w:highlight w:val="none"/>
          <w:u w:val="single"/>
        </w:rPr>
        <w:instrText xml:space="preserve"> </w:instrText>
      </w:r>
      <w:r>
        <w:rPr>
          <w:rFonts w:hint="eastAsia" w:ascii="宋体" w:hAnsi="宋体"/>
          <w:color w:val="auto"/>
          <w:sz w:val="24"/>
          <w:highlight w:val="none"/>
          <w:u w:val="single"/>
        </w:rPr>
        <w:instrText xml:space="preserve">eq \o\ac(○,7)</w:instrText>
      </w:r>
      <w:r>
        <w:rPr>
          <w:rFonts w:ascii="宋体" w:hAnsi="宋体"/>
          <w:color w:val="auto"/>
          <w:sz w:val="24"/>
          <w:highlight w:val="none"/>
          <w:u w:val="single"/>
        </w:rPr>
        <w:fldChar w:fldCharType="end"/>
      </w:r>
      <w:r>
        <w:rPr>
          <w:rFonts w:hint="eastAsia" w:ascii="宋体" w:hAnsi="宋体"/>
          <w:color w:val="auto"/>
          <w:sz w:val="24"/>
          <w:highlight w:val="none"/>
          <w:u w:val="single"/>
        </w:rPr>
        <w:t xml:space="preserve">本工程向建设主管部门办理的工程施工许可手续，由承包人代为办理，发包人协助，费用按规定承担；</w:t>
      </w:r>
      <w:r>
        <w:rPr>
          <w:rFonts w:ascii="宋体" w:hAnsi="宋体"/>
          <w:color w:val="auto"/>
          <w:sz w:val="24"/>
          <w:highlight w:val="none"/>
          <w:u w:val="single"/>
        </w:rPr>
        <w:fldChar w:fldCharType="begin"/>
      </w:r>
      <w:r>
        <w:rPr>
          <w:rFonts w:ascii="宋体" w:hAnsi="宋体"/>
          <w:color w:val="auto"/>
          <w:sz w:val="24"/>
          <w:highlight w:val="none"/>
          <w:u w:val="single"/>
        </w:rPr>
        <w:instrText xml:space="preserve"> </w:instrText>
      </w:r>
      <w:r>
        <w:rPr>
          <w:rFonts w:hint="eastAsia" w:ascii="宋体" w:hAnsi="宋体"/>
          <w:color w:val="auto"/>
          <w:sz w:val="24"/>
          <w:highlight w:val="none"/>
          <w:u w:val="single"/>
        </w:rPr>
        <w:instrText xml:space="preserve">eq \o\ac(○,8)</w:instrText>
      </w:r>
      <w:r>
        <w:rPr>
          <w:rFonts w:ascii="宋体" w:hAnsi="宋体"/>
          <w:color w:val="auto"/>
          <w:sz w:val="24"/>
          <w:highlight w:val="none"/>
          <w:u w:val="single"/>
        </w:rPr>
        <w:fldChar w:fldCharType="end"/>
      </w:r>
      <w:r>
        <w:rPr>
          <w:rFonts w:hint="eastAsia" w:ascii="宋体" w:hAnsi="宋体"/>
          <w:color w:val="auto"/>
          <w:sz w:val="24"/>
          <w:highlight w:val="none"/>
          <w:u w:val="single"/>
        </w:rPr>
        <w:t xml:space="preserve">施工单位须对施工现场的所有从业人员，建立电脑用工台帐，实行日常考勤管理，施工单位必须第一时间向建设单位、监理单位主动提供与劳务公司签订的用工合同或主动提供班组人员与施工单位签订的用工合同。</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3.2 项目负责人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3.2.1 项目负责人：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姓    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身份证号：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建造师执业资格等级：</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建造师执业印章号：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安全生产考核合格证书号：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承包人对项目负责人的授权范围如下：</w:t>
      </w:r>
      <w:r>
        <w:rPr>
          <w:rFonts w:hint="eastAsia" w:ascii="宋体" w:hAnsi="宋体"/>
          <w:color w:val="auto"/>
          <w:sz w:val="24"/>
          <w:highlight w:val="none"/>
          <w:u w:val="single"/>
        </w:rPr>
        <w:t xml:space="preserve">全面负责本工程施工合同的履行</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关于项目负责人每月在施工现场的时间要求：</w:t>
      </w:r>
      <w:r>
        <w:rPr>
          <w:rFonts w:hint="eastAsia" w:ascii="宋体" w:hAnsi="宋体"/>
          <w:color w:val="auto"/>
          <w:sz w:val="24"/>
          <w:highlight w:val="none"/>
          <w:u w:val="single"/>
        </w:rPr>
        <w:t xml:space="preserve">该工程施工过程中项目负责人必须常驻现场实施施工管理，不因任何情形而更换，且出勤率不少于100%,如发生更换或出勤率少于100%，除接受竞争性磋商文件约定的处罚外，自愿另行承担3000/人/天的违约金，最高20万元。</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承包人未提交劳动合同，以及没有为项目负责人缴纳社会保险证明的违约责任：</w:t>
      </w:r>
      <w:r>
        <w:rPr>
          <w:rFonts w:hint="eastAsia" w:ascii="宋体" w:hAnsi="宋体"/>
          <w:color w:val="auto"/>
          <w:sz w:val="24"/>
          <w:highlight w:val="none"/>
          <w:u w:val="single"/>
        </w:rPr>
        <w:t xml:space="preserve">经发包人提出后，承包人未整改的，发包人有权终止合同。</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项目负责人未经批准，擅自离开施工现场的违约责任：</w:t>
      </w:r>
      <w:r>
        <w:rPr>
          <w:rFonts w:hint="eastAsia" w:ascii="宋体" w:hAnsi="宋体"/>
          <w:color w:val="auto"/>
          <w:sz w:val="24"/>
          <w:highlight w:val="none"/>
          <w:u w:val="single"/>
        </w:rPr>
        <w:t xml:space="preserve">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3.2.3 承包人擅自更换项目负责人的违约责任：</w:t>
      </w:r>
      <w:r>
        <w:rPr>
          <w:rFonts w:hint="eastAsia" w:ascii="宋体" w:hAnsi="宋体"/>
          <w:color w:val="auto"/>
          <w:sz w:val="24"/>
          <w:highlight w:val="none"/>
          <w:u w:val="single"/>
        </w:rPr>
        <w:t xml:space="preserve">发包人有权终止合同，因此给发包人造成损失的，发包人将依法追偿</w:t>
      </w:r>
      <w:r>
        <w:rPr>
          <w:rFonts w:ascii="宋体" w:hAnsi="宋体"/>
          <w:color w:val="auto"/>
          <w:sz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t xml:space="preserve">    3.2.4 承包人无正当理由拒绝更换项目负责人的违约责任：</w:t>
      </w:r>
      <w:r>
        <w:rPr>
          <w:rFonts w:hint="eastAsia" w:ascii="宋体" w:hAnsi="宋体"/>
          <w:color w:val="auto"/>
          <w:sz w:val="24"/>
          <w:highlight w:val="none"/>
          <w:u w:val="single"/>
        </w:rPr>
        <w:t xml:space="preserve">发包人有权终止合同，因此给发包人造成损失的，发包人将依法追偿</w:t>
      </w:r>
      <w:r>
        <w:rPr>
          <w:rFonts w:ascii="宋体" w:hAnsi="宋体"/>
          <w:color w:val="auto"/>
          <w:sz w:val="24"/>
          <w:highlight w:val="none"/>
        </w:rPr>
        <w:t xml:space="preserve">。</w:t>
      </w:r>
      <w:r/>
    </w:p>
    <w:p>
      <w:pPr>
        <w:ind w:firstLine="480"/>
        <w:keepLines/>
        <w:keepNext/>
        <w:spacing w:line="360" w:lineRule="auto"/>
        <w:rPr>
          <w:rFonts w:ascii="宋体" w:hAnsi="宋体"/>
          <w:bCs/>
          <w:color w:val="auto"/>
          <w:sz w:val="24"/>
          <w:highlight w:val="none"/>
        </w:rPr>
        <w:outlineLvl w:val="4"/>
      </w:pPr>
      <w:r>
        <w:rPr>
          <w:rFonts w:ascii="宋体" w:hAnsi="宋体"/>
          <w:bCs/>
          <w:color w:val="auto"/>
          <w:sz w:val="24"/>
          <w:highlight w:val="none"/>
        </w:rPr>
        <w:t xml:space="preserve">3.3 承包人人员</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3.3.1 承包人提交项目管理机构及施工现场管理人员安排报告的期限：</w:t>
      </w:r>
      <w:r>
        <w:rPr>
          <w:rFonts w:hint="eastAsia" w:ascii="宋体" w:hAnsi="宋体" w:cs="MingLiU_HKSCS"/>
          <w:color w:val="auto"/>
          <w:sz w:val="24"/>
          <w:highlight w:val="none"/>
          <w:u w:val="single"/>
        </w:rPr>
        <w:t xml:space="preserve">施工进场七日内</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施工现场主要管理人员：技术负责人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，质检员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，安全员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，施工员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 承包人无正当理由拒绝撤换主要施工管理人员的违约责任：</w:t>
      </w:r>
      <w:r>
        <w:rPr>
          <w:rFonts w:hint="eastAsia" w:ascii="宋体" w:hAnsi="宋体"/>
          <w:color w:val="auto"/>
          <w:sz w:val="24"/>
          <w:highlight w:val="none"/>
          <w:u w:val="single"/>
        </w:rPr>
        <w:t xml:space="preserve">发包人有权终止合同，因此给发包人造成损失的，发包人将依法追偿</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3.3.4 承包人主要施工管理人员离开施工现场的批准要求：</w:t>
      </w:r>
      <w:r>
        <w:rPr>
          <w:rFonts w:hint="eastAsia" w:ascii="宋体" w:hAnsi="宋体" w:cs="宋体"/>
          <w:color w:val="auto"/>
          <w:sz w:val="24"/>
          <w:highlight w:val="none"/>
          <w:u w:val="single"/>
        </w:rPr>
        <w:t xml:space="preserve">中途离岗必须履行书面请假手续并经发包人同意</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3.3.5承包人擅自更换主要施工管理人员的违约责任：</w:t>
      </w:r>
      <w:r>
        <w:rPr>
          <w:rFonts w:hint="eastAsia" w:ascii="宋体" w:hAnsi="宋体"/>
          <w:color w:val="auto"/>
          <w:sz w:val="24"/>
          <w:highlight w:val="none"/>
          <w:u w:val="single"/>
        </w:rPr>
        <w:t xml:space="preserve">发包人有权终止合同，因此给发包人造成损失的，发包人将依法追偿</w:t>
      </w:r>
      <w:r>
        <w:rPr>
          <w:rFonts w:hint="eastAsia" w:ascii="宋体" w:hAnsi="宋体" w:cs="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承包人主要施工管理人员擅自离开施工现场的违约责任：</w:t>
      </w:r>
      <w:r>
        <w:rPr>
          <w:rFonts w:hint="eastAsia" w:ascii="宋体" w:hAnsi="宋体"/>
          <w:color w:val="auto"/>
          <w:sz w:val="24"/>
          <w:highlight w:val="none"/>
          <w:u w:val="single"/>
        </w:rPr>
        <w:t xml:space="preserve">若未经发包人同意而擅自离岗的，除项目负责人外，将处以每人每天 5</w:t>
      </w:r>
      <w:r>
        <w:rPr>
          <w:rFonts w:ascii="宋体" w:hAnsi="宋体"/>
          <w:color w:val="auto"/>
          <w:sz w:val="24"/>
          <w:highlight w:val="none"/>
          <w:u w:val="single"/>
        </w:rPr>
        <w:t xml:space="preserve">00</w:t>
      </w:r>
      <w:r>
        <w:rPr>
          <w:rFonts w:hint="eastAsia" w:ascii="宋体" w:hAnsi="宋体"/>
          <w:color w:val="auto"/>
          <w:sz w:val="24"/>
          <w:highlight w:val="none"/>
          <w:u w:val="single"/>
        </w:rPr>
        <w:t xml:space="preserve">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投标专职安全员若中标，不因任何情形而更换，且出勤率不少于100%,如发生更换或出勤率少于100%，除接受竞争性磋商文件约定的处罚外，自愿另行承担3000/人/天的违约金，最高20万元。</w:t>
      </w:r>
      <w:r/>
    </w:p>
    <w:p>
      <w:pPr>
        <w:ind w:firstLine="482"/>
        <w:spacing w:line="360" w:lineRule="auto"/>
        <w:rPr>
          <w:rFonts w:ascii="宋体" w:hAnsi="宋体"/>
          <w:color w:val="auto"/>
          <w:sz w:val="24"/>
          <w:highlight w:val="none"/>
        </w:rPr>
      </w:pPr>
      <w:r>
        <w:rPr>
          <w:rFonts w:hint="eastAsia" w:ascii="宋体" w:hAnsi="宋体"/>
          <w:b/>
          <w:bCs/>
          <w:color w:val="auto"/>
          <w:sz w:val="24"/>
          <w:highlight w:val="none"/>
        </w:rPr>
        <w:t xml:space="preserve">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3</w:t>
      </w:r>
      <w:bookmarkStart w:id="242" w:name="_Toc303539102"/>
      <w:r/>
      <w:bookmarkStart w:id="243" w:name="_Toc296891199"/>
      <w:r/>
      <w:bookmarkStart w:id="244" w:name="_Toc296346660"/>
      <w:r/>
      <w:bookmarkStart w:id="245" w:name="_Toc312677988"/>
      <w:r/>
      <w:bookmarkStart w:id="246" w:name="_Toc292559869"/>
      <w:r/>
      <w:bookmarkStart w:id="247" w:name="_Toc296347158"/>
      <w:r/>
      <w:bookmarkStart w:id="248" w:name="_Toc300934945"/>
      <w:r/>
      <w:bookmarkStart w:id="249" w:name="_Toc292559364"/>
      <w:r/>
      <w:bookmarkStart w:id="250" w:name="_Toc297216151"/>
      <w:r/>
      <w:bookmarkStart w:id="251" w:name="_Toc297048345"/>
      <w:r/>
      <w:bookmarkStart w:id="252" w:name="_Toc296503159"/>
      <w:r/>
      <w:bookmarkStart w:id="253" w:name="_Toc296890987"/>
      <w:r/>
      <w:bookmarkStart w:id="254" w:name="_Toc304295523"/>
      <w:r/>
      <w:bookmarkStart w:id="255" w:name="_Toc296944498"/>
      <w:r/>
      <w:bookmarkStart w:id="256" w:name="_Toc297123492"/>
      <w:r/>
      <w:bookmarkStart w:id="257" w:name="_Toc297120459"/>
      <w:r>
        <w:rPr>
          <w:rFonts w:ascii="宋体" w:hAnsi="宋体"/>
          <w:b/>
          <w:bCs/>
          <w:color w:val="auto"/>
          <w:sz w:val="24"/>
          <w:highlight w:val="none"/>
        </w:rPr>
        <w:t xml:space="preserve">.5 分包</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bookmarkStart w:id="258" w:name="_Toc312677989"/>
      <w:r/>
      <w:bookmarkStart w:id="259" w:name="_Toc292559870"/>
      <w:r/>
      <w:bookmarkStart w:id="260" w:name="_Toc296944499"/>
      <w:r/>
      <w:bookmarkStart w:id="261" w:name="_Toc297216152"/>
      <w:r/>
      <w:bookmarkStart w:id="262" w:name="_Toc296346661"/>
      <w:r/>
      <w:bookmarkStart w:id="263" w:name="_Toc297048346"/>
      <w:r/>
      <w:bookmarkStart w:id="264" w:name="_Toc304295524"/>
      <w:r/>
      <w:bookmarkStart w:id="265" w:name="_Toc296503160"/>
      <w:r/>
      <w:bookmarkStart w:id="266" w:name="_Toc292559365"/>
      <w:r/>
      <w:bookmarkStart w:id="267" w:name="_Toc296890988"/>
      <w:r/>
      <w:bookmarkStart w:id="268" w:name="_Toc296347159"/>
      <w:r/>
      <w:bookmarkStart w:id="269" w:name="_Toc296891200"/>
      <w:r/>
      <w:bookmarkStart w:id="270" w:name="_Toc297120460"/>
      <w:r/>
      <w:bookmarkStart w:id="271" w:name="_Toc318581158"/>
      <w:r/>
      <w:bookmarkStart w:id="272" w:name="_Toc303539103"/>
      <w:r/>
      <w:bookmarkStart w:id="273" w:name="_Toc297123493"/>
      <w:r/>
      <w:bookmarkStart w:id="274" w:name="_Toc300934946"/>
      <w:r>
        <w:rPr>
          <w:rFonts w:ascii="宋体" w:hAnsi="宋体"/>
          <w:color w:val="auto"/>
          <w:sz w:val="24"/>
          <w:highlight w:val="none"/>
        </w:rPr>
        <w:t xml:space="preserve">.5.1 分包的一般约定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禁止分包的工程包括：</w:t>
      </w:r>
      <w:r>
        <w:rPr>
          <w:rFonts w:hint="eastAsia" w:ascii="宋体" w:hAnsi="宋体" w:cs="MingLiU_HKSCS"/>
          <w:color w:val="auto"/>
          <w:sz w:val="24"/>
          <w:highlight w:val="none"/>
          <w:u w:val="single"/>
        </w:rPr>
        <w:t xml:space="preserve">国家法律法规禁止分包的工程</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主体结构、关键性工作的范围：</w:t>
      </w:r>
      <w:r>
        <w:rPr>
          <w:rFonts w:hint="eastAsia" w:ascii="宋体" w:hAnsi="宋体"/>
          <w:color w:val="auto"/>
          <w:sz w:val="24"/>
          <w:highlight w:val="none"/>
          <w:u w:val="single"/>
        </w:rPr>
        <w:t xml:space="preserve">依据有关法律法规、规定、标准等的规定</w:t>
      </w:r>
      <w:r>
        <w:rPr>
          <w:rFonts w:ascii="宋体" w:hAnsi="宋体"/>
          <w:color w:val="auto"/>
          <w:sz w:val="24"/>
          <w:highlight w:val="none"/>
        </w:rPr>
        <w:t xml:space="preserve">。</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75" w:name="_Toc300934947"/>
      <w:r/>
      <w:bookmarkEnd w:id="275"/>
      <w:r/>
      <w:bookmarkStart w:id="276" w:name="_Toc296890989"/>
      <w:r/>
      <w:bookmarkEnd w:id="276"/>
      <w:r/>
      <w:bookmarkStart w:id="277" w:name="_Toc297120461"/>
      <w:r/>
      <w:bookmarkEnd w:id="277"/>
      <w:r/>
      <w:bookmarkStart w:id="278" w:name="_Toc296944500"/>
      <w:r/>
      <w:bookmarkEnd w:id="278"/>
      <w:r/>
      <w:bookmarkStart w:id="279" w:name="_Toc296346662"/>
      <w:r/>
      <w:bookmarkEnd w:id="279"/>
      <w:r/>
      <w:bookmarkStart w:id="280" w:name="_Toc297216153"/>
      <w:r/>
      <w:bookmarkEnd w:id="280"/>
      <w:r/>
      <w:bookmarkStart w:id="281" w:name="_Toc297048347"/>
      <w:r/>
      <w:bookmarkEnd w:id="281"/>
      <w:r/>
      <w:bookmarkStart w:id="282" w:name="_Toc304295525"/>
      <w:r/>
      <w:bookmarkEnd w:id="282"/>
      <w:r/>
      <w:bookmarkStart w:id="283" w:name="_Toc297123494"/>
      <w:r/>
      <w:bookmarkEnd w:id="283"/>
      <w:r/>
      <w:bookmarkStart w:id="284" w:name="_Toc296503161"/>
      <w:r/>
      <w:bookmarkEnd w:id="284"/>
      <w:r/>
      <w:bookmarkStart w:id="285" w:name="_Toc303539104"/>
      <w:r/>
      <w:bookmarkEnd w:id="285"/>
      <w:r/>
      <w:bookmarkStart w:id="286" w:name="_Toc296347160"/>
      <w:r/>
      <w:bookmarkEnd w:id="286"/>
      <w:r/>
      <w:bookmarkStart w:id="287" w:name="_Toc296891201"/>
      <w:r/>
      <w:bookmarkEnd w:id="287"/>
      <w:r/>
      <w:r/>
    </w:p>
    <w:p>
      <w:pPr>
        <w:spacing w:line="360" w:lineRule="auto"/>
        <w:rPr>
          <w:rFonts w:ascii="宋体" w:hAnsi="宋体"/>
          <w:color w:val="auto"/>
          <w:sz w:val="24"/>
          <w:highlight w:val="none"/>
        </w:rPr>
      </w:pPr>
      <w:r>
        <w:rPr>
          <w:rFonts w:ascii="宋体" w:hAnsi="宋体"/>
          <w:color w:val="auto"/>
          <w:sz w:val="24"/>
          <w:highlight w:val="none"/>
        </w:rPr>
        <w:t xml:space="preserve">    3</w:t>
      </w:r>
      <w:bookmarkStart w:id="288" w:name="_Toc312677990"/>
      <w:r/>
      <w:bookmarkStart w:id="289" w:name="_Toc318581159"/>
      <w:r>
        <w:rPr>
          <w:rFonts w:ascii="宋体" w:hAnsi="宋体"/>
          <w:color w:val="auto"/>
          <w:sz w:val="24"/>
          <w:highlight w:val="none"/>
        </w:rPr>
        <w:t xml:space="preserve">.5.2分包的确定</w:t>
      </w:r>
      <w:r/>
    </w:p>
    <w:p>
      <w:pPr>
        <w:ind w:firstLine="48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允许分包的专业工程包括</w:t>
      </w:r>
      <w:r>
        <w:rPr>
          <w:rFonts w:ascii="宋体" w:hAnsi="宋体"/>
          <w:color w:val="auto"/>
          <w:sz w:val="24"/>
          <w:highlight w:val="none"/>
        </w:rPr>
        <w:t xml:space="preserve">：</w:t>
      </w:r>
      <w:r>
        <w:rPr>
          <w:rFonts w:hint="eastAsia" w:ascii="宋体" w:hAnsi="宋体"/>
          <w:color w:val="auto"/>
          <w:sz w:val="24"/>
          <w:highlight w:val="none"/>
          <w:u w:val="single"/>
        </w:rPr>
        <w:t xml:space="preserve">如确有主体结构、关键性工作之外的专业工程需要分包，分包前须经发包人</w:t>
      </w:r>
      <w:r>
        <w:rPr>
          <w:rFonts w:hint="eastAsia" w:ascii="宋体" w:hAnsi="宋体"/>
          <w:color w:val="auto"/>
          <w:sz w:val="24"/>
          <w:highlight w:val="none"/>
          <w:u w:val="single"/>
          <w:lang w:val="en-US" w:eastAsia="zh-CN"/>
        </w:rPr>
        <w:t xml:space="preserve">书面同意</w:t>
      </w:r>
      <w:r>
        <w:rPr>
          <w:rFonts w:hint="eastAsia" w:ascii="宋体" w:hAnsi="宋体"/>
          <w:color w:val="auto"/>
          <w:sz w:val="24"/>
          <w:highlight w:val="none"/>
          <w:u w:val="single"/>
        </w:rPr>
        <w:t xml:space="preserve">。</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olor w:val="auto"/>
          <w:sz w:val="24"/>
          <w:highlight w:val="none"/>
          <w:u w:val="single"/>
        </w:rPr>
        <w:t xml:space="preserve">分包前须征得发包人书面认可。发包人谢绝一切形式的挂靠和违法分包，如发现承包人有转包或违法分包行为，限令改正。否则，发包人有权立即终止合同</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3.5.4 分包合同价款</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关于分包合同价款支付的约定：</w:t>
      </w:r>
      <w:r>
        <w:rPr>
          <w:rFonts w:hint="eastAsia" w:ascii="宋体" w:hAnsi="宋体" w:cs="宋体"/>
          <w:color w:val="auto"/>
          <w:sz w:val="24"/>
          <w:highlight w:val="none"/>
          <w:u w:val="single"/>
        </w:rPr>
        <w:t xml:space="preserve">按分包合同约定</w:t>
      </w:r>
      <w:r>
        <w:rPr>
          <w:rFonts w:ascii="宋体" w:hAnsi="宋体"/>
          <w:color w:val="auto"/>
          <w:sz w:val="24"/>
          <w:highlight w:val="none"/>
        </w:rPr>
        <w:t xml:space="preserve">。</w:t>
      </w:r>
      <w:bookmarkEnd w:id="288"/>
      <w:r/>
      <w:bookmarkEnd w:id="289"/>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3.6 工程照管与成品、半成品保护</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承包人负责照管工程及工程相关的材料、工程设备的起始时间：</w:t>
      </w:r>
      <w:r>
        <w:rPr>
          <w:rFonts w:hint="eastAsia" w:ascii="宋体" w:hAnsi="宋体"/>
          <w:color w:val="auto"/>
          <w:sz w:val="24"/>
          <w:highlight w:val="none"/>
        </w:rPr>
        <w:t xml:space="preserve">从</w:t>
      </w:r>
      <w:r>
        <w:rPr>
          <w:rFonts w:hint="eastAsia" w:ascii="宋体" w:hAnsi="宋体"/>
          <w:color w:val="auto"/>
          <w:sz w:val="24"/>
          <w:highlight w:val="none"/>
          <w:u w:val="single"/>
        </w:rPr>
        <w:t xml:space="preserve">进场直至施工完成交付使用，费用由承包人承担</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3.7 履约担保</w:t>
      </w:r>
      <w:r/>
    </w:p>
    <w:p>
      <w:pPr>
        <w:ind w:firstLine="480"/>
        <w:jc w:val="left"/>
        <w:spacing w:line="360" w:lineRule="auto"/>
        <w:rPr>
          <w:rFonts w:ascii="宋体" w:hAnsi="宋体"/>
          <w:color w:val="auto"/>
          <w:sz w:val="24"/>
          <w:highlight w:val="none"/>
        </w:rPr>
      </w:pPr>
      <w:r/>
      <w:bookmarkStart w:id="290" w:name="_Toc351203636"/>
      <w:r>
        <w:rPr>
          <w:rFonts w:hint="eastAsia" w:ascii="宋体" w:hAnsi="宋体"/>
          <w:color w:val="auto"/>
          <w:sz w:val="24"/>
          <w:highlight w:val="none"/>
        </w:rPr>
        <w:t xml:space="preserve">承包人是否提供履约担保：</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 是 </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承包人提供履约担保的形式</w:t>
      </w:r>
      <w:r>
        <w:rPr>
          <w:rFonts w:hint="eastAsia" w:ascii="宋体" w:hAnsi="宋体"/>
          <w:color w:val="auto"/>
          <w:sz w:val="24"/>
          <w:highlight w:val="none"/>
        </w:rPr>
        <w:t xml:space="preserve">、金额及期限的</w:t>
      </w:r>
      <w:r>
        <w:rPr>
          <w:rFonts w:ascii="宋体" w:hAnsi="宋体"/>
          <w:color w:val="auto"/>
          <w:sz w:val="24"/>
          <w:highlight w:val="none"/>
        </w:rPr>
        <w:t xml:space="preserve">：</w:t>
      </w:r>
      <w:r>
        <w:rPr>
          <w:rFonts w:hint="eastAsia" w:ascii="宋体" w:hAnsi="宋体"/>
          <w:color w:val="auto"/>
          <w:sz w:val="24"/>
          <w:highlight w:val="none"/>
          <w:u w:val="single"/>
        </w:rPr>
        <w:t xml:space="preserve">本工程履约保证金为中标价的10%，中标人签订合同前</w:t>
      </w:r>
      <w:r>
        <w:rPr>
          <w:rFonts w:ascii="宋体" w:hAnsi="宋体" w:cs="宋体"/>
          <w:color w:val="auto"/>
          <w:sz w:val="24"/>
          <w:highlight w:val="none"/>
          <w:u w:val="single"/>
        </w:rPr>
        <w:t xml:space="preserve">，履约保证金承包人自主选择以支票、汇票、本票或者金融机构、担保机构出具的保函等非现金形式提交至发包人指定</w:t>
      </w:r>
      <w:r>
        <w:rPr>
          <w:rFonts w:hint="eastAsia" w:ascii="宋体" w:hAnsi="宋体" w:cs="宋体"/>
          <w:color w:val="auto"/>
          <w:sz w:val="24"/>
          <w:highlight w:val="none"/>
          <w:u w:val="single"/>
        </w:rPr>
        <w:t xml:space="preserve">账户</w:t>
      </w:r>
      <w:r>
        <w:rPr>
          <w:rFonts w:ascii="宋体" w:hAnsi="宋体" w:cs="宋体"/>
          <w:color w:val="auto"/>
          <w:sz w:val="24"/>
          <w:highlight w:val="none"/>
          <w:u w:val="single"/>
        </w:rPr>
        <w:t xml:space="preserve">并存于发包人处，待工程结束并通过验收合格后且无违约情况方可退还（无息）</w:t>
      </w:r>
      <w:r>
        <w:rPr>
          <w:rFonts w:hint="eastAsia" w:ascii="宋体" w:hAnsi="宋体"/>
          <w:color w:val="auto"/>
          <w:sz w:val="24"/>
          <w:highlight w:val="none"/>
          <w:u w:val="single"/>
        </w:rPr>
        <w:t xml:space="preserve">。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对AA评级及以上政府采购供应商，需提供信用管理部门备案的第三方信用报告，经采购人审核无误后，减半收取履约保证金（5%）。</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3.7.1</w:t>
      </w:r>
      <w:r>
        <w:rPr>
          <w:rFonts w:ascii="宋体" w:hAnsi="宋体" w:cs="宋体"/>
          <w:color w:val="auto"/>
          <w:sz w:val="24"/>
          <w:highlight w:val="none"/>
        </w:rPr>
        <w:t xml:space="preserve">确需收取履约保证金的，履约保证金的缴纳形式：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①承包人</w:t>
      </w:r>
      <w:r>
        <w:rPr>
          <w:rFonts w:ascii="宋体" w:hAnsi="宋体" w:cs="宋体"/>
          <w:color w:val="auto"/>
          <w:sz w:val="24"/>
          <w:highlight w:val="none"/>
        </w:rPr>
        <w:t xml:space="preserve">以</w:t>
      </w:r>
      <w:r>
        <w:rPr>
          <w:rFonts w:hint="eastAsia" w:ascii="宋体" w:hAnsi="宋体" w:cs="宋体"/>
          <w:color w:val="auto"/>
          <w:sz w:val="24"/>
          <w:highlight w:val="none"/>
        </w:rPr>
        <w:t xml:space="preserve">银行转账</w:t>
      </w:r>
      <w:r>
        <w:rPr>
          <w:rFonts w:ascii="宋体" w:hAnsi="宋体" w:cs="宋体"/>
          <w:color w:val="auto"/>
          <w:sz w:val="24"/>
          <w:highlight w:val="none"/>
        </w:rPr>
        <w:t xml:space="preserve">形式</w:t>
      </w:r>
      <w:r>
        <w:rPr>
          <w:rFonts w:hint="eastAsia" w:ascii="宋体" w:hAnsi="宋体" w:cs="宋体"/>
          <w:color w:val="auto"/>
          <w:sz w:val="24"/>
          <w:highlight w:val="none"/>
        </w:rPr>
        <w:t xml:space="preserve">将</w:t>
      </w:r>
      <w:r>
        <w:rPr>
          <w:rFonts w:ascii="宋体" w:hAnsi="宋体" w:cs="宋体"/>
          <w:color w:val="auto"/>
          <w:sz w:val="24"/>
          <w:highlight w:val="none"/>
        </w:rPr>
        <w:t xml:space="preserve">履约保证金</w:t>
      </w:r>
      <w:r>
        <w:rPr>
          <w:rFonts w:hint="eastAsia" w:ascii="宋体" w:hAnsi="宋体" w:cs="宋体"/>
          <w:color w:val="auto"/>
          <w:sz w:val="24"/>
          <w:highlight w:val="none"/>
        </w:rPr>
        <w:t xml:space="preserve">汇入发包人指定账户</w:t>
      </w:r>
      <w:r>
        <w:rPr>
          <w:rFonts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②</w:t>
      </w:r>
      <w:r>
        <w:rPr>
          <w:rFonts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③合同履行结束后，发包人应及时退还交纳的履约保证金。</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④履约保证金的退还：</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方式：无息退还至承包人缴纳履约保证金的账户。如为保函，在到期时自行失效。</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时间：验收合格且发包人收到发票后30日内。</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条件：按合同要求全部履约完成并经发包人验收合格，且发包人收到承包人出具的发票。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⑤不予退还情形：</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除不可抗力情况外，承包人出现下列情形之一的，其履约保证金，发包人将视情节决定不予退还或部分不予退还。</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(1)承包人无正当理由拒绝签订合同的，或者在签订合同时向发包人提出附加条件或者更改合同实质性内容要求的；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(2)承包人不履行与发包人订立的合同的，承包人未能履行合同规定的相关义务，或因承包人责任应由承包人承担的赔偿未完成；</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(3)承包人所供货物或服务或工程不符合招标文件规定要求的；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(4)承包人采取欺骗、弄虚作假方式投标的或与其它投标人串通投标的；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(5)承包人将合同内容转包、违法分包的；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(6)承包人故意捏造事实或伪造证明材料，进行虚假恶意投诉或反映的。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4</w:t>
      </w:r>
      <w:bookmarkStart w:id="291" w:name="_Toc292559366"/>
      <w:r/>
      <w:bookmarkStart w:id="292" w:name="_Toc297120462"/>
      <w:r/>
      <w:bookmarkStart w:id="293" w:name="_Toc296944501"/>
      <w:r/>
      <w:bookmarkStart w:id="294" w:name="_Toc297048348"/>
      <w:r/>
      <w:bookmarkStart w:id="295" w:name="_Toc296347161"/>
      <w:r/>
      <w:bookmarkStart w:id="296" w:name="_Toc267251413"/>
      <w:r/>
      <w:bookmarkStart w:id="297" w:name="_Toc296890990"/>
      <w:r/>
      <w:bookmarkStart w:id="298" w:name="_Toc296891202"/>
      <w:r/>
      <w:bookmarkStart w:id="299" w:name="_Toc296503162"/>
      <w:r/>
      <w:bookmarkStart w:id="300" w:name="_Toc292559871"/>
      <w:r/>
      <w:bookmarkStart w:id="301" w:name="_Toc296346663"/>
      <w:r>
        <w:rPr>
          <w:rFonts w:ascii="宋体" w:hAnsi="宋体"/>
          <w:b/>
          <w:bCs/>
          <w:color w:val="auto"/>
          <w:sz w:val="24"/>
          <w:highlight w:val="none"/>
        </w:rPr>
        <w:t xml:space="preserve">. 监</w:t>
      </w:r>
      <w:bookmarkEnd w:id="291"/>
      <w:r/>
      <w:bookmarkEnd w:id="292"/>
      <w:r/>
      <w:bookmarkEnd w:id="293"/>
      <w:r/>
      <w:bookmarkEnd w:id="294"/>
      <w:r/>
      <w:bookmarkEnd w:id="295"/>
      <w:r/>
      <w:bookmarkEnd w:id="296"/>
      <w:r/>
      <w:bookmarkEnd w:id="297"/>
      <w:r/>
      <w:bookmarkEnd w:id="298"/>
      <w:r/>
      <w:bookmarkEnd w:id="299"/>
      <w:r/>
      <w:bookmarkEnd w:id="300"/>
      <w:r/>
      <w:bookmarkEnd w:id="301"/>
      <w:r>
        <w:rPr>
          <w:rFonts w:ascii="宋体" w:hAnsi="宋体"/>
          <w:b/>
          <w:bCs/>
          <w:color w:val="auto"/>
          <w:sz w:val="24"/>
          <w:highlight w:val="none"/>
        </w:rPr>
        <w:t xml:space="preserve">理人</w:t>
      </w:r>
      <w:bookmarkEnd w:id="290"/>
      <w:r/>
      <w:r/>
    </w:p>
    <w:p>
      <w:pPr>
        <w:ind w:firstLine="480"/>
        <w:spacing w:line="360" w:lineRule="auto"/>
        <w:rPr>
          <w:rFonts w:ascii="宋体" w:hAnsi="宋体"/>
          <w:color w:val="auto"/>
          <w:sz w:val="24"/>
          <w:highlight w:val="none"/>
        </w:rPr>
      </w:pPr>
      <w:r>
        <w:rPr>
          <w:rFonts w:ascii="宋体" w:hAnsi="宋体"/>
          <w:color w:val="auto"/>
          <w:sz w:val="24"/>
          <w:highlight w:val="none"/>
        </w:rPr>
        <w:t xml:space="preserve">4.1监理人的一般规定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olor w:val="auto"/>
          <w:sz w:val="24"/>
          <w:highlight w:val="none"/>
          <w:u w:val="single"/>
        </w:rPr>
        <w:t xml:space="preserve">根据发包人</w:t>
      </w:r>
      <w:r>
        <w:rPr>
          <w:rFonts w:ascii="宋体" w:hAnsi="宋体"/>
          <w:color w:val="auto"/>
          <w:sz w:val="24"/>
          <w:highlight w:val="none"/>
          <w:u w:val="single"/>
        </w:rPr>
        <w:t xml:space="preserve">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关于监理人的监理权限：</w:t>
      </w:r>
      <w:r>
        <w:rPr>
          <w:rFonts w:hint="eastAsia" w:ascii="宋体" w:hAnsi="宋体"/>
          <w:color w:val="auto"/>
          <w:sz w:val="24"/>
          <w:highlight w:val="none"/>
          <w:u w:val="single"/>
        </w:rPr>
        <w:t xml:space="preserve">根据《建设工程监理合同》约定</w:t>
      </w:r>
      <w:r>
        <w:rPr>
          <w:rFonts w:hint="eastAsia" w:ascii="宋体" w:hAnsi="宋体" w:cs="宋体"/>
          <w:color w:val="auto"/>
          <w:sz w:val="24"/>
          <w:highlight w:val="none"/>
        </w:rPr>
        <w:t xml:space="preserve">。</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关于监理人在施工现场的办公场所、生活场所的提供和费用承担的约定：</w:t>
      </w:r>
      <w:r>
        <w:rPr>
          <w:rFonts w:hint="eastAsia" w:ascii="宋体" w:hAnsi="宋体"/>
          <w:color w:val="auto"/>
          <w:sz w:val="24"/>
          <w:highlight w:val="none"/>
          <w:u w:val="single"/>
        </w:rPr>
        <w:t xml:space="preserve"> 由承包人提供，相关费用包含在签约合同价中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4.2 监理人员</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总监理工程师：</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姓    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职    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监理工程师执业资格证书号：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联系电话：</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电子信箱：</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通信地址：</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关于监理人的其他约定：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4.4 商定或确定</w:t>
      </w:r>
      <w:r/>
    </w:p>
    <w:p>
      <w:pPr>
        <w:ind w:firstLine="480"/>
        <w:spacing w:line="360" w:lineRule="auto"/>
        <w:rPr>
          <w:rFonts w:ascii="宋体" w:hAnsi="宋体"/>
          <w:color w:val="auto"/>
          <w:sz w:val="24"/>
          <w:highlight w:val="none"/>
        </w:rPr>
      </w:pPr>
      <w:r/>
      <w:bookmarkStart w:id="302" w:name="_Toc267251418"/>
      <w:r>
        <w:rPr>
          <w:rFonts w:ascii="宋体" w:hAnsi="宋体"/>
          <w:color w:val="auto"/>
          <w:sz w:val="24"/>
          <w:highlight w:val="none"/>
        </w:rPr>
        <w:t xml:space="preserve">在发包人和承包人不能通过协商达成一致意见时，发包人授权监理人对以下事项进行确定：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根据监理合同约定执行</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keepLines/>
        <w:keepNext/>
        <w:spacing w:line="360" w:lineRule="auto"/>
        <w:rPr>
          <w:rFonts w:ascii="宋体" w:hAnsi="宋体"/>
          <w:bCs/>
          <w:color w:val="auto"/>
          <w:sz w:val="24"/>
          <w:highlight w:val="none"/>
        </w:rPr>
        <w:outlineLvl w:val="3"/>
      </w:pPr>
      <w:r/>
      <w:bookmarkStart w:id="303" w:name="_Toc351203637"/>
      <w:r>
        <w:rPr>
          <w:rFonts w:ascii="宋体" w:hAnsi="宋体"/>
          <w:bCs/>
          <w:color w:val="auto"/>
          <w:sz w:val="24"/>
          <w:highlight w:val="none"/>
        </w:rPr>
        <w:t xml:space="preserve">5</w:t>
      </w:r>
      <w:bookmarkEnd w:id="302"/>
      <w:r/>
      <w:bookmarkStart w:id="304" w:name="_Toc296890991"/>
      <w:r/>
      <w:bookmarkStart w:id="305" w:name="_Toc296347162"/>
      <w:r/>
      <w:bookmarkStart w:id="306" w:name="_Toc296891203"/>
      <w:r/>
      <w:bookmarkStart w:id="307" w:name="_Toc296346664"/>
      <w:r/>
      <w:bookmarkStart w:id="308" w:name="_Toc296503163"/>
      <w:r/>
      <w:bookmarkStart w:id="309" w:name="_Toc292559367"/>
      <w:r/>
      <w:bookmarkStart w:id="310" w:name="_Toc292559872"/>
      <w:r/>
      <w:bookmarkStart w:id="311" w:name="_Toc297120463"/>
      <w:r/>
      <w:bookmarkStart w:id="312" w:name="_Toc297048349"/>
      <w:r/>
      <w:bookmarkStart w:id="313" w:name="_Toc296944502"/>
      <w:r>
        <w:rPr>
          <w:rFonts w:ascii="宋体" w:hAnsi="宋体"/>
          <w:bCs/>
          <w:color w:val="auto"/>
          <w:sz w:val="24"/>
          <w:highlight w:val="none"/>
        </w:rPr>
        <w:t xml:space="preserve">. 工程质量</w:t>
      </w:r>
      <w:bookmarkEnd w:id="303"/>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5.1 质量要求</w:t>
      </w:r>
      <w:r/>
    </w:p>
    <w:p>
      <w:pPr>
        <w:pStyle w:val="783"/>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auto"/>
          <w:sz w:val="24"/>
          <w:szCs w:val="24"/>
          <w:highlight w:val="none"/>
          <w:u w:val="single"/>
        </w:rPr>
      </w:pPr>
      <w:r>
        <w:rPr>
          <w:rFonts w:ascii="宋体" w:hAnsi="宋体" w:eastAsia="宋体"/>
          <w:color w:val="auto"/>
          <w:sz w:val="24"/>
          <w:szCs w:val="24"/>
          <w:highlight w:val="none"/>
        </w:rPr>
        <w:t xml:space="preserve">5</w:t>
      </w:r>
      <w:bookmarkStart w:id="314" w:name="_Toc318581164"/>
      <w:r/>
      <w:bookmarkStart w:id="315" w:name="_Toc312677997"/>
      <w:r/>
      <w:bookmarkStart w:id="316" w:name="_Toc303539106"/>
      <w:r/>
      <w:bookmarkStart w:id="317" w:name="_Toc297123496"/>
      <w:r/>
      <w:bookmarkStart w:id="318" w:name="_Toc297216155"/>
      <w:r/>
      <w:bookmarkStart w:id="319" w:name="_Toc300934949"/>
      <w:r/>
      <w:bookmarkStart w:id="320" w:name="_Toc304295527"/>
      <w:r>
        <w:rPr>
          <w:rFonts w:ascii="宋体" w:hAnsi="宋体" w:eastAsia="宋体"/>
          <w:color w:val="auto"/>
          <w:sz w:val="24"/>
          <w:szCs w:val="24"/>
          <w:highlight w:val="none"/>
        </w:rPr>
        <w:t xml:space="preserve">.1.1 特殊质量标准和要求：</w:t>
      </w:r>
      <w:r>
        <w:rPr>
          <w:rFonts w:hint="eastAsia" w:ascii="宋体" w:hAnsi="宋体" w:eastAsia="宋体"/>
          <w:color w:val="auto"/>
          <w:sz w:val="24"/>
          <w:szCs w:val="24"/>
          <w:highlight w:val="none"/>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p>
    <w:p>
      <w:pPr>
        <w:pStyle w:val="783"/>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2、非发包人原因，质量整改所发生的费用不予增加。</w:t>
      </w:r>
      <w:r/>
    </w:p>
    <w:p>
      <w:pPr>
        <w:pStyle w:val="783"/>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w:t>
      </w:r>
      <w:r>
        <w:rPr>
          <w:rFonts w:hint="eastAsia" w:ascii="宋体" w:hAnsi="宋体" w:eastAsia="宋体"/>
          <w:color w:val="auto"/>
          <w:sz w:val="24"/>
          <w:szCs w:val="24"/>
          <w:highlight w:val="none"/>
          <w:u w:val="single"/>
        </w:rPr>
        <w:t xml:space="preserve">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w:t>
      </w:r>
      <w:r>
        <w:rPr>
          <w:rFonts w:hint="eastAsia" w:ascii="宋体" w:hAnsi="宋体" w:eastAsia="宋体"/>
          <w:color w:val="auto"/>
          <w:sz w:val="24"/>
          <w:szCs w:val="24"/>
          <w:highlight w:val="none"/>
          <w:u w:val="single"/>
        </w:rPr>
        <w:t xml:space="preserve">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元的违约金，承包人必须在招标人处罚决定后3日内以现金形式交由发包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4、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对关键部位、关键工序及隐蔽部位须按相关规定要求报市质量监督部门验收，并出具合格的质量监督证明，否则发包人不予认可。</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关于工程奖项的约定：</w:t>
      </w:r>
      <w:r>
        <w:rPr>
          <w:rFonts w:hint="eastAsia" w:ascii="宋体" w:hAnsi="宋体"/>
          <w:color w:val="auto"/>
          <w:sz w:val="24"/>
          <w:highlight w:val="none"/>
          <w:u w:val="single"/>
        </w:rPr>
        <w:t xml:space="preserve"> 无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5.3 隐蔽工程检查</w:t>
      </w:r>
      <w:r/>
    </w:p>
    <w:p>
      <w:pPr>
        <w:ind w:firstLine="480"/>
        <w:jc w:val="left"/>
        <w:spacing w:line="360" w:lineRule="auto"/>
        <w:rPr>
          <w:rFonts w:ascii="宋体" w:hAnsi="宋体" w:cs="宋体"/>
          <w:color w:val="auto"/>
          <w:sz w:val="24"/>
          <w:highlight w:val="none"/>
        </w:rPr>
      </w:pPr>
      <w:r>
        <w:rPr>
          <w:rFonts w:ascii="宋体" w:hAnsi="宋体"/>
          <w:color w:val="auto"/>
          <w:sz w:val="24"/>
          <w:highlight w:val="none"/>
        </w:rPr>
        <w:t xml:space="preserve">5.3.2</w:t>
      </w:r>
      <w:r>
        <w:rPr>
          <w:rFonts w:hint="eastAsia" w:ascii="宋体" w:hAnsi="宋体" w:cs="宋体"/>
          <w:color w:val="auto"/>
          <w:sz w:val="24"/>
          <w:highlight w:val="none"/>
        </w:rPr>
        <w:t xml:space="preserve">承包人提前通知监理人隐蔽工程检查的期限的约定：</w:t>
      </w:r>
      <w:r>
        <w:rPr>
          <w:rFonts w:hint="eastAsia" w:ascii="宋体" w:hAnsi="宋体"/>
          <w:color w:val="auto"/>
          <w:sz w:val="24"/>
          <w:highlight w:val="none"/>
          <w:u w:val="single"/>
        </w:rPr>
        <w:t xml:space="preserve">按通用条款执行</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rPr>
          <w:rFonts w:ascii="宋体" w:hAnsi="宋体"/>
          <w:color w:val="auto"/>
          <w:sz w:val="24"/>
          <w:highlight w:val="none"/>
        </w:rPr>
        <w:t xml:space="preserve">。</w:t>
      </w:r>
      <w:r/>
    </w:p>
    <w:p>
      <w:pPr>
        <w:ind w:firstLine="480"/>
        <w:keepLines/>
        <w:keepNext/>
        <w:spacing w:line="360" w:lineRule="auto"/>
        <w:rPr>
          <w:rFonts w:ascii="宋体" w:hAnsi="宋体"/>
          <w:bCs/>
          <w:color w:val="auto"/>
          <w:sz w:val="24"/>
          <w:highlight w:val="none"/>
        </w:rPr>
        <w:outlineLvl w:val="3"/>
      </w:pPr>
      <w:r/>
      <w:bookmarkStart w:id="321" w:name="_Toc351203638"/>
      <w:r>
        <w:rPr>
          <w:rFonts w:ascii="宋体" w:hAnsi="宋体"/>
          <w:bCs/>
          <w:color w:val="auto"/>
          <w:sz w:val="24"/>
          <w:highlight w:val="none"/>
        </w:rPr>
        <w:t xml:space="preserve">6. 安全文明施工与环境保护</w:t>
      </w:r>
      <w:bookmarkEnd w:id="321"/>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6.1安全文明施工</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6.1.1 项目安全生产的达标目标及相应事项的约定：</w:t>
      </w:r>
      <w:r>
        <w:rPr>
          <w:rFonts w:ascii="宋体" w:hAnsi="宋体"/>
          <w:color w:val="auto"/>
          <w:sz w:val="24"/>
          <w:highlight w:val="none"/>
          <w:u w:val="single"/>
        </w:rPr>
        <w:t xml:space="preserve">（</w:t>
      </w:r>
      <w:r>
        <w:rPr>
          <w:rFonts w:hint="eastAsia" w:ascii="宋体" w:hAnsi="宋体"/>
          <w:color w:val="auto"/>
          <w:sz w:val="24"/>
          <w:highlight w:val="none"/>
          <w:u w:val="single"/>
        </w:rPr>
        <w:t xml:space="preserve">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（3）发包人将定期对承包人的施工质量、安全、文明施工进行检查，如发现工程现场及生活区</w:t>
      </w:r>
      <w:r>
        <w:rPr>
          <w:rFonts w:hint="eastAsia" w:ascii="宋体" w:hAnsi="宋体"/>
          <w:color w:val="auto"/>
          <w:sz w:val="24"/>
          <w:highlight w:val="none"/>
          <w:u w:val="single"/>
        </w:rPr>
        <w:t xml:space="preserve">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带好安全帽,如发现有一人次进入施工现场未带安全帽,发包人则按200元/人次对承包人处以违约金,如一天发现3人以上进入施工现场未带安全帽, 发包人则按500元/人次对承包人处以违约金。承包人不得在施工现场发生打架、斗殴、偷窃行为，发生一次，发包人可对承包人处3000元/次违约金。</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6.1.4 关于治安保卫的特别约定：</w:t>
      </w:r>
      <w:r>
        <w:rPr>
          <w:rFonts w:hint="eastAsia" w:ascii="宋体" w:hAnsi="宋体"/>
          <w:color w:val="auto"/>
          <w:sz w:val="24"/>
          <w:highlight w:val="none"/>
          <w:u w:val="single"/>
        </w:rPr>
        <w:t xml:space="preserve">按通用条款</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关于编制施工场地治安管理计划的约定：</w:t>
      </w:r>
      <w:r>
        <w:rPr>
          <w:rFonts w:hint="eastAsia" w:ascii="宋体" w:hAnsi="宋体"/>
          <w:color w:val="auto"/>
          <w:sz w:val="24"/>
          <w:highlight w:val="none"/>
          <w:u w:val="single"/>
        </w:rPr>
        <w:t xml:space="preserve">按通用条款</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6.1.5 文明施工</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合同当事人对文明施工的要求：（</w:t>
      </w:r>
      <w:r>
        <w:rPr>
          <w:rFonts w:hint="eastAsia" w:ascii="宋体" w:hAnsi="宋体"/>
          <w:color w:val="auto"/>
          <w:sz w:val="24"/>
          <w:highlight w:val="none"/>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r/>
    </w:p>
    <w:p>
      <w:pPr>
        <w:ind w:firstLine="360"/>
        <w:jc w:val="left"/>
        <w:spacing w:line="360" w:lineRule="auto"/>
        <w:rPr>
          <w:rFonts w:ascii="宋体" w:hAnsi="宋体"/>
          <w:bCs/>
          <w:color w:val="auto"/>
          <w:sz w:val="24"/>
          <w:highlight w:val="none"/>
        </w:rPr>
      </w:pPr>
      <w:r>
        <w:rPr>
          <w:rFonts w:hint="eastAsia" w:ascii="宋体" w:hAnsi="宋体"/>
          <w:color w:val="auto"/>
          <w:sz w:val="24"/>
          <w:highlight w:val="none"/>
          <w:u w:val="single"/>
        </w:rPr>
        <w:t xml:space="preserve">（2）承包人在施工中污染周围环境、施工噪音干扰他人等所引起的政府职能部门罚款或停工整改或引起周围居民纠纷和索赔时，其所有发生的费用与损失将全部由承包人自行承担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color w:val="auto"/>
          <w:sz w:val="24"/>
          <w:highlight w:val="none"/>
        </w:rPr>
        <w:t xml:space="preserve">。</w:t>
      </w:r>
      <w:r/>
    </w:p>
    <w:p>
      <w:pPr>
        <w:ind w:firstLine="36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color w:val="auto"/>
          <w:sz w:val="24"/>
          <w:highlight w:val="none"/>
          <w:u w:val="single"/>
        </w:rPr>
        <w:t xml:space="preserve">3）施工过程中须考虑成品保护措施费用以及材料运输过程中防尘、密闭运输、安全等措施费用、路面清洁、洒水等相关费用及与建设、城管等部门之间的矛盾协调、处罚及应上缴的相关规费等相关费用均由承包人自行承担。</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4）施工场地周围地下管线和邻近建筑物、构筑物、绿化的保护要求及费用承担：对一个有经验的承包人能预见到的项目，其费用由承包人负责。如造成损坏，均由投标单位自行实施修复，费用同时含在工程投标报价内。</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（5）施工场地清洁卫生的要求：承包人应负责整个场地的安全文明卫生管理，做到文明施工、保持施工场地清洁。本工程所有施工建筑垃圾均应全部清运出现场。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6.1.6 关于安全文明施工费支付比例和支付期限的约定：</w:t>
      </w:r>
      <w:r>
        <w:rPr>
          <w:rFonts w:hint="eastAsia" w:ascii="宋体" w:hAnsi="宋体"/>
          <w:color w:val="auto"/>
          <w:sz w:val="24"/>
          <w:highlight w:val="none"/>
          <w:u w:val="single"/>
        </w:rPr>
        <w:t xml:space="preserve">本工程安全文明施工费不单独支付，包含在工程款中支付，详见12.4.1约定</w:t>
      </w:r>
      <w:r>
        <w:rPr>
          <w:rFonts w:ascii="宋体" w:hAnsi="宋体"/>
          <w:color w:val="auto"/>
          <w:sz w:val="24"/>
          <w:highlight w:val="none"/>
        </w:rPr>
        <w:t xml:space="preserve">。</w:t>
      </w:r>
      <w:bookmarkEnd w:id="314"/>
      <w:r/>
      <w:bookmarkEnd w:id="315"/>
      <w:r/>
      <w:bookmarkEnd w:id="316"/>
      <w:r/>
      <w:bookmarkEnd w:id="317"/>
      <w:r/>
      <w:bookmarkEnd w:id="318"/>
      <w:r/>
      <w:bookmarkEnd w:id="319"/>
      <w:r/>
      <w:bookmarkEnd w:id="320"/>
      <w:r/>
      <w:r/>
    </w:p>
    <w:p>
      <w:pPr>
        <w:ind w:firstLine="482"/>
        <w:keepLines/>
        <w:keepNext/>
        <w:spacing w:line="360" w:lineRule="auto"/>
        <w:rPr>
          <w:rFonts w:ascii="宋体" w:hAnsi="宋体"/>
          <w:b/>
          <w:bCs/>
          <w:color w:val="auto"/>
          <w:sz w:val="24"/>
          <w:highlight w:val="none"/>
        </w:rPr>
        <w:outlineLvl w:val="4"/>
      </w:pPr>
      <w:r/>
      <w:bookmarkStart w:id="322" w:name="_Toc351203639"/>
      <w:r>
        <w:rPr>
          <w:rFonts w:ascii="宋体" w:hAnsi="宋体"/>
          <w:b/>
          <w:bCs/>
          <w:color w:val="auto"/>
          <w:sz w:val="24"/>
          <w:highlight w:val="none"/>
        </w:rPr>
        <w:t xml:space="preserve">7. 工期和进度</w:t>
      </w:r>
      <w:bookmarkEnd w:id="322"/>
      <w:r/>
      <w:r/>
    </w:p>
    <w:p>
      <w:pPr>
        <w:ind w:firstLine="480"/>
        <w:keepLines/>
        <w:keepNext/>
        <w:spacing w:line="360" w:lineRule="auto"/>
        <w:rPr>
          <w:rFonts w:ascii="宋体" w:hAnsi="宋体"/>
          <w:color w:val="auto"/>
          <w:sz w:val="24"/>
          <w:highlight w:val="none"/>
        </w:rPr>
        <w:outlineLvl w:val="4"/>
      </w:pPr>
      <w:r>
        <w:rPr>
          <w:rFonts w:ascii="宋体" w:hAnsi="宋体"/>
          <w:color w:val="auto"/>
          <w:sz w:val="24"/>
          <w:highlight w:val="none"/>
        </w:rPr>
        <w:t xml:space="preserve">7.1 施工组织设计</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7.1.</w:t>
      </w:r>
      <w:r>
        <w:rPr>
          <w:rFonts w:hint="eastAsia" w:ascii="宋体" w:hAnsi="宋体"/>
          <w:color w:val="auto"/>
          <w:sz w:val="24"/>
          <w:highlight w:val="none"/>
        </w:rPr>
        <w:t xml:space="preserve">1 合同当事人约定的</w:t>
      </w:r>
      <w:r>
        <w:rPr>
          <w:rFonts w:ascii="宋体" w:hAnsi="宋体"/>
          <w:color w:val="auto"/>
          <w:sz w:val="24"/>
          <w:highlight w:val="none"/>
        </w:rPr>
        <w:t xml:space="preserve">施工组织设计</w:t>
      </w:r>
      <w:r>
        <w:rPr>
          <w:rFonts w:hint="eastAsia" w:ascii="宋体" w:hAnsi="宋体"/>
          <w:color w:val="auto"/>
          <w:sz w:val="24"/>
          <w:highlight w:val="none"/>
        </w:rPr>
        <w:t xml:space="preserve">应包括的其他内容</w:t>
      </w:r>
      <w:r>
        <w:rPr>
          <w:rFonts w:ascii="宋体" w:hAnsi="宋体"/>
          <w:color w:val="auto"/>
          <w:sz w:val="24"/>
          <w:highlight w:val="none"/>
        </w:rPr>
        <w:t xml:space="preserve">：</w:t>
      </w:r>
      <w:r>
        <w:rPr>
          <w:rFonts w:hint="eastAsia" w:ascii="宋体" w:hAnsi="宋体"/>
          <w:color w:val="auto"/>
          <w:sz w:val="24"/>
          <w:highlight w:val="none"/>
          <w:u w:val="single"/>
        </w:rPr>
        <w:t xml:space="preserve">根据工程的实际情况及发包人、监理单位的要求</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7.1.2 施工组织设计的提交和修改</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承包人提交详细施工组织设计的期限的约定：</w:t>
      </w:r>
      <w:r>
        <w:rPr>
          <w:rFonts w:ascii="宋体" w:hAnsi="宋体"/>
          <w:color w:val="auto"/>
          <w:sz w:val="24"/>
          <w:highlight w:val="none"/>
          <w:u w:val="single"/>
        </w:rPr>
        <w:t xml:space="preserve">在合同签订后3日内</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发包人和监理人在收到</w:t>
      </w:r>
      <w:r>
        <w:rPr>
          <w:rFonts w:hint="eastAsia" w:ascii="宋体" w:hAnsi="宋体"/>
          <w:color w:val="auto"/>
          <w:sz w:val="24"/>
          <w:highlight w:val="none"/>
        </w:rPr>
        <w:t xml:space="preserve">详细的施工组织设计</w:t>
      </w:r>
      <w:r>
        <w:rPr>
          <w:rFonts w:ascii="宋体" w:hAnsi="宋体"/>
          <w:color w:val="auto"/>
          <w:sz w:val="24"/>
          <w:highlight w:val="none"/>
        </w:rPr>
        <w:t xml:space="preserve">后确认或提出修改意见的期限：</w:t>
      </w:r>
      <w:r>
        <w:rPr>
          <w:rFonts w:hint="eastAsia" w:ascii="宋体" w:hAnsi="宋体"/>
          <w:color w:val="auto"/>
          <w:sz w:val="24"/>
          <w:highlight w:val="none"/>
          <w:u w:val="single"/>
        </w:rPr>
        <w:t xml:space="preserve"> 3天</w:t>
      </w:r>
      <w:r>
        <w:rPr>
          <w:rFonts w:ascii="宋体" w:hAnsi="宋体"/>
          <w:color w:val="auto"/>
          <w:sz w:val="24"/>
          <w:highlight w:val="none"/>
          <w:u w:val="singl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7</w:t>
      </w:r>
      <w:bookmarkStart w:id="323" w:name="_Toc300934966"/>
      <w:r/>
      <w:bookmarkStart w:id="324" w:name="_Toc297123514"/>
      <w:r/>
      <w:bookmarkStart w:id="325" w:name="_Toc312678005"/>
      <w:r/>
      <w:bookmarkStart w:id="326" w:name="_Toc304295541"/>
      <w:r/>
      <w:bookmarkStart w:id="327" w:name="_Toc312677479"/>
      <w:r/>
      <w:bookmarkStart w:id="328" w:name="_Toc303539123"/>
      <w:r/>
      <w:bookmarkStart w:id="329" w:name="_Toc297216173"/>
      <w:r>
        <w:rPr>
          <w:rFonts w:ascii="宋体" w:hAnsi="宋体"/>
          <w:b/>
          <w:bCs/>
          <w:color w:val="auto"/>
          <w:sz w:val="24"/>
          <w:highlight w:val="none"/>
        </w:rPr>
        <w:t xml:space="preserve">.2 施工进度计划</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7.2.2 施工进度计划的修订</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发包人和监理人在收到修订的施工进度计划后确认或提出修改意见的期限：</w:t>
      </w:r>
      <w:r>
        <w:rPr>
          <w:rFonts w:hint="eastAsia" w:ascii="宋体" w:hAnsi="宋体"/>
          <w:color w:val="auto"/>
          <w:sz w:val="24"/>
          <w:highlight w:val="none"/>
          <w:u w:val="single"/>
        </w:rPr>
        <w:t xml:space="preserve"> 3天</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7.3 开工</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7.3.1 开工准备</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关于承包人提交工程开工报审表的期限：</w:t>
      </w:r>
      <w:r>
        <w:rPr>
          <w:rFonts w:hint="eastAsia" w:ascii="宋体" w:hAnsi="宋体"/>
          <w:color w:val="auto"/>
          <w:sz w:val="24"/>
          <w:highlight w:val="none"/>
          <w:u w:val="single"/>
        </w:rPr>
        <w:t xml:space="preserve">计划开工日期前7天提交开工报审表或开工报告</w:t>
      </w:r>
      <w:r>
        <w:rPr>
          <w:rFonts w:ascii="宋体" w:hAnsi="宋体"/>
          <w:color w:val="auto"/>
          <w:sz w:val="24"/>
          <w:highlight w:val="none"/>
          <w:u w:val="singl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关于发包人应完成的其他开工准备工作及期限：</w:t>
      </w:r>
      <w:r>
        <w:rPr>
          <w:rFonts w:hint="eastAsia" w:ascii="宋体" w:hAnsi="宋体"/>
          <w:color w:val="auto"/>
          <w:sz w:val="24"/>
          <w:highlight w:val="none"/>
          <w:u w:val="single"/>
        </w:rPr>
        <w:t xml:space="preserve">开工前配合承包人将施工所需的水、电接至施工场地 ；办理施工所需证件、批件；交验水准点与坐标控制点。费用由承包人承担</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关于承包人应完成的其他开工准备工作及期限：</w:t>
      </w:r>
      <w:r>
        <w:rPr>
          <w:rFonts w:hint="eastAsia" w:ascii="宋体" w:hAnsi="宋体"/>
          <w:color w:val="auto"/>
          <w:sz w:val="24"/>
          <w:highlight w:val="none"/>
          <w:u w:val="single"/>
        </w:rPr>
        <w:t xml:space="preserve">开工前必须向发包人提供施工进度计划、材料清单、材料进场计划、劳动力计划</w:t>
      </w:r>
      <w:r>
        <w:rPr>
          <w:rFonts w:hint="eastAsia" w:ascii="宋体" w:hAnsi="宋体" w:cs="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7.3.2开工通知</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因发包人原因造成监理人未能在计划开工日期之日起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天内发出开工通知的，承包人有权提出价格调整要求，或者解除合同。</w:t>
      </w:r>
      <w:bookmarkEnd w:id="323"/>
      <w:r/>
      <w:bookmarkEnd w:id="324"/>
      <w:r/>
      <w:bookmarkEnd w:id="325"/>
      <w:r/>
      <w:bookmarkEnd w:id="326"/>
      <w:r/>
      <w:bookmarkEnd w:id="327"/>
      <w:r/>
      <w:bookmarkEnd w:id="328"/>
      <w:r/>
      <w:bookmarkEnd w:id="329"/>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7.4 测量放线</w:t>
      </w:r>
      <w:r/>
    </w:p>
    <w:p>
      <w:pPr>
        <w:ind w:right="-109"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7.4.1发包人通过监理人向承包人提供测量基准点、基准线和水准点及其书面资料的期限：</w:t>
      </w:r>
      <w:r>
        <w:rPr>
          <w:rFonts w:hint="eastAsia" w:ascii="宋体" w:hAnsi="宋体"/>
          <w:color w:val="auto"/>
          <w:sz w:val="24"/>
          <w:highlight w:val="none"/>
          <w:u w:val="single"/>
        </w:rPr>
        <w:t xml:space="preserve">交验水准点与坐标控制点。</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7</w:t>
      </w:r>
      <w:bookmarkStart w:id="330" w:name="_Toc304295546"/>
      <w:r/>
      <w:bookmarkStart w:id="331" w:name="_Toc303539125"/>
      <w:r/>
      <w:bookmarkStart w:id="332" w:name="_Toc297216175"/>
      <w:r/>
      <w:bookmarkStart w:id="333" w:name="_Toc312678010"/>
      <w:r/>
      <w:bookmarkStart w:id="334" w:name="_Toc300934968"/>
      <w:r/>
      <w:bookmarkStart w:id="335" w:name="_Toc297123516"/>
      <w:r/>
      <w:bookmarkStart w:id="336" w:name="_Toc312677484"/>
      <w:r>
        <w:rPr>
          <w:rFonts w:ascii="宋体" w:hAnsi="宋体"/>
          <w:b/>
          <w:bCs/>
          <w:color w:val="auto"/>
          <w:sz w:val="24"/>
          <w:highlight w:val="none"/>
        </w:rPr>
        <w:t xml:space="preserve">.5 工期延误</w:t>
      </w:r>
      <w:bookmarkEnd w:id="330"/>
      <w:r/>
      <w:bookmarkEnd w:id="331"/>
      <w:r/>
      <w:bookmarkEnd w:id="332"/>
      <w:r/>
      <w:bookmarkEnd w:id="333"/>
      <w:r/>
      <w:bookmarkEnd w:id="334"/>
      <w:r/>
      <w:bookmarkEnd w:id="335"/>
      <w:r/>
      <w:bookmarkEnd w:id="336"/>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7.5.1 因发包人原因导致工期延误</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因发包人原因导致工期延误的其他情形：</w:t>
      </w:r>
      <w:r>
        <w:rPr>
          <w:rFonts w:ascii="宋体" w:hAnsi="宋体" w:cs="宋体"/>
          <w:color w:val="auto"/>
          <w:spacing w:val="-2"/>
          <w:sz w:val="24"/>
          <w:highlight w:val="none"/>
          <w:u w:val="single"/>
        </w:rPr>
        <w:t xml:space="preserve">因</w:t>
      </w:r>
      <w:r>
        <w:rPr>
          <w:rFonts w:hint="eastAsia" w:ascii="宋体" w:hAnsi="宋体"/>
          <w:color w:val="auto"/>
          <w:sz w:val="24"/>
          <w:highlight w:val="none"/>
          <w:u w:val="single"/>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w:t>
      </w:r>
      <w:bookmarkStart w:id="337" w:name="_Toc318581169"/>
      <w:r/>
      <w:bookmarkStart w:id="338" w:name="_Toc312678012"/>
      <w:r/>
      <w:bookmarkStart w:id="339" w:name="_Toc312677486"/>
      <w:r/>
      <w:bookmarkStart w:id="340" w:name="_Toc304295548"/>
      <w:r/>
      <w:bookmarkStart w:id="341" w:name="_Toc297123518"/>
      <w:r/>
      <w:bookmarkStart w:id="342" w:name="_Toc300934970"/>
      <w:r/>
      <w:bookmarkStart w:id="343" w:name="_Toc303539127"/>
      <w:r/>
      <w:bookmarkStart w:id="344" w:name="_Toc297216177"/>
      <w:r>
        <w:rPr>
          <w:rFonts w:ascii="宋体" w:hAnsi="宋体"/>
          <w:color w:val="auto"/>
          <w:sz w:val="24"/>
          <w:highlight w:val="none"/>
        </w:rPr>
        <w:t xml:space="preserve">.5.2 因承包人原因导致工期延误</w:t>
      </w:r>
      <w:bookmarkEnd w:id="337"/>
      <w:r/>
      <w:bookmarkEnd w:id="338"/>
      <w:r/>
      <w:bookmarkEnd w:id="339"/>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因</w:t>
      </w:r>
      <w:bookmarkStart w:id="345" w:name="_Toc318581170"/>
      <w:r/>
      <w:bookmarkStart w:id="346" w:name="_Toc312677487"/>
      <w:r/>
      <w:bookmarkStart w:id="347" w:name="_Toc312678013"/>
      <w:r>
        <w:rPr>
          <w:rFonts w:ascii="宋体" w:hAnsi="宋体"/>
          <w:color w:val="auto"/>
          <w:sz w:val="24"/>
          <w:highlight w:val="none"/>
        </w:rPr>
        <w:t xml:space="preserve">承包人原因造成工期延误，逾期竣工违约金的计算方法为：</w:t>
      </w:r>
      <w:r/>
    </w:p>
    <w:p>
      <w:pPr>
        <w:ind w:firstLine="480"/>
        <w:jc w:val="left"/>
        <w:spacing w:line="360" w:lineRule="auto"/>
        <w:rPr>
          <w:rFonts w:ascii="宋体" w:hAnsi="宋体"/>
          <w:color w:val="auto"/>
          <w:sz w:val="24"/>
          <w:highlight w:val="none"/>
        </w:rPr>
      </w:pPr>
      <w:r/>
      <w:bookmarkStart w:id="348" w:name="OLE_LINK4"/>
      <w:r>
        <w:rPr>
          <w:rFonts w:hint="eastAsia" w:ascii="宋体" w:hAnsi="宋体"/>
          <w:color w:val="auto"/>
          <w:sz w:val="24"/>
          <w:highlight w:val="none"/>
          <w:u w:val="single"/>
        </w:rPr>
        <w:t xml:space="preserve">（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（2）中标通知书发出后，承包人的法定代表人（或委托代理人）和项目负责人应在三日内与发包人草签施工合同，同时做好开工前准备。开工日期以本项目总监理工程师签发并经发包人确定的开工令为准。</w:t>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（4）在经监理、发包人审核认可的进度计划表，并以此作为合同工期履约条款的依据，发包人将严格对照进度计划表的工期安排督促</w:t>
      </w:r>
      <w:r>
        <w:rPr>
          <w:rFonts w:hint="eastAsia" w:ascii="宋体" w:hAnsi="宋体"/>
          <w:color w:val="auto"/>
          <w:sz w:val="24"/>
          <w:highlight w:val="none"/>
          <w:u w:val="single"/>
        </w:rPr>
        <w:t xml:space="preserve">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r/>
    </w:p>
    <w:p>
      <w:pPr>
        <w:ind w:firstLine="42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r/>
    </w:p>
    <w:p>
      <w:pPr>
        <w:ind w:firstLine="42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（6）如承包人怠工导致形象进度受到影响，发包人有权安排其他队伍进行抢工，所发生的抢工费在承包人的工程款中扣除。</w:t>
      </w:r>
      <w:bookmarkEnd w:id="340"/>
      <w:r/>
      <w:bookmarkEnd w:id="341"/>
      <w:r/>
      <w:bookmarkEnd w:id="342"/>
      <w:r/>
      <w:bookmarkEnd w:id="343"/>
      <w:r/>
      <w:bookmarkEnd w:id="344"/>
      <w:r/>
      <w:bookmarkEnd w:id="345"/>
      <w:r/>
      <w:bookmarkEnd w:id="346"/>
      <w:r/>
      <w:bookmarkEnd w:id="347"/>
      <w:r/>
      <w:bookmarkEnd w:id="348"/>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因承包人原因造成工期延误，逾</w:t>
      </w:r>
      <w:bookmarkStart w:id="349" w:name="_Toc312678014"/>
      <w:r/>
      <w:bookmarkStart w:id="350" w:name="_Toc318581171"/>
      <w:r>
        <w:rPr>
          <w:rFonts w:ascii="宋体" w:hAnsi="宋体"/>
          <w:color w:val="auto"/>
          <w:sz w:val="24"/>
          <w:highlight w:val="none"/>
        </w:rPr>
        <w:t xml:space="preserve">期竣工违约金的上限：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bookmarkEnd w:id="349"/>
      <w:r/>
      <w:bookmarkEnd w:id="350"/>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7</w:t>
      </w:r>
      <w:bookmarkStart w:id="351" w:name="_Toc297123519"/>
      <w:r/>
      <w:bookmarkStart w:id="352" w:name="_Toc300934971"/>
      <w:r/>
      <w:bookmarkStart w:id="353" w:name="_Toc304295549"/>
      <w:r/>
      <w:bookmarkStart w:id="354" w:name="_Toc312678015"/>
      <w:r/>
      <w:bookmarkStart w:id="355" w:name="_Toc303539128"/>
      <w:r/>
      <w:bookmarkStart w:id="356" w:name="_Toc297216178"/>
      <w:r>
        <w:rPr>
          <w:rFonts w:ascii="宋体" w:hAnsi="宋体"/>
          <w:b/>
          <w:bCs/>
          <w:color w:val="auto"/>
          <w:sz w:val="24"/>
          <w:highlight w:val="none"/>
        </w:rPr>
        <w:t xml:space="preserve">.6 不</w:t>
      </w:r>
      <w:bookmarkEnd w:id="351"/>
      <w:r/>
      <w:bookmarkEnd w:id="352"/>
      <w:r/>
      <w:bookmarkEnd w:id="353"/>
      <w:r/>
      <w:bookmarkEnd w:id="354"/>
      <w:r/>
      <w:bookmarkEnd w:id="355"/>
      <w:r/>
      <w:bookmarkEnd w:id="356"/>
      <w:r>
        <w:rPr>
          <w:rFonts w:ascii="宋体" w:hAnsi="宋体"/>
          <w:b/>
          <w:bCs/>
          <w:color w:val="auto"/>
          <w:sz w:val="24"/>
          <w:highlight w:val="none"/>
        </w:rPr>
        <w:t xml:space="preserve">利物质条件</w:t>
      </w:r>
      <w:r/>
    </w:p>
    <w:p>
      <w:pPr>
        <w:ind w:firstLine="480"/>
        <w:jc w:val="left"/>
        <w:spacing w:line="360" w:lineRule="auto"/>
        <w:rPr>
          <w:rFonts w:ascii="宋体" w:hAnsi="宋体"/>
          <w:color w:val="auto"/>
          <w:sz w:val="24"/>
          <w:highlight w:val="none"/>
        </w:rPr>
      </w:pPr>
      <w:r/>
      <w:bookmarkStart w:id="357" w:name="_Toc297123520"/>
      <w:r/>
      <w:bookmarkStart w:id="358" w:name="_Toc300934972"/>
      <w:r/>
      <w:bookmarkStart w:id="359" w:name="_Toc318581172"/>
      <w:r/>
      <w:bookmarkStart w:id="360" w:name="_Toc304295550"/>
      <w:r/>
      <w:bookmarkStart w:id="361" w:name="_Toc303539129"/>
      <w:r/>
      <w:bookmarkStart w:id="362" w:name="_Toc297216179"/>
      <w:r/>
      <w:bookmarkStart w:id="363" w:name="_Toc312678016"/>
      <w:r>
        <w:rPr>
          <w:rFonts w:ascii="宋体" w:hAnsi="宋体"/>
          <w:color w:val="auto"/>
          <w:sz w:val="24"/>
          <w:highlight w:val="none"/>
        </w:rPr>
        <w:t xml:space="preserve">不利物质条件的其他情形和有关约定：</w:t>
      </w:r>
      <w:r>
        <w:rPr>
          <w:rFonts w:hint="eastAsia" w:ascii="宋体" w:hAnsi="宋体"/>
          <w:color w:val="auto"/>
          <w:sz w:val="24"/>
          <w:highlight w:val="none"/>
          <w:u w:val="single"/>
        </w:rPr>
        <w:t xml:space="preserve">按照通用条款</w:t>
      </w:r>
      <w:r>
        <w:rPr>
          <w:rFonts w:ascii="宋体" w:hAnsi="宋体"/>
          <w:color w:val="auto"/>
          <w:sz w:val="24"/>
          <w:highlight w:val="none"/>
        </w:rPr>
        <w:t xml:space="preserve">。</w:t>
      </w:r>
      <w:bookmarkEnd w:id="357"/>
      <w:r/>
      <w:bookmarkEnd w:id="358"/>
      <w:r/>
      <w:bookmarkEnd w:id="359"/>
      <w:r/>
      <w:bookmarkEnd w:id="360"/>
      <w:r/>
      <w:bookmarkEnd w:id="361"/>
      <w:r/>
      <w:bookmarkEnd w:id="362"/>
      <w:r/>
      <w:bookmarkEnd w:id="363"/>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7</w:t>
      </w:r>
      <w:bookmarkStart w:id="364" w:name="_Toc297123521"/>
      <w:r/>
      <w:bookmarkStart w:id="365" w:name="_Toc312678017"/>
      <w:r/>
      <w:bookmarkStart w:id="366" w:name="_Toc297216180"/>
      <w:r/>
      <w:bookmarkStart w:id="367" w:name="_Toc300934973"/>
      <w:r/>
      <w:bookmarkStart w:id="368" w:name="_Toc303539130"/>
      <w:r/>
      <w:bookmarkStart w:id="369" w:name="_Toc304295551"/>
      <w:r>
        <w:rPr>
          <w:rFonts w:ascii="宋体" w:hAnsi="宋体"/>
          <w:b/>
          <w:bCs/>
          <w:color w:val="auto"/>
          <w:sz w:val="24"/>
          <w:highlight w:val="none"/>
        </w:rPr>
        <w:t xml:space="preserve">.7</w:t>
      </w:r>
      <w:r>
        <w:rPr>
          <w:rFonts w:hint="eastAsia" w:ascii="宋体" w:hAnsi="宋体"/>
          <w:b/>
          <w:bCs/>
          <w:color w:val="auto"/>
          <w:sz w:val="24"/>
          <w:highlight w:val="none"/>
        </w:rPr>
        <w:t xml:space="preserve"> </w:t>
      </w:r>
      <w:r>
        <w:rPr>
          <w:rFonts w:ascii="宋体" w:hAnsi="宋体"/>
          <w:b/>
          <w:bCs/>
          <w:color w:val="auto"/>
          <w:sz w:val="24"/>
          <w:highlight w:val="none"/>
        </w:rPr>
        <w:t xml:space="preserve">异常恶劣的气候条件</w:t>
      </w:r>
      <w:bookmarkEnd w:id="364"/>
      <w:r/>
      <w:bookmarkEnd w:id="365"/>
      <w:r/>
      <w:bookmarkEnd w:id="366"/>
      <w:r/>
      <w:bookmarkEnd w:id="367"/>
      <w:r/>
      <w:bookmarkEnd w:id="368"/>
      <w:r/>
      <w:bookmarkEnd w:id="369"/>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发包人和承包人同意以下情形视为异常恶劣的气候条件：</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7.9 提前竣工的奖励</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7.9.2提前竣工的奖励：</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无</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p>
      <w:pPr>
        <w:ind w:firstLine="480"/>
        <w:keepLines/>
        <w:keepNext/>
        <w:spacing w:line="360" w:lineRule="auto"/>
        <w:rPr>
          <w:rFonts w:ascii="宋体" w:hAnsi="宋体"/>
          <w:bCs/>
          <w:color w:val="auto"/>
          <w:sz w:val="24"/>
          <w:highlight w:val="none"/>
        </w:rPr>
        <w:outlineLvl w:val="3"/>
      </w:pPr>
      <w:r/>
      <w:bookmarkStart w:id="370" w:name="_Toc351203640"/>
      <w:r>
        <w:rPr>
          <w:rFonts w:ascii="宋体" w:hAnsi="宋体"/>
          <w:bCs/>
          <w:color w:val="auto"/>
          <w:sz w:val="24"/>
          <w:highlight w:val="none"/>
        </w:rPr>
        <w:t xml:space="preserve">8. 材料与设备</w:t>
      </w:r>
      <w:bookmarkEnd w:id="304"/>
      <w:r/>
      <w:bookmarkEnd w:id="305"/>
      <w:r/>
      <w:bookmarkEnd w:id="306"/>
      <w:r/>
      <w:bookmarkEnd w:id="307"/>
      <w:r/>
      <w:bookmarkEnd w:id="308"/>
      <w:r/>
      <w:bookmarkEnd w:id="309"/>
      <w:r/>
      <w:bookmarkEnd w:id="310"/>
      <w:r/>
      <w:bookmarkEnd w:id="311"/>
      <w:r/>
      <w:bookmarkEnd w:id="312"/>
      <w:r/>
      <w:bookmarkEnd w:id="313"/>
      <w:r/>
      <w:bookmarkEnd w:id="370"/>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8</w:t>
      </w:r>
      <w:bookmarkStart w:id="371" w:name="_Toc280868654"/>
      <w:r/>
      <w:bookmarkStart w:id="372" w:name="_Toc296347166"/>
      <w:r/>
      <w:bookmarkStart w:id="373" w:name="_Toc312677493"/>
      <w:r/>
      <w:bookmarkStart w:id="374" w:name="_Toc296891207"/>
      <w:r/>
      <w:bookmarkStart w:id="375" w:name="_Toc297048353"/>
      <w:r/>
      <w:bookmarkStart w:id="376" w:name="_Toc296944506"/>
      <w:r/>
      <w:bookmarkStart w:id="377" w:name="_Toc303539136"/>
      <w:r/>
      <w:bookmarkStart w:id="378" w:name="_Toc300934979"/>
      <w:r/>
      <w:bookmarkStart w:id="379" w:name="_Toc296890995"/>
      <w:r/>
      <w:bookmarkStart w:id="380" w:name="_Toc296346668"/>
      <w:r/>
      <w:bookmarkStart w:id="381" w:name="_Toc296503167"/>
      <w:r/>
      <w:bookmarkStart w:id="382" w:name="_Toc304295556"/>
      <w:r/>
      <w:bookmarkStart w:id="383" w:name="_Toc312678019"/>
      <w:r/>
      <w:bookmarkStart w:id="384" w:name="_Toc292559372"/>
      <w:r/>
      <w:bookmarkStart w:id="385" w:name="_Toc297123527"/>
      <w:r/>
      <w:bookmarkStart w:id="386" w:name="_Toc297120467"/>
      <w:r/>
      <w:bookmarkStart w:id="387" w:name="_Toc297216186"/>
      <w:r/>
      <w:bookmarkStart w:id="388" w:name="_Toc292559877"/>
      <w:r/>
      <w:bookmarkStart w:id="389" w:name="_Toc280868656"/>
      <w:r/>
      <w:bookmarkStart w:id="390" w:name="_Toc267251424"/>
      <w:r/>
      <w:bookmarkStart w:id="391" w:name="_Toc280868655"/>
      <w:r>
        <w:rPr>
          <w:rFonts w:ascii="宋体" w:hAnsi="宋体"/>
          <w:b/>
          <w:bCs/>
          <w:color w:val="auto"/>
          <w:sz w:val="24"/>
          <w:highlight w:val="none"/>
        </w:rPr>
        <w:t xml:space="preserve">.4材料与工程设备的保管与使用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8</w:t>
      </w:r>
      <w:bookmarkStart w:id="392" w:name="_Toc292559878"/>
      <w:r/>
      <w:bookmarkStart w:id="393" w:name="_Toc292559373"/>
      <w:r/>
      <w:bookmarkStart w:id="394" w:name="_Toc296891208"/>
      <w:r/>
      <w:bookmarkStart w:id="395" w:name="_Toc296346669"/>
      <w:r/>
      <w:bookmarkStart w:id="396" w:name="_Toc297120468"/>
      <w:r/>
      <w:bookmarkStart w:id="397" w:name="_Toc318581173"/>
      <w:r/>
      <w:bookmarkStart w:id="398" w:name="_Toc297048354"/>
      <w:r/>
      <w:bookmarkStart w:id="399" w:name="_Toc297123528"/>
      <w:r/>
      <w:bookmarkStart w:id="400" w:name="_Toc312677494"/>
      <w:r/>
      <w:bookmarkStart w:id="401" w:name="_Toc303539137"/>
      <w:r/>
      <w:bookmarkStart w:id="402" w:name="_Toc297216187"/>
      <w:r/>
      <w:bookmarkStart w:id="403" w:name="_Toc296944507"/>
      <w:r/>
      <w:bookmarkStart w:id="404" w:name="_Toc312678020"/>
      <w:r/>
      <w:bookmarkStart w:id="405" w:name="_Toc296890996"/>
      <w:r/>
      <w:bookmarkStart w:id="406" w:name="_Toc300934980"/>
      <w:r/>
      <w:bookmarkStart w:id="407" w:name="_Toc304295557"/>
      <w:r/>
      <w:bookmarkStart w:id="408" w:name="_Toc296503168"/>
      <w:r/>
      <w:bookmarkStart w:id="409" w:name="_Toc296347167"/>
      <w:r>
        <w:rPr>
          <w:rFonts w:ascii="宋体" w:hAnsi="宋体"/>
          <w:color w:val="auto"/>
          <w:sz w:val="24"/>
          <w:highlight w:val="none"/>
        </w:rPr>
        <w:t xml:space="preserve">.4.1发包人供应的材料设备的保管费用的承担：</w:t>
      </w:r>
      <w:r>
        <w:rPr>
          <w:rFonts w:hint="eastAsia" w:ascii="宋体" w:hAnsi="宋体"/>
          <w:color w:val="auto"/>
          <w:sz w:val="24"/>
          <w:highlight w:val="none"/>
          <w:u w:val="single"/>
        </w:rPr>
        <w:t xml:space="preserve">由发包人承担，并按发包人供应材料设备价格的1%计取</w:t>
      </w:r>
      <w:r>
        <w:rPr>
          <w:rFonts w:hint="eastAsia" w:ascii="宋体" w:hAnsi="宋体"/>
          <w:color w:val="auto"/>
          <w:sz w:val="24"/>
          <w:highlight w:val="none"/>
        </w:rPr>
        <w:t xml:space="preserve">。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材料与工程设备的其他约定：除招标文件中确定的</w:t>
      </w:r>
      <w:r>
        <w:rPr>
          <w:rFonts w:hint="eastAsia" w:ascii="宋体" w:hAnsi="宋体"/>
          <w:color w:val="auto"/>
          <w:sz w:val="24"/>
          <w:highlight w:val="none"/>
          <w:u w:val="single"/>
        </w:rPr>
        <w:t xml:space="preserve">《其他项目清单计价与汇总表》中的“暂估价”的材料外，其它材料均由承包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color w:val="auto"/>
          <w:sz w:val="24"/>
          <w:highlight w:val="none"/>
        </w:rPr>
        <w:t xml:space="preserve">。</w:t>
      </w:r>
      <w:bookmarkEnd w:id="392"/>
      <w:r/>
      <w:bookmarkEnd w:id="393"/>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8.6 样品</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8.6.1</w:t>
      </w:r>
      <w:r>
        <w:rPr>
          <w:rFonts w:hint="eastAsia" w:ascii="宋体" w:hAnsi="宋体"/>
          <w:color w:val="auto"/>
          <w:sz w:val="24"/>
          <w:highlight w:val="none"/>
        </w:rPr>
        <w:t xml:space="preserve"> </w:t>
      </w:r>
      <w:r>
        <w:rPr>
          <w:rFonts w:ascii="宋体" w:hAnsi="宋体"/>
          <w:color w:val="auto"/>
          <w:sz w:val="24"/>
          <w:highlight w:val="none"/>
        </w:rPr>
        <w:t xml:space="preserve">样品的报送</w:t>
      </w:r>
      <w:r>
        <w:rPr>
          <w:rFonts w:hint="eastAsia" w:ascii="宋体" w:hAnsi="宋体"/>
          <w:color w:val="auto"/>
          <w:sz w:val="24"/>
          <w:highlight w:val="none"/>
        </w:rPr>
        <w:t xml:space="preserve">与封存</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需要承包人报送样品的材料或工程设备，样品的种类、名称、规格、数量要求：</w:t>
      </w:r>
      <w:r>
        <w:rPr>
          <w:rFonts w:hint="eastAsia" w:ascii="宋体" w:hAnsi="宋体" w:cs="宋体"/>
          <w:color w:val="auto"/>
          <w:sz w:val="24"/>
          <w:highlight w:val="none"/>
          <w:u w:val="single"/>
        </w:rPr>
        <w:t xml:space="preserve">按国家相关规定和发包人要求</w:t>
      </w:r>
      <w:r>
        <w:rPr>
          <w:rFonts w:hint="eastAsia" w:ascii="宋体" w:hAnsi="宋体" w:cs="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8.8 施工设备和临时设施</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8.8.1 承包人提供的施工设备和临时设施</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关于修建临时设施费用承担的约定：</w:t>
      </w:r>
      <w:r>
        <w:rPr>
          <w:rFonts w:hint="eastAsia" w:ascii="宋体" w:hAnsi="宋体"/>
          <w:color w:val="auto"/>
          <w:sz w:val="24"/>
          <w:highlight w:val="none"/>
          <w:u w:val="single"/>
        </w:rPr>
        <w:t xml:space="preserve">承包人自行修建施工设备和临时设施，费用自理</w:t>
      </w:r>
      <w:r>
        <w:rPr>
          <w:rFonts w:ascii="宋体" w:hAnsi="宋体"/>
          <w:color w:val="auto"/>
          <w:sz w:val="24"/>
          <w:highlight w:val="none"/>
        </w:rPr>
        <w:t xml:space="preserve">。</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80"/>
        <w:keepLines/>
        <w:keepNext/>
        <w:spacing w:line="360" w:lineRule="auto"/>
        <w:rPr>
          <w:rFonts w:ascii="宋体" w:hAnsi="宋体"/>
          <w:bCs/>
          <w:color w:val="auto"/>
          <w:sz w:val="24"/>
          <w:highlight w:val="none"/>
        </w:rPr>
        <w:outlineLvl w:val="3"/>
      </w:pPr>
      <w:r/>
      <w:bookmarkStart w:id="410" w:name="_Toc351203641"/>
      <w:r>
        <w:rPr>
          <w:rFonts w:ascii="宋体" w:hAnsi="宋体"/>
          <w:bCs/>
          <w:color w:val="auto"/>
          <w:sz w:val="24"/>
          <w:highlight w:val="none"/>
        </w:rPr>
        <w:t xml:space="preserve">9</w:t>
      </w:r>
      <w:bookmarkEnd w:id="389"/>
      <w:r/>
      <w:bookmarkEnd w:id="390"/>
      <w:r/>
      <w:bookmarkEnd w:id="391"/>
      <w:r/>
      <w:bookmarkStart w:id="411" w:name="_Toc303539139"/>
      <w:r/>
      <w:bookmarkStart w:id="412" w:name="_Toc297216192"/>
      <w:r/>
      <w:bookmarkStart w:id="413" w:name="_Toc312677495"/>
      <w:r/>
      <w:bookmarkStart w:id="414" w:name="_Toc304295559"/>
      <w:r/>
      <w:bookmarkStart w:id="415" w:name="_Toc297123533"/>
      <w:r/>
      <w:bookmarkStart w:id="416" w:name="_Toc312678021"/>
      <w:r/>
      <w:bookmarkStart w:id="417" w:name="_Toc300934982"/>
      <w:r/>
      <w:bookmarkStart w:id="418" w:name="_Toc297120473"/>
      <w:r/>
      <w:bookmarkStart w:id="419" w:name="_Toc297048359"/>
      <w:r/>
      <w:bookmarkStart w:id="420" w:name="_Toc296944512"/>
      <w:r/>
      <w:bookmarkStart w:id="421" w:name="_Toc292559883"/>
      <w:r/>
      <w:bookmarkStart w:id="422" w:name="_Toc296503173"/>
      <w:r/>
      <w:bookmarkStart w:id="423" w:name="_Toc267251427"/>
      <w:r/>
      <w:bookmarkStart w:id="424" w:name="_Toc292559378"/>
      <w:r/>
      <w:bookmarkStart w:id="425" w:name="_Toc296346674"/>
      <w:r/>
      <w:bookmarkStart w:id="426" w:name="_Toc296891213"/>
      <w:r/>
      <w:bookmarkStart w:id="427" w:name="_Toc296891001"/>
      <w:r/>
      <w:bookmarkStart w:id="428" w:name="_Toc296347172"/>
      <w:r/>
      <w:bookmarkStart w:id="429" w:name="_Toc267251428"/>
      <w:r>
        <w:rPr>
          <w:rFonts w:ascii="宋体" w:hAnsi="宋体"/>
          <w:bCs/>
          <w:color w:val="auto"/>
          <w:sz w:val="24"/>
          <w:highlight w:val="none"/>
        </w:rPr>
        <w:t xml:space="preserve">. 试验与检验</w:t>
      </w:r>
      <w:bookmarkEnd w:id="410"/>
      <w:r/>
      <w:bookmarkEnd w:id="411"/>
      <w:r/>
      <w:bookmarkEnd w:id="412"/>
      <w:r/>
      <w:bookmarkEnd w:id="413"/>
      <w:r/>
      <w:bookmarkEnd w:id="414"/>
      <w:r/>
      <w:bookmarkEnd w:id="415"/>
      <w:r/>
      <w:bookmarkEnd w:id="416"/>
      <w:r/>
      <w:bookmarkEnd w:id="417"/>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9</w:t>
      </w:r>
      <w:bookmarkStart w:id="430" w:name="_Toc297123534"/>
      <w:r/>
      <w:bookmarkStart w:id="431" w:name="_Toc304295560"/>
      <w:r/>
      <w:bookmarkStart w:id="432" w:name="_Toc300934983"/>
      <w:r/>
      <w:bookmarkStart w:id="433" w:name="_Toc312678022"/>
      <w:r/>
      <w:bookmarkStart w:id="434" w:name="_Toc297216193"/>
      <w:r/>
      <w:bookmarkStart w:id="435" w:name="_Toc303539140"/>
      <w:r/>
      <w:bookmarkStart w:id="436" w:name="_Toc312677496"/>
      <w:r>
        <w:rPr>
          <w:rFonts w:ascii="宋体" w:hAnsi="宋体"/>
          <w:b/>
          <w:bCs/>
          <w:color w:val="auto"/>
          <w:sz w:val="24"/>
          <w:highlight w:val="none"/>
        </w:rPr>
        <w:t xml:space="preserve">.1试验设备与试验人员</w:t>
      </w:r>
      <w:bookmarkEnd w:id="430"/>
      <w:r/>
      <w:bookmarkEnd w:id="431"/>
      <w:r/>
      <w:bookmarkEnd w:id="432"/>
      <w:r/>
      <w:bookmarkEnd w:id="433"/>
      <w:r/>
      <w:bookmarkEnd w:id="434"/>
      <w:r/>
      <w:bookmarkEnd w:id="435"/>
      <w:r/>
      <w:bookmarkEnd w:id="436"/>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9</w:t>
      </w:r>
      <w:bookmarkStart w:id="437" w:name="_Toc304295561"/>
      <w:r/>
      <w:bookmarkStart w:id="438" w:name="_Toc297216194"/>
      <w:r/>
      <w:bookmarkStart w:id="439" w:name="_Toc312678023"/>
      <w:r/>
      <w:bookmarkStart w:id="440" w:name="_Toc300934984"/>
      <w:r/>
      <w:bookmarkStart w:id="441" w:name="_Toc297123535"/>
      <w:r/>
      <w:bookmarkStart w:id="442" w:name="_Toc303539141"/>
      <w:r/>
      <w:bookmarkStart w:id="443" w:name="_Toc312677497"/>
      <w:r/>
      <w:bookmarkStart w:id="444" w:name="_Toc318581174"/>
      <w:r>
        <w:rPr>
          <w:rFonts w:ascii="宋体" w:hAnsi="宋体"/>
          <w:color w:val="auto"/>
          <w:sz w:val="24"/>
          <w:highlight w:val="none"/>
        </w:rPr>
        <w:t xml:space="preserve">.1.2 试验设备</w:t>
      </w:r>
      <w:bookmarkEnd w:id="437"/>
      <w:r/>
      <w:bookmarkEnd w:id="438"/>
      <w:r/>
      <w:bookmarkEnd w:id="439"/>
      <w:r/>
      <w:bookmarkEnd w:id="440"/>
      <w:r/>
      <w:bookmarkEnd w:id="441"/>
      <w:r/>
      <w:bookmarkEnd w:id="442"/>
      <w:r/>
      <w:bookmarkEnd w:id="443"/>
      <w:r/>
      <w:r/>
    </w:p>
    <w:p>
      <w:pPr>
        <w:ind w:firstLine="480"/>
        <w:jc w:val="left"/>
        <w:spacing w:line="360" w:lineRule="auto"/>
        <w:rPr>
          <w:rFonts w:ascii="宋体" w:hAnsi="宋体"/>
          <w:color w:val="auto"/>
          <w:sz w:val="24"/>
          <w:highlight w:val="none"/>
          <w:u w:val="single"/>
        </w:rPr>
      </w:pPr>
      <w:r/>
      <w:bookmarkStart w:id="445" w:name="_Toc300934985"/>
      <w:r/>
      <w:bookmarkStart w:id="446" w:name="_Toc297123536"/>
      <w:r/>
      <w:bookmarkStart w:id="447" w:name="_Toc304295562"/>
      <w:r/>
      <w:bookmarkStart w:id="448" w:name="_Toc312677498"/>
      <w:r/>
      <w:bookmarkStart w:id="449" w:name="_Toc297216195"/>
      <w:r/>
      <w:bookmarkStart w:id="450" w:name="_Toc303539142"/>
      <w:r/>
      <w:bookmarkStart w:id="451" w:name="_Toc312678024"/>
      <w:r>
        <w:rPr>
          <w:rFonts w:hint="eastAsia" w:ascii="宋体" w:hAnsi="宋体"/>
          <w:color w:val="auto"/>
          <w:sz w:val="24"/>
          <w:highlight w:val="none"/>
        </w:rPr>
        <w:t xml:space="preserve">施工现场需要配置的试验场所：</w:t>
      </w:r>
      <w:r>
        <w:rPr>
          <w:rFonts w:hint="eastAsia" w:ascii="宋体" w:hAnsi="宋体"/>
          <w:color w:val="auto"/>
          <w:sz w:val="24"/>
          <w:highlight w:val="none"/>
          <w:u w:val="single"/>
        </w:rPr>
        <w:t xml:space="preserve">按通用条款</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施工现场需要配备的试验设备：</w:t>
      </w:r>
      <w:r>
        <w:rPr>
          <w:rFonts w:hint="eastAsia" w:ascii="宋体" w:hAnsi="宋体"/>
          <w:color w:val="auto"/>
          <w:sz w:val="24"/>
          <w:highlight w:val="none"/>
          <w:u w:val="single"/>
        </w:rPr>
        <w:t xml:space="preserve">按通用条款</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施工现场需要具备的其他试验条件：</w:t>
      </w:r>
      <w:r>
        <w:rPr>
          <w:rFonts w:hint="eastAsia" w:ascii="宋体" w:hAnsi="宋体"/>
          <w:color w:val="auto"/>
          <w:sz w:val="24"/>
          <w:highlight w:val="none"/>
          <w:u w:val="single"/>
        </w:rPr>
        <w:t xml:space="preserve">按通用条款</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9.4 现场工艺试验</w:t>
      </w:r>
      <w:r>
        <w:rPr>
          <w:rFonts w:hint="eastAsia" w:ascii="宋体" w:hAnsi="宋体"/>
          <w:b/>
          <w:bCs/>
          <w:color w:val="auto"/>
          <w:sz w:val="24"/>
          <w:highlight w:val="none"/>
        </w:rPr>
        <w:t xml:space="preserve">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现场工艺试验的有关约定：</w:t>
      </w:r>
      <w:r>
        <w:rPr>
          <w:rFonts w:hint="eastAsia" w:ascii="宋体" w:hAnsi="宋体"/>
          <w:color w:val="auto"/>
          <w:sz w:val="24"/>
          <w:highlight w:val="none"/>
          <w:u w:val="single"/>
        </w:rPr>
        <w:t xml:space="preserve">按通用条款</w:t>
      </w:r>
      <w:r>
        <w:rPr>
          <w:rFonts w:ascii="宋体" w:hAnsi="宋体"/>
          <w:color w:val="auto"/>
          <w:sz w:val="24"/>
          <w:highlight w:val="none"/>
        </w:rPr>
        <w:t xml:space="preserve">。</w:t>
      </w:r>
      <w:bookmarkEnd w:id="444"/>
      <w:r/>
      <w:bookmarkEnd w:id="445"/>
      <w:r/>
      <w:bookmarkEnd w:id="446"/>
      <w:r/>
      <w:bookmarkEnd w:id="447"/>
      <w:r/>
      <w:bookmarkEnd w:id="448"/>
      <w:r/>
      <w:bookmarkEnd w:id="449"/>
      <w:r/>
      <w:bookmarkEnd w:id="450"/>
      <w:r/>
      <w:bookmarkEnd w:id="451"/>
      <w:r/>
      <w:r/>
    </w:p>
    <w:p>
      <w:pPr>
        <w:ind w:firstLine="480"/>
        <w:keepLines/>
        <w:keepNext/>
        <w:spacing w:line="360" w:lineRule="auto"/>
        <w:rPr>
          <w:rFonts w:ascii="宋体" w:hAnsi="宋体"/>
          <w:bCs/>
          <w:color w:val="auto"/>
          <w:sz w:val="24"/>
          <w:highlight w:val="none"/>
        </w:rPr>
        <w:outlineLvl w:val="3"/>
      </w:pPr>
      <w:r/>
      <w:bookmarkStart w:id="452" w:name="_Toc351203642"/>
      <w:r>
        <w:rPr>
          <w:rFonts w:ascii="宋体" w:hAnsi="宋体"/>
          <w:bCs/>
          <w:color w:val="auto"/>
          <w:sz w:val="24"/>
          <w:highlight w:val="none"/>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3" w:name="_Toc312677499"/>
      <w:r/>
      <w:bookmarkStart w:id="454" w:name="_Toc296346694"/>
      <w:r/>
      <w:bookmarkStart w:id="455" w:name="_Toc296891021"/>
      <w:r/>
      <w:bookmarkStart w:id="456" w:name="_Toc312678025"/>
      <w:r/>
      <w:bookmarkStart w:id="457" w:name="_Toc297216199"/>
      <w:r/>
      <w:bookmarkStart w:id="458" w:name="_Toc296503193"/>
      <w:r/>
      <w:bookmarkStart w:id="459" w:name="_Toc297048379"/>
      <w:r/>
      <w:bookmarkStart w:id="460" w:name="_Toc300934989"/>
      <w:r/>
      <w:bookmarkStart w:id="461" w:name="_Toc304295566"/>
      <w:r/>
      <w:bookmarkStart w:id="462" w:name="_Toc303539146"/>
      <w:r/>
      <w:bookmarkStart w:id="463" w:name="_Toc296944532"/>
      <w:r/>
      <w:bookmarkStart w:id="464" w:name="_Toc292559903"/>
      <w:r/>
      <w:bookmarkStart w:id="465" w:name="_Toc296347192"/>
      <w:r/>
      <w:bookmarkStart w:id="466" w:name="_Toc297120493"/>
      <w:r/>
      <w:bookmarkStart w:id="467" w:name="_Toc292559398"/>
      <w:r/>
      <w:bookmarkStart w:id="468" w:name="_Toc296891233"/>
      <w:r/>
      <w:bookmarkStart w:id="469" w:name="_Toc297123540"/>
      <w:r/>
      <w:bookmarkStart w:id="470" w:name="_Toc267251435"/>
      <w:r/>
      <w:bookmarkStart w:id="471" w:name="_Toc267251439"/>
      <w:r/>
      <w:bookmarkStart w:id="472" w:name="_Toc267251433"/>
      <w:r/>
      <w:bookmarkStart w:id="473" w:name="_Toc267251440"/>
      <w:r/>
      <w:bookmarkStart w:id="474" w:name="_Toc267251437"/>
      <w:r/>
      <w:bookmarkStart w:id="475" w:name="_Toc267251441"/>
      <w:r/>
      <w:bookmarkStart w:id="476" w:name="_Toc267251442"/>
      <w:r>
        <w:rPr>
          <w:rFonts w:ascii="宋体" w:hAnsi="宋体"/>
          <w:bCs/>
          <w:color w:val="auto"/>
          <w:sz w:val="24"/>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w:t>
      </w:r>
      <w:bookmarkStart w:id="477" w:name="_Toc296503194"/>
      <w:r/>
      <w:bookmarkStart w:id="478" w:name="_Toc296346695"/>
      <w:r/>
      <w:bookmarkStart w:id="479" w:name="_Toc296347193"/>
      <w:r/>
      <w:bookmarkStart w:id="480" w:name="_Toc312677500"/>
      <w:r/>
      <w:bookmarkStart w:id="481" w:name="_Toc292559399"/>
      <w:r/>
      <w:bookmarkStart w:id="482" w:name="_Toc304295567"/>
      <w:r/>
      <w:bookmarkStart w:id="483" w:name="_Toc297048380"/>
      <w:r/>
      <w:bookmarkStart w:id="484" w:name="_Toc300934990"/>
      <w:r/>
      <w:bookmarkStart w:id="485" w:name="_Toc292559904"/>
      <w:r/>
      <w:bookmarkStart w:id="486" w:name="_Toc312678026"/>
      <w:r/>
      <w:bookmarkStart w:id="487" w:name="_Toc297216200"/>
      <w:r/>
      <w:bookmarkStart w:id="488" w:name="_Toc296944533"/>
      <w:r/>
      <w:bookmarkStart w:id="489" w:name="_Toc297120494"/>
      <w:r/>
      <w:bookmarkStart w:id="490" w:name="_Toc297123541"/>
      <w:r/>
      <w:bookmarkStart w:id="491" w:name="_Toc303539147"/>
      <w:r/>
      <w:bookmarkStart w:id="492" w:name="_Toc296891234"/>
      <w:r/>
      <w:bookmarkStart w:id="493" w:name="_Toc296891022"/>
      <w:r>
        <w:rPr>
          <w:rFonts w:ascii="宋体" w:hAnsi="宋体"/>
          <w:b/>
          <w:bCs/>
          <w:color w:val="auto"/>
          <w:sz w:val="24"/>
          <w:highlight w:val="none"/>
        </w:rPr>
        <w:t xml:space="preserve">0.1变更的范围</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关于变更的范围的约定：</w:t>
      </w:r>
      <w:r>
        <w:rPr>
          <w:rFonts w:hint="eastAsia" w:ascii="宋体" w:hAnsi="宋体"/>
          <w:color w:val="auto"/>
          <w:sz w:val="24"/>
          <w:highlight w:val="none"/>
          <w:u w:val="single"/>
        </w:rPr>
        <w:t xml:space="preserve">①所有设计变更应当符合相应的设计、施工、安全技术规范，设计变更须发包人、设计单位、监理单位三方签字及加盖各单位公章后方可生效，承包人按照发包人发出的设计变更通知及有关要求进行变更。</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②在施工过程中，当发现本工程内容因场地条件、地质水文、发包人要求等不一致时，承包人应提供相关的资料，并提交发包人签证。</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③工程签证均须发包人、承包人和监理单位三方签字及加盖各单位公章后方可生效，未经确认的工程量发包人有权不予结算。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10.4 变更估价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10.4.1 变更估价原则</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关于变更估价的约定: </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1）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（2）签证的时限要求。发生设计变更、经济签证事件时, 承包人须在事件发生14日内将书面</w:t>
      </w:r>
      <w:r>
        <w:rPr>
          <w:rFonts w:ascii="宋体" w:hAnsi="宋体"/>
          <w:color w:val="auto"/>
          <w:sz w:val="24"/>
          <w:highlight w:val="none"/>
          <w:u w:val="single"/>
        </w:rPr>
        <w:t xml:space="preserve">变更资料（</w:t>
      </w:r>
      <w:r>
        <w:rPr>
          <w:rFonts w:hint="eastAsia" w:ascii="宋体" w:hAnsi="宋体"/>
          <w:color w:val="auto"/>
          <w:sz w:val="24"/>
          <w:highlight w:val="none"/>
          <w:u w:val="single"/>
        </w:rPr>
        <w:t xml:space="preserve">变更工程量、变更部分综合单价、拟增加的经济费用原由、计取方式及依据）书面报送经监理方、</w:t>
      </w:r>
      <w:r>
        <w:rPr>
          <w:rFonts w:ascii="宋体" w:hAnsi="宋体"/>
          <w:color w:val="auto"/>
          <w:sz w:val="24"/>
          <w:highlight w:val="none"/>
          <w:u w:val="single"/>
        </w:rPr>
        <w:t xml:space="preserve">发包人</w:t>
      </w:r>
      <w:r>
        <w:rPr>
          <w:rFonts w:hint="eastAsia" w:ascii="宋体" w:hAnsi="宋体"/>
          <w:color w:val="auto"/>
          <w:sz w:val="24"/>
          <w:highlight w:val="none"/>
          <w:u w:val="single"/>
        </w:rPr>
        <w:t xml:space="preserve">签字认可后作为结算依据，过期不予认可，责任由承包人自行承担。</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（3）由于承包人原因导致的工程变更，承包人无权要求签证赔偿。</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（4）签证单的签证程序必须严格按照发包人规定执行，否则，视为无效签证单。无效签证单发包人不予承认，责任由承包人自负。</w:t>
      </w:r>
      <w:r/>
    </w:p>
    <w:p>
      <w:pPr>
        <w:ind w:firstLine="470"/>
        <w:spacing w:line="360" w:lineRule="auto"/>
        <w:tabs>
          <w:tab w:val="left" w:pos="900" w:leader="none"/>
        </w:tabs>
        <w:rPr>
          <w:rFonts w:ascii="宋体" w:hAnsi="宋体"/>
          <w:color w:val="auto"/>
          <w:sz w:val="24"/>
          <w:highlight w:val="none"/>
          <w:u w:val="single"/>
        </w:rPr>
      </w:pPr>
      <w:r>
        <w:rPr>
          <w:rFonts w:hint="eastAsia" w:ascii="宋体" w:hAnsi="宋体"/>
          <w:color w:val="auto"/>
          <w:sz w:val="24"/>
          <w:highlight w:val="none"/>
          <w:u w:val="single"/>
        </w:rPr>
        <w:t xml:space="preserve">（5）若发包人有明确的工作指令，承包人不应以工程签证未办理完成为借口，延误工作进展。</w:t>
      </w:r>
      <w:r/>
    </w:p>
    <w:p>
      <w:pPr>
        <w:ind w:firstLine="480"/>
        <w:jc w:val="left"/>
        <w:spacing w:line="360" w:lineRule="auto"/>
        <w:rPr>
          <w:rFonts w:ascii="ÐÂËÎÌå" w:hAnsi="ÐÂËÎÌå" w:eastAsia="ÐÂËÎÌå"/>
          <w:color w:val="auto"/>
          <w:sz w:val="24"/>
          <w:highlight w:val="none"/>
        </w:rPr>
      </w:pPr>
      <w:r>
        <w:rPr>
          <w:rFonts w:hint="eastAsia" w:ascii="新宋体" w:hAnsi="新宋体" w:eastAsia="新宋体"/>
          <w:color w:val="auto"/>
          <w:sz w:val="24"/>
          <w:highlight w:val="none"/>
        </w:rPr>
        <w:t xml:space="preserve">关于变更估价的约定</w:t>
      </w:r>
      <w:r>
        <w:rPr>
          <w:rFonts w:ascii="ÐÂËÎÌå" w:hAnsi="ÐÂËÎÌå" w:eastAsia="ÐÂËÎÌå"/>
          <w:color w:val="auto"/>
          <w:sz w:val="24"/>
          <w:highlight w:val="none"/>
        </w:rPr>
        <w:t xml:space="preserve">:</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1）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firstLine="482"/>
        <w:spacing w:line="420" w:lineRule="exact"/>
        <w:rPr>
          <w:rFonts w:ascii="宋体" w:hAnsi="宋体"/>
          <w:b/>
          <w:color w:val="auto"/>
          <w:sz w:val="24"/>
          <w:highlight w:val="none"/>
        </w:rPr>
      </w:pPr>
      <w:r>
        <w:rPr>
          <w:rFonts w:hint="eastAsia" w:ascii="宋体" w:hAnsi="宋体"/>
          <w:b/>
          <w:color w:val="auto"/>
          <w:sz w:val="24"/>
          <w:highlight w:val="none"/>
        </w:rPr>
        <w:t xml:space="preserve">            中标价（扣除暂列金额、专业工程暂估价、暂估材料总价、</w:t>
      </w:r>
      <w:r/>
    </w:p>
    <w:p>
      <w:pPr>
        <w:ind w:firstLine="482"/>
        <w:spacing w:line="420" w:lineRule="exact"/>
        <w:rPr>
          <w:rFonts w:ascii="宋体" w:hAnsi="宋体"/>
          <w:b/>
          <w:color w:val="auto"/>
          <w:sz w:val="24"/>
          <w:highlight w:val="none"/>
        </w:rPr>
      </w:pPr>
      <w:r>
        <w:rPr>
          <w:rFonts w:hint="eastAsia" w:ascii="宋体" w:hAnsi="宋体"/>
          <w:b/>
          <w:color w:val="auto"/>
          <w:sz w:val="24"/>
          <w:highlight w:val="none"/>
        </w:rPr>
        <w:t xml:space="preserve">                   发包人供应材料总价及上述四项的规费税金）</w:t>
      </w:r>
      <w:r/>
    </w:p>
    <w:p>
      <w:pPr>
        <w:ind w:firstLine="482"/>
        <w:spacing w:line="420" w:lineRule="exact"/>
        <w:rPr>
          <w:rFonts w:ascii="宋体" w:hAnsi="宋体"/>
          <w:color w:val="auto"/>
          <w:sz w:val="24"/>
          <w:highlight w:val="none"/>
        </w:rPr>
      </w:pPr>
      <w:r>
        <w:rPr>
          <w:rFonts w:hint="eastAsia" w:ascii="宋体" w:hAnsi="宋体"/>
          <w:b/>
          <w:color w:val="auto"/>
          <w:sz w:val="24"/>
          <w:highlight w:val="none"/>
        </w:rPr>
        <w:t xml:space="preserve">下浮率</w:t>
      </w:r>
      <w:r>
        <w:rPr>
          <w:rFonts w:hint="eastAsia" w:ascii="宋体" w:hAnsi="宋体"/>
          <w:color w:val="auto"/>
          <w:sz w:val="24"/>
          <w:highlight w:val="none"/>
        </w:rPr>
        <w:t xml:space="preserve">＝（</w:t>
      </w:r>
      <w:r>
        <w:rPr>
          <w:rFonts w:ascii="宋体" w:hAnsi="宋体"/>
          <w:color w:val="auto"/>
          <w:sz w:val="24"/>
          <w:highlight w:val="none"/>
        </w:rPr>
        <w:t xml:space="preserve">1 - </w:t>
      </w:r>
      <w:r>
        <w:rPr>
          <w:rFonts w:hint="eastAsia" w:ascii="宋体" w:hAnsi="宋体"/>
          <w:color w:val="auto"/>
          <w:sz w:val="24"/>
          <w:highlight w:val="none"/>
        </w:rPr>
        <w:t xml:space="preserve">――――――――――――――――――――――――――）×</w:t>
      </w:r>
      <w:r>
        <w:rPr>
          <w:rFonts w:ascii="宋体" w:hAnsi="宋体"/>
          <w:color w:val="auto"/>
          <w:sz w:val="24"/>
          <w:highlight w:val="none"/>
        </w:rPr>
        <w:t xml:space="preserve">100%</w:t>
      </w:r>
      <w:r/>
    </w:p>
    <w:p>
      <w:pPr>
        <w:ind w:firstLine="480"/>
        <w:spacing w:line="420" w:lineRule="exact"/>
        <w:rPr>
          <w:rFonts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预算价（扣除暂列金额、专业工程暂估价、暂估材料总价、</w:t>
      </w:r>
      <w:r/>
    </w:p>
    <w:p>
      <w:pPr>
        <w:ind w:firstLine="482"/>
        <w:spacing w:line="420" w:lineRule="exact"/>
        <w:rPr>
          <w:rFonts w:ascii="宋体" w:hAnsi="宋体"/>
          <w:color w:val="auto"/>
          <w:sz w:val="24"/>
          <w:highlight w:val="none"/>
        </w:rPr>
      </w:pPr>
      <w:r>
        <w:rPr>
          <w:rFonts w:hint="eastAsia" w:ascii="宋体" w:hAnsi="宋体"/>
          <w:b/>
          <w:color w:val="auto"/>
          <w:sz w:val="24"/>
          <w:highlight w:val="none"/>
        </w:rPr>
        <w:t xml:space="preserve">                   发包人供应材料总价及上述四项的规费税金）</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注：上述公式中的预算价是指发包人委托编制的工程预算价。</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7216203"/>
      <w:r/>
      <w:bookmarkStart w:id="495" w:name="_Toc292559402"/>
      <w:r/>
      <w:bookmarkStart w:id="496" w:name="_Toc296503197"/>
      <w:r/>
      <w:bookmarkStart w:id="497" w:name="_Toc296891025"/>
      <w:r/>
      <w:bookmarkStart w:id="498" w:name="_Toc296347196"/>
      <w:r/>
      <w:bookmarkStart w:id="499" w:name="_Toc297120497"/>
      <w:r/>
      <w:bookmarkStart w:id="500" w:name="_Toc292559907"/>
      <w:r/>
      <w:bookmarkStart w:id="501" w:name="_Toc296891237"/>
      <w:r/>
      <w:bookmarkStart w:id="502" w:name="_Toc296944536"/>
      <w:r/>
      <w:bookmarkStart w:id="503" w:name="_Toc296346698"/>
      <w:r/>
      <w:bookmarkStart w:id="504" w:name="_Toc297048383"/>
      <w:r/>
      <w:bookmarkStart w:id="505" w:name="_Toc303539150"/>
      <w:r/>
      <w:bookmarkStart w:id="506" w:name="_Toc297123544"/>
      <w:r/>
      <w:bookmarkStart w:id="507" w:name="_Toc300934993"/>
      <w:r/>
      <w:bookmarkStart w:id="508" w:name="_Toc304295570"/>
      <w:r/>
      <w:bookmarkStart w:id="509" w:name="_Toc312678029"/>
      <w:r/>
      <w:bookmarkStart w:id="510" w:name="_Toc312677503"/>
      <w:r>
        <w:rPr>
          <w:rFonts w:ascii="宋体" w:hAnsi="宋体"/>
          <w:b/>
          <w:bCs/>
          <w:color w:val="auto"/>
          <w:sz w:val="24"/>
          <w:highlight w:val="none"/>
        </w:rPr>
        <w:t xml:space="preserve">0.5</w:t>
      </w:r>
      <w:r>
        <w:rPr>
          <w:rFonts w:hint="eastAsia" w:ascii="宋体" w:hAnsi="宋体"/>
          <w:b/>
          <w:bCs/>
          <w:color w:val="auto"/>
          <w:sz w:val="24"/>
          <w:highlight w:val="none"/>
        </w:rPr>
        <w:t xml:space="preserve"> </w:t>
      </w:r>
      <w:r>
        <w:rPr>
          <w:rFonts w:ascii="宋体" w:hAnsi="宋体"/>
          <w:b/>
          <w:bCs/>
          <w:color w:val="auto"/>
          <w:sz w:val="24"/>
          <w:highlight w:val="none"/>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6944542"/>
      <w:r/>
      <w:bookmarkStart w:id="512" w:name="_Toc297216204"/>
      <w:r/>
      <w:bookmarkStart w:id="513" w:name="_Toc292559408"/>
      <w:r/>
      <w:bookmarkStart w:id="514" w:name="_Toc292559913"/>
      <w:r/>
      <w:bookmarkStart w:id="515" w:name="_Toc303539151"/>
      <w:r/>
      <w:bookmarkStart w:id="516" w:name="_Toc297120503"/>
      <w:r/>
      <w:bookmarkStart w:id="517" w:name="_Toc296891243"/>
      <w:r/>
      <w:bookmarkStart w:id="518" w:name="_Toc296346704"/>
      <w:r/>
      <w:bookmarkStart w:id="519" w:name="_Toc300934994"/>
      <w:r/>
      <w:bookmarkStart w:id="520" w:name="_Toc297123545"/>
      <w:r/>
      <w:bookmarkStart w:id="521" w:name="_Toc297048389"/>
      <w:r/>
      <w:bookmarkStart w:id="522" w:name="_Toc296347202"/>
      <w:r/>
      <w:bookmarkStart w:id="523" w:name="_Toc296891031"/>
      <w:r/>
      <w:bookmarkStart w:id="524" w:name="_Toc296503203"/>
      <w:r>
        <w:rPr>
          <w:rFonts w:ascii="宋体" w:hAnsi="宋体"/>
          <w:b/>
          <w:bCs/>
          <w:color w:val="auto"/>
          <w:sz w:val="24"/>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80"/>
        <w:jc w:val="left"/>
        <w:spacing w:line="360" w:lineRule="auto"/>
        <w:rPr>
          <w:rFonts w:ascii="宋体" w:hAnsi="宋体" w:cs="宋体"/>
          <w:color w:val="auto"/>
          <w:sz w:val="24"/>
          <w:highlight w:val="none"/>
        </w:rPr>
      </w:pPr>
      <w:r/>
      <w:bookmarkStart w:id="525" w:name="_Toc318581175"/>
      <w:r/>
      <w:bookmarkStart w:id="526" w:name="_Toc296944543"/>
      <w:r/>
      <w:bookmarkStart w:id="527" w:name="_Toc297123546"/>
      <w:r/>
      <w:bookmarkStart w:id="528" w:name="_Toc304295571"/>
      <w:r/>
      <w:bookmarkStart w:id="529" w:name="_Toc292559409"/>
      <w:r/>
      <w:bookmarkStart w:id="530" w:name="_Toc300934995"/>
      <w:r/>
      <w:bookmarkStart w:id="531" w:name="_Toc296503204"/>
      <w:r/>
      <w:bookmarkStart w:id="532" w:name="_Toc297048390"/>
      <w:r/>
      <w:bookmarkStart w:id="533" w:name="_Toc312677504"/>
      <w:r/>
      <w:bookmarkStart w:id="534" w:name="_Toc296891244"/>
      <w:r/>
      <w:bookmarkStart w:id="535" w:name="_Toc296891032"/>
      <w:r/>
      <w:bookmarkStart w:id="536" w:name="_Toc296347203"/>
      <w:r/>
      <w:bookmarkStart w:id="537" w:name="_Toc297120504"/>
      <w:r/>
      <w:bookmarkStart w:id="538" w:name="_Toc297216205"/>
      <w:r/>
      <w:bookmarkStart w:id="539" w:name="_Toc312678030"/>
      <w:r/>
      <w:bookmarkStart w:id="540" w:name="_Toc296346705"/>
      <w:r/>
      <w:bookmarkStart w:id="541" w:name="_Toc292559914"/>
      <w:r/>
      <w:bookmarkStart w:id="542" w:name="_Toc303539152"/>
      <w:r>
        <w:rPr>
          <w:rFonts w:hint="eastAsia" w:ascii="宋体" w:hAnsi="宋体" w:cs="宋体"/>
          <w:color w:val="auto"/>
          <w:sz w:val="24"/>
          <w:highlight w:val="none"/>
        </w:rPr>
        <w:t xml:space="preserve">监理人审查承包人合理化建议的期限：</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发包人审批承包人合理化建议的期限：</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w:t>
      </w:r>
      <w:r>
        <w:rPr>
          <w:rFonts w:hint="eastAsia" w:ascii="宋体" w:hAnsi="宋体" w:cs="宋体"/>
          <w:color w:val="auto"/>
          <w:sz w:val="24"/>
          <w:highlight w:val="none"/>
        </w:rPr>
        <w:t xml:space="preserve">。</w:t>
      </w:r>
      <w:r/>
    </w:p>
    <w:p>
      <w:pPr>
        <w:ind w:firstLine="480"/>
        <w:jc w:val="left"/>
        <w:spacing w:line="360" w:lineRule="auto"/>
        <w:rPr>
          <w:rFonts w:ascii="宋体" w:hAnsi="宋体"/>
          <w:color w:val="auto"/>
          <w:sz w:val="24"/>
          <w:highlight w:val="none"/>
          <w:u w:val="single"/>
        </w:rPr>
      </w:pPr>
      <w:r>
        <w:rPr>
          <w:rFonts w:hint="eastAsia" w:ascii="宋体" w:hAnsi="宋体" w:cs="宋体"/>
          <w:color w:val="auto"/>
          <w:sz w:val="24"/>
          <w:highlight w:val="none"/>
        </w:rPr>
        <w:t xml:space="preserve">承包人提出的合理化建议降低了合同价格或者提高了工程经济效益的奖励的方法和金额为：</w:t>
      </w:r>
      <w:r>
        <w:rPr>
          <w:rFonts w:hint="eastAsia" w:ascii="宋体" w:hAnsi="宋体" w:cs="宋体"/>
          <w:color w:val="auto"/>
          <w:sz w:val="24"/>
          <w:highlight w:val="none"/>
          <w:u w:val="single"/>
        </w:rPr>
        <w:t xml:space="preserve">无 </w:t>
      </w:r>
      <w:r>
        <w:rPr>
          <w:rFonts w:hint="eastAsia" w:ascii="宋体" w:hAnsi="宋体" w:cs="宋体"/>
          <w:color w:val="auto"/>
          <w:sz w:val="24"/>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w:t>
      </w:r>
      <w:bookmarkStart w:id="543" w:name="_Toc312677507"/>
      <w:r/>
      <w:bookmarkStart w:id="544" w:name="_Toc296891027"/>
      <w:r/>
      <w:bookmarkStart w:id="545" w:name="_Toc292559404"/>
      <w:r/>
      <w:bookmarkStart w:id="546" w:name="_Toc296346700"/>
      <w:r/>
      <w:bookmarkStart w:id="547" w:name="_Toc297120499"/>
      <w:r/>
      <w:bookmarkStart w:id="548" w:name="_Toc297048385"/>
      <w:r/>
      <w:bookmarkStart w:id="549" w:name="_Toc292559909"/>
      <w:r/>
      <w:bookmarkStart w:id="550" w:name="_Toc304295574"/>
      <w:r/>
      <w:bookmarkStart w:id="551" w:name="_Toc297216207"/>
      <w:r/>
      <w:bookmarkStart w:id="552" w:name="_Toc296503199"/>
      <w:r/>
      <w:bookmarkStart w:id="553" w:name="_Toc303539154"/>
      <w:r/>
      <w:bookmarkStart w:id="554" w:name="_Toc296891239"/>
      <w:r/>
      <w:bookmarkStart w:id="555" w:name="_Toc297123548"/>
      <w:r/>
      <w:bookmarkStart w:id="556" w:name="_Toc296347198"/>
      <w:r/>
      <w:bookmarkStart w:id="557" w:name="_Toc300934997"/>
      <w:r/>
      <w:bookmarkStart w:id="558" w:name="_Toc296944538"/>
      <w:r/>
      <w:bookmarkStart w:id="559" w:name="_Toc312678033"/>
      <w:r>
        <w:rPr>
          <w:rFonts w:ascii="宋体" w:hAnsi="宋体"/>
          <w:b/>
          <w:bCs/>
          <w:color w:val="auto"/>
          <w:sz w:val="24"/>
          <w:highlight w:val="none"/>
        </w:rPr>
        <w:t xml:space="preserve">0.7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暂</w:t>
      </w:r>
      <w:bookmarkStart w:id="560" w:name="_Toc312678034"/>
      <w:r/>
      <w:bookmarkStart w:id="561" w:name="_Toc312677508"/>
      <w:r/>
      <w:bookmarkStart w:id="562" w:name="_Toc318581176"/>
      <w:r>
        <w:rPr>
          <w:rFonts w:ascii="宋体" w:hAnsi="宋体"/>
          <w:color w:val="auto"/>
          <w:sz w:val="24"/>
          <w:highlight w:val="none"/>
        </w:rPr>
        <w:t xml:space="preserve">估价材料和工程设备的明细详见附件</w:t>
      </w:r>
      <w:r>
        <w:rPr>
          <w:rFonts w:hint="eastAsia" w:ascii="宋体" w:hAnsi="宋体"/>
          <w:color w:val="auto"/>
          <w:sz w:val="24"/>
          <w:highlight w:val="none"/>
        </w:rPr>
        <w:t xml:space="preserve">11：《</w:t>
      </w:r>
      <w:r>
        <w:rPr>
          <w:rFonts w:ascii="宋体" w:hAnsi="宋体"/>
          <w:color w:val="auto"/>
          <w:sz w:val="24"/>
          <w:highlight w:val="none"/>
        </w:rPr>
        <w:t xml:space="preserve">暂估价一览表</w:t>
      </w:r>
      <w:r>
        <w:rPr>
          <w:rFonts w:hint="eastAsia" w:ascii="宋体" w:hAnsi="宋体"/>
          <w:color w:val="auto"/>
          <w:sz w:val="24"/>
          <w:highlight w:val="none"/>
        </w:rPr>
        <w:t xml:space="preserve">》。</w:t>
      </w:r>
      <w:bookmarkEnd w:id="560"/>
      <w:r/>
      <w:bookmarkEnd w:id="561"/>
      <w:r/>
      <w:bookmarkEnd w:id="562"/>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bookmarkStart w:id="563" w:name="_Toc312677509"/>
      <w:r/>
      <w:bookmarkStart w:id="564" w:name="_Toc312678035"/>
      <w:r/>
      <w:bookmarkStart w:id="565" w:name="_Toc318581177"/>
      <w:r>
        <w:rPr>
          <w:rFonts w:ascii="宋体" w:hAnsi="宋体"/>
          <w:color w:val="auto"/>
          <w:sz w:val="24"/>
          <w:highlight w:val="none"/>
        </w:rPr>
        <w:t xml:space="preserve">0.7.1 依法必须招标的暂估价项目</w:t>
      </w:r>
      <w:bookmarkEnd w:id="563"/>
      <w:r/>
      <w:bookmarkEnd w:id="564"/>
      <w:r/>
      <w:bookmarkEnd w:id="565"/>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对于依法必须招标的暂估价项目的确认和批准采取第</w:t>
      </w:r>
      <w:r>
        <w:rPr>
          <w:rFonts w:hint="eastAsia" w:ascii="宋体" w:hAnsi="宋体"/>
          <w:color w:val="auto"/>
          <w:sz w:val="24"/>
          <w:highlight w:val="none"/>
          <w:u w:val="single"/>
        </w:rPr>
        <w:t xml:space="preserve"> / </w:t>
      </w:r>
      <w:r>
        <w:rPr>
          <w:rFonts w:ascii="宋体" w:hAnsi="宋体"/>
          <w:color w:val="auto"/>
          <w:sz w:val="24"/>
          <w:highlight w:val="none"/>
        </w:rPr>
        <w:t xml:space="preserve">种方式确定。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10.7.2 不属于依法必须招标的暂估价项目</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对于不属于依法必须招标的暂估价项目的确认和批准采取第</w:t>
      </w:r>
      <w:r>
        <w:rPr>
          <w:rFonts w:hint="eastAsia" w:ascii="宋体" w:hAnsi="宋体"/>
          <w:color w:val="auto"/>
          <w:sz w:val="24"/>
          <w:highlight w:val="none"/>
          <w:u w:val="single"/>
        </w:rPr>
        <w:t xml:space="preserve"> / </w:t>
      </w:r>
      <w:r>
        <w:rPr>
          <w:rFonts w:ascii="宋体" w:hAnsi="宋体"/>
          <w:color w:val="auto"/>
          <w:sz w:val="24"/>
          <w:highlight w:val="none"/>
        </w:rPr>
        <w:t xml:space="preserve">种方式确定。</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第3种方式：承包人直接实施的暂估价项目</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承包人直接实施的暂估价项目的约定：</w:t>
      </w:r>
      <w:r>
        <w:rPr>
          <w:rFonts w:hint="eastAsia" w:ascii="宋体" w:hAnsi="宋体"/>
          <w:color w:val="auto"/>
          <w:sz w:val="24"/>
          <w:highlight w:val="none"/>
          <w:u w:val="single"/>
        </w:rPr>
        <w:t xml:space="preserve">与本工程合同条件一致</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10.8 暂列金额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合同当事人关于暂列金额使用的约定：</w:t>
      </w:r>
      <w:r>
        <w:rPr>
          <w:rFonts w:hint="eastAsia" w:ascii="宋体" w:hAnsi="宋体"/>
          <w:color w:val="auto"/>
          <w:sz w:val="24"/>
          <w:highlight w:val="none"/>
          <w:u w:val="single"/>
        </w:rPr>
        <w:t xml:space="preserve">与本工程合同条件一致</w:t>
      </w:r>
      <w:r>
        <w:rPr>
          <w:rFonts w:hint="eastAsia" w:ascii="宋体" w:hAnsi="宋体"/>
          <w:color w:val="auto"/>
          <w:sz w:val="24"/>
          <w:highlight w:val="none"/>
        </w:rPr>
        <w:t xml:space="preserve">。</w:t>
      </w:r>
      <w:r/>
    </w:p>
    <w:p>
      <w:pPr>
        <w:ind w:firstLine="480"/>
        <w:keepLines/>
        <w:keepNext/>
        <w:spacing w:line="360" w:lineRule="auto"/>
        <w:rPr>
          <w:rFonts w:ascii="宋体" w:hAnsi="宋体"/>
          <w:bCs/>
          <w:color w:val="auto"/>
          <w:sz w:val="24"/>
          <w:highlight w:val="none"/>
        </w:rPr>
        <w:outlineLvl w:val="3"/>
      </w:pPr>
      <w:r/>
      <w:bookmarkStart w:id="566" w:name="_Toc351203643"/>
      <w:r>
        <w:rPr>
          <w:rFonts w:ascii="宋体" w:hAnsi="宋体"/>
          <w:bCs/>
          <w:color w:val="auto"/>
          <w:sz w:val="24"/>
          <w:highlight w:val="none"/>
        </w:rPr>
        <w:t xml:space="preserve">11. 价格调整</w:t>
      </w:r>
      <w:bookmarkEnd w:id="566"/>
      <w:r/>
      <w:r/>
    </w:p>
    <w:p>
      <w:pPr>
        <w:ind w:firstLine="482"/>
        <w:keepLines/>
        <w:keepNext/>
        <w:spacing w:line="360" w:lineRule="auto"/>
        <w:rPr>
          <w:rFonts w:ascii="宋体" w:hAnsi="宋体"/>
          <w:b/>
          <w:bCs/>
          <w:color w:val="auto"/>
          <w:sz w:val="24"/>
          <w:highlight w:val="none"/>
        </w:rPr>
        <w:outlineLvl w:val="4"/>
      </w:pPr>
      <w:r/>
      <w:bookmarkStart w:id="567" w:name="_Toc297123550"/>
      <w:r/>
      <w:bookmarkStart w:id="568" w:name="_Toc303539157"/>
      <w:r/>
      <w:bookmarkStart w:id="569" w:name="_Toc296891241"/>
      <w:r/>
      <w:bookmarkStart w:id="570" w:name="_Toc296944540"/>
      <w:r/>
      <w:bookmarkStart w:id="571" w:name="_Toc296891029"/>
      <w:r/>
      <w:bookmarkStart w:id="572" w:name="_Toc300935000"/>
      <w:r/>
      <w:bookmarkStart w:id="573" w:name="_Toc292559406"/>
      <w:r/>
      <w:bookmarkStart w:id="574" w:name="_Toc292559911"/>
      <w:r/>
      <w:bookmarkStart w:id="575" w:name="_Toc312678039"/>
      <w:r/>
      <w:bookmarkStart w:id="576" w:name="_Toc296503201"/>
      <w:r/>
      <w:bookmarkStart w:id="577" w:name="_Toc297120501"/>
      <w:r/>
      <w:bookmarkStart w:id="578" w:name="_Toc296347200"/>
      <w:r/>
      <w:bookmarkStart w:id="579" w:name="_Toc297048387"/>
      <w:r/>
      <w:bookmarkStart w:id="580" w:name="_Toc297216209"/>
      <w:r/>
      <w:bookmarkStart w:id="581" w:name="_Toc304295577"/>
      <w:r/>
      <w:bookmarkStart w:id="582" w:name="_Toc296346702"/>
      <w:r>
        <w:rPr>
          <w:rFonts w:ascii="宋体" w:hAnsi="宋体"/>
          <w:b/>
          <w:bCs/>
          <w:color w:val="auto"/>
          <w:sz w:val="24"/>
          <w:highlight w:val="none"/>
        </w:rPr>
        <w:t xml:space="preserve">11.1 市场价格波动引起的调整</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市场价格波动是否调整合同价格的约定：</w:t>
      </w:r>
      <w:r>
        <w:rPr>
          <w:rFonts w:hint="eastAsia" w:ascii="宋体" w:hAnsi="宋体"/>
          <w:color w:val="auto"/>
          <w:sz w:val="24"/>
          <w:highlight w:val="none"/>
          <w:u w:val="single"/>
        </w:rPr>
        <w:t xml:space="preserve"> 不调整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因市场价格波动调整合同价格，采用以下第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种方式对合同价格进行调整：</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第1种方式：采用价格指数</w:t>
      </w:r>
      <w:r>
        <w:rPr>
          <w:rFonts w:hint="eastAsia" w:ascii="宋体" w:hAnsi="宋体"/>
          <w:color w:val="auto"/>
          <w:sz w:val="24"/>
          <w:highlight w:val="none"/>
        </w:rPr>
        <w:t xml:space="preserve">进行价格</w:t>
      </w:r>
      <w:r>
        <w:rPr>
          <w:rFonts w:ascii="宋体" w:hAnsi="宋体"/>
          <w:color w:val="auto"/>
          <w:sz w:val="24"/>
          <w:highlight w:val="none"/>
        </w:rPr>
        <w:t xml:space="preserve">调整。</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关于各可调因子、定值和变值权重，以及基本价格指数及其来源的约定：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第2种方式：采用造价信息</w:t>
      </w:r>
      <w:r>
        <w:rPr>
          <w:rFonts w:hint="eastAsia" w:ascii="宋体" w:hAnsi="宋体"/>
          <w:color w:val="auto"/>
          <w:sz w:val="24"/>
          <w:highlight w:val="none"/>
        </w:rPr>
        <w:t xml:space="preserve">进行价格</w:t>
      </w:r>
      <w:r>
        <w:rPr>
          <w:rFonts w:ascii="宋体" w:hAnsi="宋体"/>
          <w:color w:val="auto"/>
          <w:sz w:val="24"/>
          <w:highlight w:val="none"/>
        </w:rPr>
        <w:t xml:space="preserve">调整。</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（2）关于基准价格的约定：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专用合同条款</w:t>
      </w:r>
      <w:r>
        <w:rPr>
          <w:rFonts w:hint="eastAsia" w:ascii="宋体" w:hAnsi="宋体" w:cs="宋体"/>
          <w:color w:val="auto"/>
          <w:sz w:val="24"/>
          <w:highlight w:val="none"/>
        </w:rPr>
        <w:t xml:space="preserve">①</w:t>
      </w:r>
      <w:r>
        <w:rPr>
          <w:rFonts w:ascii="宋体" w:hAnsi="宋体"/>
          <w:color w:val="auto"/>
          <w:sz w:val="24"/>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%时，或材料单价跌幅以已标价工程量清单或预算书中载明材料单价为基础超过</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%时，其超过部分据实调整。</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②</w:t>
      </w:r>
      <w:r>
        <w:rPr>
          <w:rFonts w:ascii="宋体" w:hAnsi="宋体"/>
          <w:color w:val="auto"/>
          <w:sz w:val="24"/>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%时，材料单价涨幅以已标价工程量清单或预算书中载明材料单价为基础超过</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%时，其超过部分据实调整。</w:t>
      </w:r>
      <w:r/>
    </w:p>
    <w:p>
      <w:pPr>
        <w:ind w:firstLine="645"/>
        <w:jc w:val="left"/>
        <w:spacing w:line="360" w:lineRule="auto"/>
        <w:rPr>
          <w:rFonts w:ascii="宋体" w:hAnsi="宋体"/>
          <w:color w:val="auto"/>
          <w:sz w:val="24"/>
          <w:highlight w:val="none"/>
        </w:rPr>
      </w:pPr>
      <w:r>
        <w:rPr>
          <w:rFonts w:hint="eastAsia" w:ascii="宋体" w:hAnsi="宋体" w:cs="宋体"/>
          <w:color w:val="auto"/>
          <w:sz w:val="24"/>
          <w:highlight w:val="none"/>
        </w:rPr>
        <w:t xml:space="preserve">③</w:t>
      </w:r>
      <w:r>
        <w:rPr>
          <w:rFonts w:ascii="宋体" w:hAnsi="宋体"/>
          <w:color w:val="auto"/>
          <w:sz w:val="24"/>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%时，其超过部分据实调整。</w:t>
      </w:r>
      <w:r/>
    </w:p>
    <w:p>
      <w:pPr>
        <w:ind w:firstLine="645"/>
        <w:jc w:val="left"/>
        <w:spacing w:line="360" w:lineRule="auto"/>
        <w:rPr>
          <w:rFonts w:ascii="宋体" w:hAnsi="宋体"/>
          <w:color w:val="auto"/>
          <w:sz w:val="24"/>
          <w:highlight w:val="none"/>
        </w:rPr>
      </w:pPr>
      <w:r>
        <w:rPr>
          <w:rFonts w:ascii="宋体" w:hAnsi="宋体"/>
          <w:color w:val="auto"/>
          <w:sz w:val="24"/>
          <w:highlight w:val="none"/>
        </w:rPr>
        <w:t xml:space="preserve">第3种方式：其他价格调整方式：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bookmarkEnd w:id="470"/>
      <w:r/>
      <w:bookmarkEnd w:id="471"/>
      <w:r/>
      <w:bookmarkEnd w:id="472"/>
      <w:r/>
      <w:bookmarkEnd w:id="473"/>
      <w:r/>
      <w:bookmarkEnd w:id="474"/>
      <w:r/>
      <w:bookmarkEnd w:id="475"/>
      <w:r/>
      <w:r/>
    </w:p>
    <w:p>
      <w:pPr>
        <w:ind w:firstLine="482"/>
        <w:keepLines/>
        <w:keepNext/>
        <w:spacing w:line="360" w:lineRule="auto"/>
        <w:rPr>
          <w:rFonts w:ascii="宋体" w:hAnsi="宋体"/>
          <w:b/>
          <w:color w:val="auto"/>
          <w:sz w:val="24"/>
          <w:highlight w:val="none"/>
        </w:rPr>
        <w:outlineLvl w:val="3"/>
      </w:pPr>
      <w:r/>
      <w:bookmarkStart w:id="583" w:name="_Toc297048391"/>
      <w:r/>
      <w:bookmarkStart w:id="584" w:name="_Toc296944544"/>
      <w:r/>
      <w:bookmarkStart w:id="585" w:name="_Toc296347204"/>
      <w:r/>
      <w:bookmarkStart w:id="586" w:name="_Toc292559410"/>
      <w:r/>
      <w:bookmarkStart w:id="587" w:name="_Toc297120505"/>
      <w:r/>
      <w:bookmarkStart w:id="588" w:name="_Toc296503205"/>
      <w:r/>
      <w:bookmarkStart w:id="589" w:name="_Toc296346706"/>
      <w:r/>
      <w:bookmarkStart w:id="590" w:name="_Toc292559915"/>
      <w:r/>
      <w:bookmarkStart w:id="591" w:name="_Toc296891033"/>
      <w:r/>
      <w:bookmarkStart w:id="592" w:name="_Toc296891245"/>
      <w:r/>
      <w:bookmarkStart w:id="593" w:name="_Toc300935002"/>
      <w:r/>
      <w:bookmarkStart w:id="594" w:name="_Toc303539159"/>
      <w:r/>
      <w:bookmarkStart w:id="595" w:name="_Toc297123552"/>
      <w:r/>
      <w:bookmarkStart w:id="596" w:name="_Toc312678040"/>
      <w:r/>
      <w:bookmarkStart w:id="597" w:name="_Toc304295579"/>
      <w:r/>
      <w:bookmarkStart w:id="598" w:name="_Toc351203644"/>
      <w:r/>
      <w:bookmarkStart w:id="599" w:name="_Toc297216211"/>
      <w:r>
        <w:rPr>
          <w:rFonts w:ascii="宋体" w:hAnsi="宋体"/>
          <w:b/>
          <w:color w:val="auto"/>
          <w:sz w:val="24"/>
          <w:highlight w:val="none"/>
        </w:rPr>
        <w:t xml:space="preserve">12. </w:t>
      </w:r>
      <w:bookmarkEnd w:id="583"/>
      <w:r/>
      <w:bookmarkEnd w:id="584"/>
      <w:r/>
      <w:bookmarkEnd w:id="585"/>
      <w:r/>
      <w:bookmarkEnd w:id="586"/>
      <w:r/>
      <w:bookmarkEnd w:id="587"/>
      <w:r/>
      <w:bookmarkEnd w:id="588"/>
      <w:r/>
      <w:bookmarkEnd w:id="589"/>
      <w:r/>
      <w:bookmarkEnd w:id="590"/>
      <w:r/>
      <w:bookmarkEnd w:id="591"/>
      <w:r/>
      <w:bookmarkEnd w:id="592"/>
      <w:r>
        <w:rPr>
          <w:rFonts w:ascii="宋体" w:hAnsi="宋体"/>
          <w:b/>
          <w:color w:val="auto"/>
          <w:sz w:val="24"/>
          <w:highlight w:val="none"/>
        </w:rPr>
        <w:t xml:space="preserve">合同价格、计量与支付</w:t>
      </w:r>
      <w:bookmarkEnd w:id="593"/>
      <w:r/>
      <w:bookmarkEnd w:id="594"/>
      <w:r/>
      <w:bookmarkEnd w:id="595"/>
      <w:r/>
      <w:bookmarkEnd w:id="596"/>
      <w:r/>
      <w:bookmarkEnd w:id="597"/>
      <w:r/>
      <w:bookmarkEnd w:id="598"/>
      <w:r/>
      <w:bookmarkEnd w:id="599"/>
      <w:r/>
      <w:r/>
    </w:p>
    <w:p>
      <w:pPr>
        <w:ind w:firstLine="482"/>
        <w:keepLines/>
        <w:keepNext/>
        <w:spacing w:line="360" w:lineRule="auto"/>
        <w:rPr>
          <w:rFonts w:ascii="宋体" w:hAnsi="宋体"/>
          <w:b/>
          <w:bCs/>
          <w:color w:val="auto"/>
          <w:sz w:val="24"/>
          <w:highlight w:val="none"/>
        </w:rPr>
        <w:outlineLvl w:val="4"/>
      </w:pPr>
      <w:r/>
      <w:bookmarkStart w:id="600" w:name="_Toc292559916"/>
      <w:r/>
      <w:bookmarkStart w:id="601" w:name="_Toc292559411"/>
      <w:r/>
      <w:bookmarkStart w:id="602" w:name="_Toc267251461"/>
      <w:r/>
      <w:bookmarkStart w:id="603" w:name="_Toc297048392"/>
      <w:r/>
      <w:bookmarkStart w:id="604" w:name="_Toc296891034"/>
      <w:r/>
      <w:bookmarkStart w:id="605" w:name="_Toc297120506"/>
      <w:r/>
      <w:bookmarkStart w:id="606" w:name="_Toc296503206"/>
      <w:r/>
      <w:bookmarkStart w:id="607" w:name="_Toc296346707"/>
      <w:r/>
      <w:bookmarkStart w:id="608" w:name="_Toc296347205"/>
      <w:r/>
      <w:bookmarkStart w:id="609" w:name="_Toc296891246"/>
      <w:r/>
      <w:bookmarkStart w:id="610" w:name="_Toc296944545"/>
      <w:r/>
      <w:bookmarkStart w:id="611" w:name="_Toc312678041"/>
      <w:r/>
      <w:bookmarkStart w:id="612" w:name="_Toc297216212"/>
      <w:r/>
      <w:bookmarkStart w:id="613" w:name="_Toc297123553"/>
      <w:r/>
      <w:bookmarkStart w:id="614" w:name="_Toc304295580"/>
      <w:r/>
      <w:bookmarkStart w:id="615" w:name="_Toc303539160"/>
      <w:r/>
      <w:bookmarkStart w:id="616" w:name="_Toc300935003"/>
      <w:r>
        <w:rPr>
          <w:rFonts w:ascii="宋体" w:hAnsi="宋体"/>
          <w:b/>
          <w:bCs/>
          <w:color w:val="auto"/>
          <w:sz w:val="24"/>
          <w:highlight w:val="none"/>
        </w:rPr>
        <w:t xml:space="preserve">12.1 合</w:t>
      </w:r>
      <w:bookmarkEnd w:id="600"/>
      <w:r/>
      <w:bookmarkEnd w:id="601"/>
      <w:r/>
      <w:bookmarkEnd w:id="602"/>
      <w:r>
        <w:rPr>
          <w:rFonts w:ascii="宋体" w:hAnsi="宋体"/>
          <w:b/>
          <w:bCs/>
          <w:color w:val="auto"/>
          <w:sz w:val="24"/>
          <w:highlight w:val="none"/>
        </w:rPr>
        <w:t xml:space="preserve">同价</w:t>
      </w:r>
      <w:bookmarkEnd w:id="603"/>
      <w:r/>
      <w:bookmarkEnd w:id="604"/>
      <w:r/>
      <w:bookmarkEnd w:id="605"/>
      <w:r/>
      <w:bookmarkEnd w:id="606"/>
      <w:r/>
      <w:bookmarkEnd w:id="607"/>
      <w:r/>
      <w:bookmarkEnd w:id="608"/>
      <w:r/>
      <w:bookmarkEnd w:id="609"/>
      <w:r/>
      <w:bookmarkEnd w:id="610"/>
      <w:r>
        <w:rPr>
          <w:rFonts w:ascii="宋体" w:hAnsi="宋体"/>
          <w:b/>
          <w:bCs/>
          <w:color w:val="auto"/>
          <w:sz w:val="24"/>
          <w:highlight w:val="none"/>
        </w:rPr>
        <w:t xml:space="preserve">格形式</w:t>
      </w:r>
      <w:bookmarkEnd w:id="611"/>
      <w:r/>
      <w:bookmarkEnd w:id="612"/>
      <w:r/>
      <w:bookmarkEnd w:id="613"/>
      <w:r/>
      <w:bookmarkEnd w:id="614"/>
      <w:r/>
      <w:bookmarkEnd w:id="615"/>
      <w:r/>
      <w:bookmarkEnd w:id="616"/>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1、单价合同。</w:t>
      </w:r>
      <w:r/>
    </w:p>
    <w:p>
      <w:pPr>
        <w:ind w:firstLine="482"/>
        <w:jc w:val="left"/>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本工程采用“固定单价”合同，合同实施过程中除招标文件和合同约定允许调整外，其余的综合单价不作调整。</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u w:val="single"/>
        </w:rPr>
        <w:t xml:space="preserve">工程竣工结算价</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实际工程量</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中标综合单价</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措施项目费</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其他项目费</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规费</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税金</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合同与招标文件可以调整的价格。</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综合单价包含的风险范围：</w:t>
      </w:r>
      <w:r>
        <w:rPr>
          <w:rFonts w:hint="eastAsia" w:ascii="宋体" w:hAnsi="宋体"/>
          <w:color w:val="auto"/>
          <w:sz w:val="24"/>
          <w:highlight w:val="none"/>
          <w:u w:val="single"/>
        </w:rPr>
        <w:t xml:space="preserve">1、合同实施期间的政策性调整（规费及税金除外）、人工费调整、市场风险及其他风险，合同实施期间的材料及设备价格风险均由承包人承担，结算时一律不调整。</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2、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风险费用的计算方法：</w:t>
      </w:r>
      <w:r>
        <w:rPr>
          <w:rFonts w:hint="eastAsia" w:ascii="宋体" w:hAnsi="宋体"/>
          <w:color w:val="auto"/>
          <w:sz w:val="24"/>
          <w:highlight w:val="none"/>
          <w:u w:val="single"/>
        </w:rPr>
        <w:t xml:space="preserve">已包含在中标综合单价中</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风险范围以外合同价格的调整方法：</w:t>
      </w:r>
      <w:r/>
    </w:p>
    <w:p>
      <w:pPr>
        <w:ind w:firstLine="480"/>
        <w:spacing w:line="360" w:lineRule="auto"/>
        <w:rPr>
          <w:rFonts w:ascii="宋体" w:hAnsi="宋体"/>
          <w:color w:val="auto"/>
          <w:sz w:val="24"/>
          <w:highlight w:val="none"/>
        </w:rPr>
      </w:pPr>
      <w:r>
        <w:rPr>
          <w:rFonts w:hint="eastAsia" w:ascii="宋体" w:hAnsi="宋体"/>
          <w:color w:val="auto"/>
          <w:sz w:val="24"/>
          <w:highlight w:val="none"/>
          <w:u w:val="single"/>
        </w:rPr>
        <w:t xml:space="preserve">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2、因招标工程量清单缺项、设计图纸（如有）（含设计变更）与招标工程量清单项目的特征描述不符、</w:t>
      </w:r>
      <w:r>
        <w:rPr>
          <w:rFonts w:hint="eastAsia" w:ascii="宋体" w:hAnsi="宋体"/>
          <w:color w:val="auto"/>
          <w:sz w:val="24"/>
          <w:highlight w:val="none"/>
          <w:u w:val="single"/>
        </w:rPr>
        <w:t xml:space="preserve">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材料设备价格按2024年第8期《盐城工程造价》）和取费标准提出变更工程项目的单价，经发包人确认后作为结算依据(该项目单价的下浮率按照中标时的下浮率执行)。中标下浮率计算公式如下：</w:t>
      </w:r>
      <w:r/>
    </w:p>
    <w:p>
      <w:pPr>
        <w:ind w:firstLine="480"/>
        <w:jc w:val="center"/>
        <w:spacing w:line="360" w:lineRule="auto"/>
        <w:rPr>
          <w:rFonts w:ascii="宋体" w:hAnsi="宋体"/>
          <w:color w:val="auto"/>
          <w:sz w:val="24"/>
          <w:highlight w:val="none"/>
        </w:rPr>
      </w:pPr>
      <w:r>
        <w:rPr>
          <w:rFonts w:hint="eastAsia" w:ascii="宋体" w:hAnsi="宋体"/>
          <w:color w:val="auto"/>
          <w:sz w:val="24"/>
          <w:highlight w:val="none"/>
        </w:rPr>
        <w:t xml:space="preserve">预算价- 中标价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下浮率 ＝------------------------------------------------×100%</w:t>
      </w:r>
      <w:r/>
    </w:p>
    <w:p>
      <w:pPr>
        <w:ind w:firstLine="480"/>
        <w:jc w:val="center"/>
        <w:spacing w:line="360" w:lineRule="auto"/>
        <w:rPr>
          <w:rFonts w:ascii="宋体" w:hAnsi="宋体"/>
          <w:color w:val="auto"/>
          <w:sz w:val="24"/>
          <w:highlight w:val="none"/>
        </w:rPr>
      </w:pPr>
      <w:r>
        <w:rPr>
          <w:rFonts w:hint="eastAsia" w:ascii="宋体" w:hAnsi="宋体"/>
          <w:color w:val="auto"/>
          <w:sz w:val="24"/>
          <w:highlight w:val="none"/>
        </w:rPr>
        <w:t xml:space="preserve">预算价</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注：1、下浮率的计算均需扣除暂列金额、专业工程暂估价、暂估材料总价、发包人供应材料总价及上述四项的规费税金。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2、上述公式中的预算价是指发包人委托编制的工程招标预算价（即工程的预算审核价）。</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3、措施项目费</w:t>
      </w:r>
      <w:r/>
    </w:p>
    <w:p>
      <w:pPr>
        <w:ind w:firstLine="480"/>
        <w:spacing w:line="360" w:lineRule="auto"/>
        <w:rPr>
          <w:rFonts w:hint="default" w:ascii="宋体" w:hAnsi="宋体" w:eastAsia="宋体"/>
          <w:color w:val="auto"/>
          <w:sz w:val="24"/>
          <w:highlight w:val="none"/>
          <w:u w:val="single"/>
          <w:lang w:val="en-US" w:eastAsia="zh-CN"/>
        </w:rPr>
      </w:pPr>
      <w:r>
        <w:rPr>
          <w:rFonts w:hint="eastAsia" w:ascii="宋体" w:hAnsi="宋体"/>
          <w:color w:val="auto"/>
          <w:sz w:val="24"/>
          <w:highlight w:val="none"/>
          <w:u w:val="single"/>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2）单价措施项目：执行投标时的综合单价。</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3）总价措施项目：</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5）因分部分项工程量清单缺项或非承包人原因的工程变更，引起施工方案改变并使措施项目发生变化时，拟实施的方案经发承包双方确认后执行，并按照下列规定调整措施项目费：</w:t>
      </w:r>
      <w:r/>
    </w:p>
    <w:p>
      <w:pPr>
        <w:ind w:firstLine="480"/>
        <w:spacing w:line="360" w:lineRule="auto"/>
        <w:rPr>
          <w:rFonts w:ascii="宋体" w:hAnsi="宋体"/>
          <w:color w:val="auto"/>
          <w:sz w:val="24"/>
          <w:highlight w:val="none"/>
          <w:u w:val="single"/>
        </w:rPr>
      </w:pPr>
      <w:r>
        <w:rPr>
          <w:rFonts w:hint="eastAsia" w:ascii="宋体" w:hAnsi="宋体" w:cs="宋体"/>
          <w:color w:val="auto"/>
          <w:sz w:val="24"/>
          <w:highlight w:val="none"/>
          <w:u w:val="single"/>
        </w:rPr>
        <w:t xml:space="preserve">①</w:t>
      </w:r>
      <w:r>
        <w:rPr>
          <w:rFonts w:hint="eastAsia" w:ascii="宋体" w:hAnsi="宋体"/>
          <w:color w:val="auto"/>
          <w:sz w:val="24"/>
          <w:highlight w:val="none"/>
          <w:u w:val="single"/>
        </w:rPr>
        <w:t xml:space="preserve">安全文明施工措施费按照工程造价管理机构核定的费率执行。</w:t>
      </w:r>
      <w:r/>
    </w:p>
    <w:p>
      <w:pPr>
        <w:ind w:firstLine="480"/>
        <w:spacing w:line="360" w:lineRule="auto"/>
        <w:rPr>
          <w:rFonts w:ascii="宋体" w:hAnsi="宋体"/>
          <w:color w:val="auto"/>
          <w:sz w:val="24"/>
          <w:highlight w:val="none"/>
          <w:u w:val="single"/>
        </w:rPr>
      </w:pPr>
      <w:r>
        <w:rPr>
          <w:rFonts w:hint="eastAsia" w:ascii="宋体" w:hAnsi="宋体" w:cs="宋体"/>
          <w:color w:val="auto"/>
          <w:sz w:val="24"/>
          <w:highlight w:val="none"/>
          <w:u w:val="single"/>
        </w:rPr>
        <w:t xml:space="preserve">②</w:t>
      </w:r>
      <w:r>
        <w:rPr>
          <w:rFonts w:hint="eastAsia" w:ascii="宋体" w:hAnsi="宋体"/>
          <w:color w:val="auto"/>
          <w:sz w:val="24"/>
          <w:highlight w:val="none"/>
          <w:u w:val="single"/>
        </w:rPr>
        <w:t xml:space="preserve">单价措施项目变更原则同分部分项工程。</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u w:val="single"/>
        </w:rPr>
        <w:t xml:space="preserve">③</w:t>
      </w:r>
      <w:r>
        <w:rPr>
          <w:rFonts w:hint="eastAsia" w:ascii="宋体" w:hAnsi="宋体"/>
          <w:color w:val="auto"/>
          <w:sz w:val="24"/>
          <w:highlight w:val="none"/>
          <w:u w:val="single"/>
        </w:rPr>
        <w:t xml:space="preserve">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rPr>
          <w:rFonts w:hint="eastAsia" w:ascii="宋体" w:hAnsi="宋体"/>
          <w:color w:val="auto"/>
          <w:sz w:val="24"/>
          <w:highlight w:val="none"/>
        </w:rPr>
        <w:t xml:space="preserve"> </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4、</w:t>
      </w:r>
      <w:r>
        <w:rPr>
          <w:rFonts w:hint="eastAsia" w:ascii="宋体" w:hAnsi="宋体"/>
          <w:b/>
          <w:color w:val="auto"/>
          <w:sz w:val="24"/>
          <w:highlight w:val="none"/>
          <w:u w:val="single"/>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招标期间及合同实施期间，涉及人工工资调整的相关政策性、指导性文件一律不予以执行，承包人在合同价中已充分考虑此风险费用。</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5、招标时暂定（暂估）价格在结算时按实调整。</w:t>
      </w:r>
      <w:r/>
    </w:p>
    <w:p>
      <w:pPr>
        <w:ind w:firstLine="480"/>
        <w:spacing w:line="360" w:lineRule="auto"/>
        <w:rPr>
          <w:rFonts w:ascii="宋体" w:hAnsi="宋体"/>
          <w:color w:val="auto"/>
          <w:sz w:val="24"/>
          <w:highlight w:val="none"/>
          <w:u w:val="single"/>
        </w:rPr>
      </w:pPr>
      <w:r>
        <w:rPr>
          <w:rFonts w:ascii="宋体" w:hAnsi="宋体"/>
          <w:color w:val="auto"/>
          <w:sz w:val="24"/>
          <w:highlight w:val="none"/>
          <w:u w:val="single"/>
        </w:rPr>
        <w:t xml:space="preserve">1)</w:t>
      </w:r>
      <w:r>
        <w:rPr>
          <w:rFonts w:hint="eastAsia" w:ascii="宋体" w:hAnsi="宋体"/>
          <w:color w:val="auto"/>
          <w:sz w:val="24"/>
          <w:highlight w:val="none"/>
          <w:u w:val="single"/>
        </w:rPr>
        <w:t xml:space="preserve">计日工按发包人实际签证确认的事项计算；</w:t>
      </w:r>
      <w:r/>
    </w:p>
    <w:p>
      <w:pPr>
        <w:ind w:firstLine="480"/>
        <w:spacing w:line="360" w:lineRule="auto"/>
        <w:rPr>
          <w:rFonts w:ascii="宋体" w:hAnsi="宋体"/>
          <w:color w:val="auto"/>
          <w:sz w:val="24"/>
          <w:highlight w:val="none"/>
          <w:u w:val="single"/>
        </w:rPr>
      </w:pPr>
      <w:r>
        <w:rPr>
          <w:rFonts w:ascii="宋体" w:hAnsi="宋体"/>
          <w:color w:val="auto"/>
          <w:sz w:val="24"/>
          <w:highlight w:val="none"/>
          <w:u w:val="single"/>
        </w:rPr>
        <w:t xml:space="preserve">2)</w:t>
      </w:r>
      <w:r>
        <w:rPr>
          <w:rFonts w:hint="eastAsia" w:ascii="宋体" w:hAnsi="宋体"/>
          <w:color w:val="auto"/>
          <w:sz w:val="24"/>
          <w:highlight w:val="none"/>
          <w:u w:val="single"/>
        </w:rPr>
        <w:t xml:space="preserve">暂估价中的材料单价按发、承包双方最终确认价在综合单价中调整；</w:t>
      </w:r>
      <w:r/>
    </w:p>
    <w:p>
      <w:pPr>
        <w:ind w:firstLine="480"/>
        <w:spacing w:line="360" w:lineRule="auto"/>
        <w:rPr>
          <w:rFonts w:ascii="宋体" w:hAnsi="宋体"/>
          <w:color w:val="auto"/>
          <w:sz w:val="24"/>
          <w:highlight w:val="none"/>
          <w:u w:val="single"/>
        </w:rPr>
      </w:pPr>
      <w:r>
        <w:rPr>
          <w:rFonts w:ascii="宋体" w:hAnsi="宋体"/>
          <w:color w:val="auto"/>
          <w:sz w:val="24"/>
          <w:highlight w:val="none"/>
          <w:u w:val="single"/>
        </w:rPr>
        <w:t xml:space="preserve">3)</w:t>
      </w:r>
      <w:r>
        <w:rPr>
          <w:rFonts w:hint="eastAsia" w:ascii="宋体" w:hAnsi="宋体"/>
          <w:color w:val="auto"/>
          <w:sz w:val="24"/>
          <w:highlight w:val="none"/>
          <w:u w:val="single"/>
        </w:rPr>
        <w:t xml:space="preserve">专业工程暂估价按专业工程招标中标价或发包人、承包人与分包人最终确认价计算；</w:t>
      </w:r>
      <w:r/>
    </w:p>
    <w:p>
      <w:pPr>
        <w:ind w:firstLine="480"/>
        <w:spacing w:line="360" w:lineRule="auto"/>
        <w:rPr>
          <w:rFonts w:ascii="宋体" w:hAnsi="宋体"/>
          <w:color w:val="auto"/>
          <w:sz w:val="24"/>
          <w:highlight w:val="none"/>
          <w:u w:val="single"/>
        </w:rPr>
      </w:pPr>
      <w:r>
        <w:rPr>
          <w:rFonts w:ascii="宋体" w:hAnsi="宋体"/>
          <w:color w:val="auto"/>
          <w:sz w:val="24"/>
          <w:highlight w:val="none"/>
          <w:u w:val="single"/>
        </w:rPr>
        <w:t xml:space="preserve">4)</w:t>
      </w:r>
      <w:r>
        <w:rPr>
          <w:rFonts w:hint="eastAsia" w:ascii="宋体" w:hAnsi="宋体"/>
          <w:color w:val="auto"/>
          <w:sz w:val="24"/>
          <w:highlight w:val="none"/>
          <w:u w:val="single"/>
        </w:rPr>
        <w:t xml:space="preserve">暂列金额减去工程价款调整与索赔、现场签证金额计算，如有余额归发包人；</w:t>
      </w:r>
      <w:r/>
    </w:p>
    <w:p>
      <w:pPr>
        <w:ind w:firstLine="480"/>
        <w:spacing w:line="360" w:lineRule="auto"/>
        <w:rPr>
          <w:rFonts w:ascii="宋体" w:hAnsi="宋体"/>
          <w:color w:val="auto"/>
          <w:sz w:val="24"/>
          <w:highlight w:val="none"/>
          <w:u w:val="single"/>
        </w:rPr>
      </w:pPr>
      <w:r>
        <w:rPr>
          <w:rFonts w:ascii="宋体" w:hAnsi="宋体"/>
          <w:color w:val="auto"/>
          <w:sz w:val="24"/>
          <w:highlight w:val="none"/>
          <w:u w:val="single"/>
        </w:rPr>
        <w:t xml:space="preserve">5)</w:t>
      </w:r>
      <w:r>
        <w:rPr>
          <w:rFonts w:hint="eastAsia" w:ascii="宋体" w:hAnsi="宋体"/>
          <w:color w:val="auto"/>
          <w:sz w:val="24"/>
          <w:highlight w:val="none"/>
          <w:u w:val="single"/>
        </w:rPr>
        <w:t xml:space="preserve">竣工结算时若承包人完成了发包人所要求的且为合同以外的零星工作或发生非承包人责任事件的工程量按现场实际完成的工程量经发包人签证确定。</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6、总承包</w:t>
      </w:r>
      <w:r>
        <w:rPr>
          <w:rFonts w:ascii="宋体" w:hAnsi="宋体"/>
          <w:color w:val="auto"/>
          <w:sz w:val="24"/>
          <w:highlight w:val="none"/>
          <w:u w:val="single"/>
        </w:rPr>
        <w:t xml:space="preserve">服务费</w:t>
      </w:r>
      <w:r>
        <w:rPr>
          <w:rFonts w:hint="eastAsia" w:ascii="宋体" w:hAnsi="宋体"/>
          <w:color w:val="auto"/>
          <w:sz w:val="24"/>
          <w:highlight w:val="none"/>
          <w:u w:val="single"/>
        </w:rPr>
        <w:t xml:space="preserve">的</w:t>
      </w:r>
      <w:r>
        <w:rPr>
          <w:rFonts w:ascii="宋体" w:hAnsi="宋体"/>
          <w:color w:val="auto"/>
          <w:sz w:val="24"/>
          <w:highlight w:val="none"/>
          <w:u w:val="single"/>
        </w:rPr>
        <w:t xml:space="preserve">约定：本工程不计总承包服务费。</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7、双方约定合同价款不予调整的情形，包括但不仅限于下列情形：</w:t>
      </w:r>
      <w:r/>
    </w:p>
    <w:p>
      <w:pPr>
        <w:ind w:firstLine="480"/>
        <w:spacing w:line="360" w:lineRule="auto"/>
        <w:rPr>
          <w:rFonts w:ascii="宋体" w:hAnsi="宋体"/>
          <w:color w:val="auto"/>
          <w:sz w:val="24"/>
          <w:highlight w:val="none"/>
          <w:u w:val="single"/>
        </w:rPr>
      </w:pPr>
      <w:r>
        <w:rPr>
          <w:rFonts w:ascii="宋体" w:hAnsi="宋体"/>
          <w:color w:val="auto"/>
          <w:sz w:val="24"/>
          <w:highlight w:val="none"/>
          <w:u w:val="single"/>
        </w:rPr>
        <w:t xml:space="preserve">1</w:t>
      </w:r>
      <w:r>
        <w:rPr>
          <w:rFonts w:hint="eastAsia" w:ascii="宋体" w:hAnsi="宋体"/>
          <w:color w:val="auto"/>
          <w:sz w:val="24"/>
          <w:highlight w:val="none"/>
          <w:u w:val="single"/>
        </w:rPr>
        <w:t xml:space="preserve">)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2）承包人原因造成工期延误，延误期间发生的材料价格上涨差额由承包人承担，不予调整；</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3）因承包人自身原因导致的工程变更、返工，造成工程价款增加的，不予调整；</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4）工程签证和变更根据建设主体工程变更和签证有关规定执行；</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5）签证内容不全、与事实不符或不符合技术标准、规范要求、施工常规、正常施工方法及已在招标文件要求计入投标报价范围的不予调整；</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6）不符合工程结算相关的法律、法规、规范性文件规定的价款不予调整。</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8、所有的设计变更均须发包人、设计单位和监理单位三方签字后方可生效；变更的工程量签证均须发包人、承包人和监理单位三方签字后方可生效，未经确认的工程量发包人有权不予结算。</w:t>
      </w:r>
      <w:r/>
    </w:p>
    <w:p>
      <w:pPr>
        <w:ind w:firstLine="480"/>
        <w:jc w:val="left"/>
        <w:spacing w:line="360" w:lineRule="auto"/>
        <w:rPr>
          <w:rFonts w:ascii="宋体" w:hAnsi="宋体" w:cs="宋体"/>
          <w:bCs/>
          <w:color w:val="auto"/>
          <w:sz w:val="24"/>
          <w:highlight w:val="none"/>
          <w:u w:val="single"/>
        </w:rPr>
      </w:pPr>
      <w:r>
        <w:rPr>
          <w:rFonts w:hint="eastAsia" w:ascii="宋体" w:hAnsi="宋体"/>
          <w:color w:val="auto"/>
          <w:sz w:val="24"/>
          <w:highlight w:val="none"/>
          <w:u w:val="single"/>
        </w:rPr>
        <w:t xml:space="preserve">9、</w:t>
      </w:r>
      <w:r>
        <w:rPr>
          <w:rFonts w:hint="eastAsia" w:ascii="宋体" w:hAnsi="宋体" w:cs="宋体"/>
          <w:bCs/>
          <w:color w:val="auto"/>
          <w:sz w:val="24"/>
          <w:highlight w:val="none"/>
          <w:u w:val="single"/>
        </w:rPr>
        <w:t xml:space="preserve">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ind w:firstLine="480"/>
        <w:spacing w:line="360" w:lineRule="auto"/>
        <w:rPr>
          <w:rFonts w:ascii="宋体" w:hAnsi="宋体" w:cs="宋体"/>
          <w:color w:val="auto"/>
          <w:sz w:val="24"/>
          <w:highlight w:val="none"/>
          <w:u w:val="single"/>
        </w:rPr>
      </w:pPr>
      <w:r>
        <w:rPr>
          <w:rFonts w:hint="eastAsia" w:ascii="宋体" w:hAnsi="宋体"/>
          <w:color w:val="auto"/>
          <w:sz w:val="24"/>
          <w:highlight w:val="none"/>
          <w:u w:val="single"/>
        </w:rPr>
        <w:t xml:space="preserve">10、</w:t>
      </w:r>
      <w:r>
        <w:rPr>
          <w:rFonts w:hint="eastAsia" w:ascii="宋体" w:hAnsi="宋体" w:cs="宋体"/>
          <w:color w:val="auto"/>
          <w:sz w:val="24"/>
          <w:highlight w:val="none"/>
          <w:u w:val="single"/>
        </w:rPr>
        <w:t xml:space="preserve">施工便道：投标人在投标报价时应自行充分考虑便道自行建设费用，项目实施过程中关于此项费用</w:t>
      </w:r>
      <w:r>
        <w:rPr>
          <w:rFonts w:hint="eastAsia" w:ascii="宋体" w:hAnsi="宋体"/>
          <w:color w:val="auto"/>
          <w:sz w:val="24"/>
          <w:highlight w:val="none"/>
          <w:u w:val="single"/>
        </w:rPr>
        <w:t xml:space="preserve">发包人</w:t>
      </w:r>
      <w:r>
        <w:rPr>
          <w:rFonts w:hint="eastAsia" w:ascii="宋体" w:hAnsi="宋体" w:cs="宋体"/>
          <w:color w:val="auto"/>
          <w:sz w:val="24"/>
          <w:highlight w:val="none"/>
          <w:u w:val="single"/>
        </w:rPr>
        <w:t xml:space="preserve">也将不予签证。施工便道的具体做法按工程施工及</w:t>
      </w:r>
      <w:r>
        <w:rPr>
          <w:rFonts w:hint="eastAsia" w:ascii="宋体" w:hAnsi="宋体"/>
          <w:color w:val="auto"/>
          <w:sz w:val="24"/>
          <w:highlight w:val="none"/>
          <w:u w:val="single"/>
        </w:rPr>
        <w:t xml:space="preserve">发包人</w:t>
      </w:r>
      <w:r>
        <w:rPr>
          <w:rFonts w:hint="eastAsia" w:ascii="宋体" w:hAnsi="宋体" w:cs="宋体"/>
          <w:color w:val="auto"/>
          <w:sz w:val="24"/>
          <w:highlight w:val="none"/>
          <w:u w:val="single"/>
        </w:rPr>
        <w:t xml:space="preserve">的需求，做到安全文明施工、畅通等的要求。如承包人</w:t>
      </w:r>
      <w:bookmarkStart w:id="617" w:name="page75"/>
      <w:r/>
      <w:bookmarkEnd w:id="617"/>
      <w:r>
        <w:rPr>
          <w:rFonts w:hint="eastAsia" w:ascii="宋体" w:hAnsi="宋体" w:cs="宋体"/>
          <w:color w:val="auto"/>
          <w:sz w:val="24"/>
          <w:highlight w:val="none"/>
          <w:u w:val="single"/>
        </w:rPr>
        <w:t xml:space="preserve">在项目实施过程中不按</w:t>
      </w:r>
      <w:r>
        <w:rPr>
          <w:rFonts w:hint="eastAsia" w:ascii="宋体" w:hAnsi="宋体"/>
          <w:color w:val="auto"/>
          <w:sz w:val="24"/>
          <w:highlight w:val="none"/>
          <w:u w:val="single"/>
        </w:rPr>
        <w:t xml:space="preserve">发包人</w:t>
      </w:r>
      <w:r>
        <w:rPr>
          <w:rFonts w:hint="eastAsia" w:ascii="宋体" w:hAnsi="宋体" w:cs="宋体"/>
          <w:color w:val="auto"/>
          <w:sz w:val="24"/>
          <w:highlight w:val="none"/>
          <w:u w:val="single"/>
        </w:rPr>
        <w:t xml:space="preserve">要求实施，</w:t>
      </w:r>
      <w:r>
        <w:rPr>
          <w:rFonts w:hint="eastAsia" w:ascii="宋体" w:hAnsi="宋体"/>
          <w:color w:val="auto"/>
          <w:sz w:val="24"/>
          <w:highlight w:val="none"/>
          <w:u w:val="single"/>
        </w:rPr>
        <w:t xml:space="preserve">发包人</w:t>
      </w:r>
      <w:r>
        <w:rPr>
          <w:rFonts w:hint="eastAsia" w:ascii="宋体" w:hAnsi="宋体" w:cs="宋体"/>
          <w:color w:val="auto"/>
          <w:sz w:val="24"/>
          <w:highlight w:val="none"/>
          <w:u w:val="single"/>
        </w:rPr>
        <w:t xml:space="preserve">有权要求承包人整改，如承包人拒绝整改，</w:t>
      </w:r>
      <w:r>
        <w:rPr>
          <w:rFonts w:hint="eastAsia" w:ascii="宋体" w:hAnsi="宋体"/>
          <w:color w:val="auto"/>
          <w:sz w:val="24"/>
          <w:highlight w:val="none"/>
          <w:u w:val="single"/>
        </w:rPr>
        <w:t xml:space="preserve">发包人</w:t>
      </w:r>
      <w:r>
        <w:rPr>
          <w:rFonts w:hint="eastAsia" w:ascii="宋体" w:hAnsi="宋体" w:cs="宋体"/>
          <w:color w:val="auto"/>
          <w:sz w:val="24"/>
          <w:highlight w:val="none"/>
          <w:u w:val="single"/>
        </w:rPr>
        <w:t xml:space="preserve">可对本项目的现场安全文明施工措施费费率降低或不计取。</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11、本项目施工过程中遇到的一切地方矛盾及由此发生的费用与发包人无涉，均由承包人自行负责，相关费用已含在合同价中，结算时不调整。</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12、本工程</w:t>
      </w:r>
      <w:r>
        <w:rPr>
          <w:rFonts w:hint="eastAsia" w:ascii="宋体" w:hAnsi="宋体"/>
          <w:color w:val="auto"/>
          <w:sz w:val="24"/>
          <w:highlight w:val="none"/>
          <w:u w:val="single"/>
        </w:rPr>
        <w:t xml:space="preserve">承包人须负责施工现场垃圾清运，垃圾须清运出现场且符合相关主管部门的规定，</w:t>
      </w:r>
      <w:r>
        <w:rPr>
          <w:rFonts w:hint="eastAsia" w:ascii="宋体" w:hAnsi="宋体" w:cs="宋体"/>
          <w:color w:val="auto"/>
          <w:sz w:val="24"/>
          <w:highlight w:val="none"/>
          <w:u w:val="single"/>
        </w:rPr>
        <w:t xml:space="preserve">相关费用已含在合同价中。</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13、承包人应自行勘察现场和充分考虑各类施工难度，合同价中含施工现场的成品保护费；如造成损坏，均由承包人自行实施修复，费用含在合同价中。</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14、施工现场材料的堆放、二次运输以及承包人现场驻地等需由承包人自行考虑，且不得破坏现场已建设完成的设施，如破坏的，均由本工程承包人负责及时修复至原状。上述费用含在合同价中。</w:t>
      </w:r>
      <w:r/>
    </w:p>
    <w:p>
      <w:pPr>
        <w:ind w:firstLine="480"/>
        <w:jc w:val="left"/>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15、本项目发包人、承包人严格按照盐建建筑〔2016〕35号《关于进一步做好建筑施工拖欠农民工工资治理工作的通知》文件要求执行。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2、总价合同。</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总价包含的风险范围：</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风险费用的计算方法：</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风险范围以外合同价格的调整方法：</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3、其他价格方式：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bookmarkStart w:id="618" w:name="_Toc312678042"/>
      <w:r/>
      <w:bookmarkStart w:id="619" w:name="_Toc297123554"/>
      <w:r/>
      <w:bookmarkStart w:id="620" w:name="_Toc304295581"/>
      <w:r/>
      <w:bookmarkStart w:id="621" w:name="_Toc303539161"/>
      <w:r/>
      <w:bookmarkStart w:id="622" w:name="_Toc300935004"/>
      <w:r/>
      <w:bookmarkStart w:id="623" w:name="_Toc297216213"/>
      <w:r/>
      <w:bookmarkStart w:id="624" w:name="_Toc297048393"/>
      <w:r/>
      <w:bookmarkStart w:id="625" w:name="_Toc296503207"/>
      <w:r/>
      <w:bookmarkStart w:id="626" w:name="_Toc296891035"/>
      <w:r/>
      <w:bookmarkStart w:id="627" w:name="_Toc296347206"/>
      <w:r/>
      <w:bookmarkStart w:id="628" w:name="_Toc296346708"/>
      <w:r/>
      <w:bookmarkStart w:id="629" w:name="_Toc296944546"/>
      <w:r/>
      <w:bookmarkStart w:id="630" w:name="_Toc292559412"/>
      <w:r/>
      <w:bookmarkStart w:id="631" w:name="_Toc296891247"/>
      <w:r/>
      <w:bookmarkStart w:id="632" w:name="_Toc292559917"/>
      <w:r/>
      <w:bookmarkStart w:id="633" w:name="_Toc297120507"/>
      <w:r>
        <w:rPr>
          <w:rFonts w:ascii="宋体" w:hAnsi="宋体"/>
          <w:b/>
          <w:bCs/>
          <w:color w:val="auto"/>
          <w:sz w:val="24"/>
          <w:highlight w:val="none"/>
        </w:rPr>
        <w:t xml:space="preserve">12.2 预付款</w:t>
      </w:r>
      <w:bookmarkEnd w:id="618"/>
      <w:r/>
      <w:bookmarkEnd w:id="619"/>
      <w:r/>
      <w:bookmarkEnd w:id="620"/>
      <w:r/>
      <w:bookmarkEnd w:id="621"/>
      <w:r/>
      <w:bookmarkEnd w:id="622"/>
      <w:r/>
      <w:bookmarkEnd w:id="623"/>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12.2.1 预付款的支付</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预付款支付比例或金额：</w:t>
      </w:r>
      <w:r>
        <w:rPr>
          <w:rFonts w:ascii="宋体" w:hAnsi="宋体"/>
          <w:color w:val="auto"/>
          <w:sz w:val="24"/>
          <w:highlight w:val="none"/>
          <w:u w:val="single"/>
        </w:rPr>
        <w:t xml:space="preserve">   </w:t>
      </w:r>
      <w:r>
        <w:rPr>
          <w:rFonts w:hint="eastAsia" w:ascii="宋体" w:hAnsi="宋体" w:cs="仿宋_GB2312"/>
          <w:color w:val="auto"/>
          <w:sz w:val="24"/>
          <w:szCs w:val="22"/>
          <w:highlight w:val="none"/>
          <w:u w:val="single"/>
        </w:rPr>
        <w:t xml:space="preserve">见12.4.1付款周期</w:t>
      </w:r>
      <w:r>
        <w:rPr>
          <w:rFonts w:ascii="宋体" w:hAnsi="宋体" w:cs="仿宋_GB2312"/>
          <w:color w:val="auto"/>
          <w:sz w:val="24"/>
          <w:szCs w:val="22"/>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预付款支付期限：</w:t>
      </w:r>
      <w:r>
        <w:rPr>
          <w:rFonts w:ascii="宋体" w:hAnsi="宋体"/>
          <w:color w:val="auto"/>
          <w:sz w:val="24"/>
          <w:highlight w:val="none"/>
          <w:u w:val="single"/>
        </w:rPr>
        <w:t xml:space="preserve">  </w:t>
      </w:r>
      <w:r>
        <w:rPr>
          <w:rFonts w:hint="eastAsia" w:ascii="宋体" w:hAnsi="宋体" w:cs="仿宋_GB2312"/>
          <w:color w:val="auto"/>
          <w:sz w:val="24"/>
          <w:szCs w:val="22"/>
          <w:highlight w:val="none"/>
          <w:u w:val="single"/>
        </w:rPr>
        <w:t xml:space="preserve">见12.4.1付款周期</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预付款扣回的方式：</w:t>
      </w:r>
      <w:r>
        <w:rPr>
          <w:rFonts w:ascii="宋体" w:hAnsi="宋体"/>
          <w:color w:val="auto"/>
          <w:sz w:val="24"/>
          <w:highlight w:val="none"/>
          <w:u w:val="single"/>
        </w:rPr>
        <w:t xml:space="preserve">  </w:t>
      </w:r>
      <w:r>
        <w:rPr>
          <w:rFonts w:hint="eastAsia" w:ascii="宋体" w:hAnsi="宋体" w:cs="仿宋_GB2312"/>
          <w:color w:val="auto"/>
          <w:sz w:val="24"/>
          <w:szCs w:val="22"/>
          <w:highlight w:val="none"/>
          <w:u w:val="single"/>
        </w:rPr>
        <w:t xml:space="preserve">见12.4.1付款周期</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12.2.2 预付款担保</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承包人提交预付款担保的期限：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预付款担保的形式为：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bookmarkEnd w:id="624"/>
      <w:r/>
      <w:bookmarkEnd w:id="625"/>
      <w:r/>
      <w:bookmarkEnd w:id="626"/>
      <w:r/>
      <w:bookmarkEnd w:id="627"/>
      <w:r/>
      <w:bookmarkEnd w:id="628"/>
      <w:r/>
      <w:bookmarkEnd w:id="629"/>
      <w:r/>
      <w:bookmarkEnd w:id="630"/>
      <w:r/>
      <w:bookmarkEnd w:id="631"/>
      <w:r/>
      <w:bookmarkEnd w:id="632"/>
      <w:r/>
      <w:bookmarkEnd w:id="633"/>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12.3 计量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12.3.1 计量原则</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工程量计算规则：</w:t>
      </w:r>
      <w:r>
        <w:rPr>
          <w:rFonts w:hint="eastAsia" w:ascii="宋体" w:hAnsi="宋体"/>
          <w:color w:val="auto"/>
          <w:sz w:val="24"/>
          <w:highlight w:val="none"/>
          <w:u w:val="single"/>
        </w:rPr>
        <w:t xml:space="preserve">以相关的国家标准、行业标准为依据</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12.3.2 计量周期</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关于计量周期的约定：</w:t>
      </w:r>
      <w:r>
        <w:rPr>
          <w:rFonts w:hint="eastAsia" w:ascii="宋体" w:hAnsi="宋体"/>
          <w:color w:val="auto"/>
          <w:sz w:val="24"/>
          <w:highlight w:val="none"/>
          <w:u w:val="single"/>
        </w:rPr>
        <w:t xml:space="preserve">按形象进度计量。工程竣工验收后提交工程报告，验收不合格的分部分项工程不予计量，不得支付工程款</w:t>
      </w:r>
      <w:r>
        <w:rPr>
          <w:rFonts w:ascii="宋体" w:hAnsi="宋体"/>
          <w:color w:val="auto"/>
          <w:sz w:val="24"/>
          <w:highlight w:val="none"/>
        </w:rPr>
        <w:t xml:space="preserve">。</w:t>
      </w:r>
      <w:r/>
    </w:p>
    <w:p>
      <w:pPr>
        <w:ind w:firstLine="480"/>
        <w:jc w:val="left"/>
        <w:spacing w:line="365" w:lineRule="auto"/>
        <w:rPr>
          <w:rFonts w:ascii="宋体" w:hAnsi="宋体"/>
          <w:color w:val="auto"/>
          <w:sz w:val="24"/>
          <w:highlight w:val="none"/>
        </w:rPr>
      </w:pPr>
      <w:r>
        <w:rPr>
          <w:rFonts w:ascii="宋体" w:hAnsi="宋体"/>
          <w:color w:val="auto"/>
          <w:sz w:val="24"/>
          <w:highlight w:val="none"/>
        </w:rPr>
        <w:t xml:space="preserve">12.3.3 单价合同的计量</w:t>
      </w:r>
      <w:r/>
    </w:p>
    <w:p>
      <w:pPr>
        <w:ind w:firstLine="480"/>
        <w:jc w:val="left"/>
        <w:spacing w:line="365" w:lineRule="auto"/>
        <w:rPr>
          <w:rFonts w:ascii="宋体" w:hAnsi="宋体"/>
          <w:color w:val="auto"/>
          <w:sz w:val="24"/>
          <w:highlight w:val="none"/>
        </w:rPr>
      </w:pPr>
      <w:r>
        <w:rPr>
          <w:rFonts w:ascii="宋体" w:hAnsi="宋体"/>
          <w:color w:val="auto"/>
          <w:sz w:val="24"/>
          <w:highlight w:val="none"/>
        </w:rPr>
        <w:t xml:space="preserve">关于单价合同计量的约定：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5" w:lineRule="auto"/>
        <w:rPr>
          <w:rFonts w:ascii="宋体" w:hAnsi="宋体"/>
          <w:color w:val="auto"/>
          <w:sz w:val="24"/>
          <w:highlight w:val="none"/>
        </w:rPr>
      </w:pPr>
      <w:r>
        <w:rPr>
          <w:rFonts w:ascii="宋体" w:hAnsi="宋体"/>
          <w:color w:val="auto"/>
          <w:sz w:val="24"/>
          <w:highlight w:val="none"/>
        </w:rPr>
        <w:t xml:space="preserve">12.3.4 总价合同的计量</w:t>
      </w:r>
      <w:r/>
    </w:p>
    <w:p>
      <w:pPr>
        <w:ind w:firstLine="480"/>
        <w:jc w:val="left"/>
        <w:spacing w:line="365" w:lineRule="auto"/>
        <w:rPr>
          <w:rFonts w:ascii="宋体" w:hAnsi="宋体"/>
          <w:color w:val="auto"/>
          <w:sz w:val="24"/>
          <w:highlight w:val="none"/>
        </w:rPr>
      </w:pPr>
      <w:r>
        <w:rPr>
          <w:rFonts w:ascii="宋体" w:hAnsi="宋体"/>
          <w:color w:val="auto"/>
          <w:sz w:val="24"/>
          <w:highlight w:val="none"/>
        </w:rPr>
        <w:t xml:space="preserve">关于总价合同计量的约定：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5" w:lineRule="auto"/>
        <w:rPr>
          <w:rFonts w:ascii="宋体" w:hAnsi="宋体"/>
          <w:color w:val="auto"/>
          <w:sz w:val="24"/>
          <w:highlight w:val="none"/>
        </w:rPr>
      </w:pPr>
      <w:r>
        <w:rPr>
          <w:rFonts w:ascii="宋体" w:hAnsi="宋体"/>
          <w:color w:val="auto"/>
          <w:sz w:val="24"/>
          <w:highlight w:val="none"/>
        </w:rPr>
        <w:t xml:space="preserve">12.3.5总价合同采用支付分解表计量支付的，是否适用第12.3.4 项</w:t>
      </w:r>
      <w:r>
        <w:rPr>
          <w:rFonts w:hint="eastAsia" w:ascii="宋体" w:hAnsi="宋体"/>
          <w:color w:val="auto"/>
          <w:sz w:val="24"/>
          <w:highlight w:val="none"/>
        </w:rPr>
        <w:t xml:space="preserve">〔</w:t>
      </w:r>
      <w:r>
        <w:rPr>
          <w:rFonts w:ascii="宋体" w:hAnsi="宋体"/>
          <w:color w:val="auto"/>
          <w:sz w:val="24"/>
          <w:highlight w:val="none"/>
        </w:rPr>
        <w:t xml:space="preserve">总价合同的计量</w:t>
      </w:r>
      <w:r>
        <w:rPr>
          <w:rFonts w:hint="eastAsia" w:ascii="宋体" w:hAnsi="宋体"/>
          <w:color w:val="auto"/>
          <w:sz w:val="24"/>
          <w:highlight w:val="none"/>
        </w:rPr>
        <w:t xml:space="preserve">〕</w:t>
      </w:r>
      <w:r>
        <w:rPr>
          <w:rFonts w:ascii="宋体" w:hAnsi="宋体"/>
          <w:color w:val="auto"/>
          <w:sz w:val="24"/>
          <w:highlight w:val="none"/>
        </w:rPr>
        <w:t xml:space="preserve">约定</w:t>
      </w:r>
      <w:r>
        <w:rPr>
          <w:rFonts w:hint="eastAsia" w:ascii="宋体" w:hAnsi="宋体"/>
          <w:color w:val="auto"/>
          <w:sz w:val="24"/>
          <w:highlight w:val="none"/>
        </w:rPr>
        <w:t xml:space="preserve">进行计量：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rPr>
        <w:t xml:space="preserve">。</w:t>
      </w:r>
      <w:r/>
    </w:p>
    <w:p>
      <w:pPr>
        <w:ind w:firstLine="480"/>
        <w:jc w:val="left"/>
        <w:spacing w:line="365" w:lineRule="auto"/>
        <w:rPr>
          <w:rFonts w:ascii="宋体" w:hAnsi="宋体"/>
          <w:color w:val="auto"/>
          <w:sz w:val="24"/>
          <w:highlight w:val="none"/>
        </w:rPr>
      </w:pPr>
      <w:r>
        <w:rPr>
          <w:rFonts w:ascii="宋体" w:hAnsi="宋体"/>
          <w:color w:val="auto"/>
          <w:sz w:val="24"/>
          <w:highlight w:val="none"/>
        </w:rPr>
        <w:t xml:space="preserve">12.3.6 其他价格形式合同的计量</w:t>
      </w:r>
      <w:r/>
    </w:p>
    <w:p>
      <w:pPr>
        <w:ind w:firstLine="480"/>
        <w:jc w:val="left"/>
        <w:spacing w:line="365" w:lineRule="auto"/>
        <w:rPr>
          <w:rFonts w:ascii="宋体" w:hAnsi="宋体"/>
          <w:color w:val="auto"/>
          <w:sz w:val="24"/>
          <w:highlight w:val="none"/>
        </w:rPr>
      </w:pPr>
      <w:r>
        <w:rPr>
          <w:rFonts w:ascii="宋体" w:hAnsi="宋体"/>
          <w:color w:val="auto"/>
          <w:sz w:val="24"/>
          <w:highlight w:val="none"/>
        </w:rPr>
        <w:t xml:space="preserve">其他价格形式的计量方式和程序：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2"/>
        <w:keepLines/>
        <w:keepNext/>
        <w:spacing w:line="365" w:lineRule="auto"/>
        <w:rPr>
          <w:rFonts w:ascii="宋体" w:hAnsi="宋体"/>
          <w:b/>
          <w:bCs/>
          <w:color w:val="auto"/>
          <w:sz w:val="24"/>
          <w:highlight w:val="none"/>
        </w:rPr>
        <w:outlineLvl w:val="4"/>
      </w:pPr>
      <w:r>
        <w:rPr>
          <w:rFonts w:ascii="宋体" w:hAnsi="宋体"/>
          <w:b/>
          <w:bCs/>
          <w:color w:val="auto"/>
          <w:sz w:val="24"/>
          <w:highlight w:val="none"/>
        </w:rPr>
        <w:t xml:space="preserve">12.4 工程进度款支付</w:t>
      </w:r>
      <w:r/>
    </w:p>
    <w:p>
      <w:pPr>
        <w:ind w:firstLine="480"/>
        <w:jc w:val="left"/>
        <w:spacing w:line="360" w:lineRule="auto"/>
        <w:rPr>
          <w:rFonts w:ascii="宋体" w:hAnsi="宋体"/>
          <w:color w:val="auto"/>
          <w:sz w:val="24"/>
          <w:highlight w:val="none"/>
        </w:rPr>
      </w:pPr>
      <w:r/>
      <w:bookmarkStart w:id="634" w:name="_Toc297120511"/>
      <w:r/>
      <w:bookmarkStart w:id="635" w:name="_Toc296503211"/>
      <w:r/>
      <w:bookmarkStart w:id="636" w:name="_Toc297216215"/>
      <w:r/>
      <w:bookmarkStart w:id="637" w:name="_Toc303539163"/>
      <w:r/>
      <w:bookmarkStart w:id="638" w:name="_Toc296944550"/>
      <w:r/>
      <w:bookmarkStart w:id="639" w:name="_Toc296346712"/>
      <w:r/>
      <w:bookmarkStart w:id="640" w:name="_Toc297123556"/>
      <w:r/>
      <w:bookmarkStart w:id="641" w:name="_Toc296347210"/>
      <w:r/>
      <w:bookmarkStart w:id="642" w:name="_Toc300935006"/>
      <w:r/>
      <w:bookmarkStart w:id="643" w:name="_Toc297048397"/>
      <w:r/>
      <w:bookmarkStart w:id="644" w:name="_Toc292559416"/>
      <w:r/>
      <w:bookmarkStart w:id="645" w:name="_Toc296891039"/>
      <w:r/>
      <w:bookmarkStart w:id="646" w:name="_Toc292559921"/>
      <w:r/>
      <w:bookmarkStart w:id="647" w:name="_Toc296891251"/>
      <w:r>
        <w:rPr>
          <w:rFonts w:ascii="宋体" w:hAnsi="宋体"/>
          <w:color w:val="auto"/>
          <w:sz w:val="24"/>
          <w:highlight w:val="none"/>
        </w:rPr>
        <w:t xml:space="preserve">12.4.1 付款周期</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关于付款周期的约定：</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工程款指合同价(即中标价) 扣除暂列金额、专业工程暂估价、发包人供应材料设备价格及上述三项的规费和税金后的工程价款。具体付款幅度如下:</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（1）双方签订合同后，发包人在收到承包人提供的发票后10个工作日内支付合同价</w:t>
      </w:r>
      <w:r>
        <w:rPr>
          <w:rFonts w:ascii="宋体" w:hAnsi="宋体"/>
          <w:b/>
          <w:bCs/>
          <w:color w:val="auto"/>
          <w:sz w:val="24"/>
          <w:highlight w:val="none"/>
        </w:rPr>
        <w:t xml:space="preserve">(不含暂列金额及暂估价及其规费、税金</w:t>
      </w:r>
      <w:r>
        <w:rPr>
          <w:rFonts w:hint="eastAsia" w:ascii="宋体" w:hAnsi="宋体"/>
          <w:b/>
          <w:bCs/>
          <w:color w:val="auto"/>
          <w:sz w:val="24"/>
          <w:highlight w:val="none"/>
        </w:rPr>
        <w:t xml:space="preserve">)的10%为预付款，工程竣工验收合格且承包人提供全额增值税专用发票后，发包人支付至合同价的</w:t>
      </w:r>
      <w:r>
        <w:rPr>
          <w:rFonts w:hint="eastAsia" w:ascii="宋体" w:hAnsi="宋体"/>
          <w:b/>
          <w:bCs/>
          <w:color w:val="auto"/>
          <w:sz w:val="24"/>
          <w:highlight w:val="none"/>
          <w:lang w:val="en-US" w:eastAsia="zh-CN"/>
        </w:rPr>
        <w:t xml:space="preserve">60</w:t>
      </w:r>
      <w:r>
        <w:rPr>
          <w:rFonts w:hint="eastAsia" w:ascii="宋体" w:hAnsi="宋体"/>
          <w:b/>
          <w:bCs/>
          <w:color w:val="auto"/>
          <w:sz w:val="24"/>
          <w:highlight w:val="none"/>
        </w:rPr>
        <w:t xml:space="preserve">%。同时发包人退还履约保证金； </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（2）工程竣工验收合格</w:t>
      </w:r>
      <w:r>
        <w:rPr>
          <w:rFonts w:hint="eastAsia" w:ascii="宋体" w:hAnsi="宋体"/>
          <w:b/>
          <w:bCs/>
          <w:color w:val="auto"/>
          <w:sz w:val="24"/>
          <w:highlight w:val="none"/>
          <w:lang w:val="en-US" w:eastAsia="zh-CN"/>
        </w:rPr>
        <w:t xml:space="preserve">且</w:t>
      </w:r>
      <w:r>
        <w:rPr>
          <w:rFonts w:hint="eastAsia" w:ascii="宋体" w:hAnsi="宋体"/>
          <w:b/>
          <w:bCs/>
          <w:color w:val="auto"/>
          <w:sz w:val="24"/>
          <w:highlight w:val="none"/>
        </w:rPr>
        <w:t xml:space="preserve">经相关审计结束后，付至最终审定工程款的90%；余款待质保期满后结清。施工合同中约定的质量保修责任及发生的相关费用由本工程的承包人承担。 </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（3）以上付款均不计任何利息和相关费用，每一次付款承包人须按发包人要求提供等额增值税发票，经发包人审核且财政资金到位后支付相应款项。</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u w:val="single"/>
        </w:rPr>
        <w:t xml:space="preserve">注：</w:t>
      </w:r>
      <w:r>
        <w:rPr>
          <w:rFonts w:hint="eastAsia" w:ascii="宋体" w:hAnsi="宋体" w:cs="宋体"/>
          <w:color w:val="auto"/>
          <w:szCs w:val="21"/>
          <w:highlight w:val="none"/>
          <w:u w:val="single"/>
        </w:rPr>
        <w:t xml:space="preserve">（1）本工程价款一律通过银行非现金结算，工程款汇入企业基本帐户，实行专款专用。本项目合同计税方法采用增值税一般计税方法，承包人须提供相应的增值税发票。按以上付款进度，无任何利息补偿。</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农民工工资确保支付方式：严格落实农民工工资专用</w:t>
      </w:r>
      <w:r>
        <w:rPr>
          <w:rFonts w:hint="eastAsia" w:ascii="宋体" w:hAnsi="宋体" w:cs="宋体"/>
          <w:color w:val="auto"/>
          <w:szCs w:val="21"/>
          <w:highlight w:val="none"/>
        </w:rPr>
        <w:t xml:space="preserve">账</w:t>
      </w:r>
      <w:r>
        <w:rPr>
          <w:rFonts w:ascii="宋体" w:hAnsi="宋体" w:cs="宋体"/>
          <w:color w:val="auto"/>
          <w:szCs w:val="21"/>
          <w:highlight w:val="none"/>
        </w:rPr>
        <w:t xml:space="preserve">户制度，施工企业项目开工前，按规定开设农民工工资专用</w:t>
      </w:r>
      <w:r>
        <w:rPr>
          <w:rFonts w:hint="eastAsia" w:ascii="宋体" w:hAnsi="宋体" w:cs="宋体"/>
          <w:color w:val="auto"/>
          <w:szCs w:val="21"/>
          <w:highlight w:val="none"/>
        </w:rPr>
        <w:t xml:space="preserve">账</w:t>
      </w:r>
      <w:r>
        <w:rPr>
          <w:rFonts w:ascii="宋体" w:hAnsi="宋体" w:cs="宋体"/>
          <w:color w:val="auto"/>
          <w:szCs w:val="21"/>
          <w:highlight w:val="none"/>
        </w:rPr>
        <w:t xml:space="preserve">户，建设单位按工程施工合同约定向农民工工资专用</w:t>
      </w:r>
      <w:r>
        <w:rPr>
          <w:rFonts w:hint="eastAsia" w:ascii="宋体" w:hAnsi="宋体" w:cs="宋体"/>
          <w:color w:val="auto"/>
          <w:szCs w:val="21"/>
          <w:highlight w:val="none"/>
        </w:rPr>
        <w:t xml:space="preserve">账</w:t>
      </w:r>
      <w:r>
        <w:rPr>
          <w:rFonts w:ascii="宋体" w:hAnsi="宋体" w:cs="宋体"/>
          <w:color w:val="auto"/>
          <w:szCs w:val="21"/>
          <w:highlight w:val="none"/>
        </w:rPr>
        <w:t xml:space="preserve">户存入不低于进度款20%的资金，应发工资高于进度款20%的，则按照实际工资数额存入工资专户</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对未及时支付农民工工资的施工企业，发包人应当书面报告给招投标监管部门和建设行政主管部门。</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本项目发包人要求承包人严格按照苏人社规【2022】3 号、苏人社规【2022】4 号以及盐住建建筑（2021）56 号文件要求的关于农民工工资相关约定执行。</w:t>
      </w:r>
      <w:r/>
    </w:p>
    <w:p>
      <w:pPr>
        <w:ind w:firstLine="420"/>
        <w:spacing w:line="360" w:lineRule="auto"/>
        <w:rPr>
          <w:rFonts w:ascii="宋体" w:hAnsi="宋体" w:cs="宋体"/>
          <w:b/>
          <w:bCs/>
          <w:color w:val="auto"/>
          <w:szCs w:val="21"/>
          <w:highlight w:val="none"/>
        </w:rPr>
      </w:pPr>
      <w:r>
        <w:rPr>
          <w:rFonts w:ascii="宋体" w:hAnsi="宋体" w:cs="宋体"/>
          <w:color w:val="auto"/>
          <w:szCs w:val="21"/>
          <w:highlight w:val="none"/>
        </w:rPr>
        <w:t xml:space="preserve">合同签订时，经采购人与中标人根据实际情况协商一致，</w:t>
      </w:r>
      <w:r>
        <w:rPr>
          <w:rFonts w:hint="eastAsia" w:ascii="宋体" w:hAnsi="宋体" w:cs="宋体"/>
          <w:color w:val="auto"/>
          <w:szCs w:val="21"/>
          <w:highlight w:val="none"/>
        </w:rPr>
        <w:t xml:space="preserve">发包人在收到承包人提供的发票后10个工作日内支付合同价(不含暂列金额及暂估价及其规费、税金)的10%为预付款</w:t>
      </w:r>
      <w:r>
        <w:rPr>
          <w:rFonts w:ascii="宋体" w:hAnsi="宋体" w:cs="宋体"/>
          <w:color w:val="auto"/>
          <w:szCs w:val="21"/>
          <w:highlight w:val="none"/>
        </w:rPr>
        <w:t xml:space="preserve">；供应商明确表示无需预付款或者主动要求降低预付款比例的由双方另行商定。</w:t>
      </w:r>
      <w:r/>
    </w:p>
    <w:p>
      <w:pPr>
        <w:ind w:firstLine="42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（2）在发包人支付工程款前 7 个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本工程提交审计时，承包人应在发包人约定的时间内完成资料整理，并积极配合，要求资料齐全、计算准确，不得虚报，要求与审计价差距不得超出5%。</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（1）若承包人的结算报审价与最终审定价≤5%，审计费由发包人承担。</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r/>
    </w:p>
    <w:p>
      <w:pPr>
        <w:ind w:firstLine="42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2.本工程竣工验收后，乙方应按照《关于印发&lt;市直学校基建修缮工程项目审计监督制度&gt;的通知》（盐教审[2005]5号）和《关于进一步加强市直学校基建维修工程项目审计工作的通知》（盐教审[2012]5号）要求，整理相关资料，确保资料真实齐全、计算准确，并在规定时间内提交审计。</w:t>
      </w:r>
      <w:r/>
    </w:p>
    <w:p>
      <w:pPr>
        <w:ind w:firstLine="42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3.本工程采用增值税一般计税方式。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12.4.2 进度付款申请单的编制</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关于进度付款申请单编制的约定：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Pr>
          <w:rFonts w:ascii="宋体" w:hAnsi="宋体"/>
          <w:color w:val="auto"/>
          <w:sz w:val="24"/>
          <w:highlight w:val="none"/>
        </w:rPr>
        <w:t xml:space="preserve">2.4.3 进度付款申请单的提交</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（1）单价合同进度付款申请单提交的约定</w:t>
      </w:r>
      <w:r>
        <w:rPr>
          <w:rFonts w:hint="eastAsia"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（2）总价合同进度付款申请单提交的约定</w:t>
      </w:r>
      <w:r>
        <w:rPr>
          <w:rFonts w:hint="eastAsia"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（3）其他价格形式合同进度付款申请单提交的约定：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12.4.4 进度款审核和支付</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（1）监理人审查并报送发包人的期限：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发包人完成审批并签发进度款支付证书的期限：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（2）发包人支付进度款的期限：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600"/>
        <w:jc w:val="left"/>
        <w:spacing w:line="360" w:lineRule="auto"/>
        <w:rPr>
          <w:rFonts w:ascii="宋体" w:hAnsi="宋体"/>
          <w:color w:val="auto"/>
          <w:sz w:val="24"/>
          <w:highlight w:val="none"/>
        </w:rPr>
      </w:pPr>
      <w:r>
        <w:rPr>
          <w:rFonts w:ascii="宋体" w:hAnsi="宋体"/>
          <w:color w:val="auto"/>
          <w:sz w:val="24"/>
          <w:highlight w:val="none"/>
        </w:rPr>
        <w:t xml:space="preserve">发包人逾期支付进度款的违约金的计算方式：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600"/>
        <w:jc w:val="left"/>
        <w:spacing w:line="360" w:lineRule="auto"/>
        <w:rPr>
          <w:rFonts w:ascii="宋体" w:hAnsi="宋体"/>
          <w:color w:val="auto"/>
          <w:sz w:val="24"/>
          <w:highlight w:val="none"/>
        </w:rPr>
      </w:pPr>
      <w:r>
        <w:rPr>
          <w:rFonts w:ascii="宋体" w:hAnsi="宋体"/>
          <w:color w:val="auto"/>
          <w:sz w:val="24"/>
          <w:highlight w:val="none"/>
        </w:rPr>
        <w:t xml:space="preserve">12.4.6 支付分解表的编制</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2、总价合同支付分解表的编制与审批：</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3、单价合同的总价项目支付分解表的编制与审批：</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bookmarkEnd w:id="476"/>
      <w:r/>
      <w:r/>
    </w:p>
    <w:p>
      <w:pPr>
        <w:ind w:firstLine="480"/>
        <w:keepLines/>
        <w:keepNext/>
        <w:spacing w:line="360" w:lineRule="auto"/>
        <w:rPr>
          <w:rFonts w:ascii="宋体" w:hAnsi="宋体"/>
          <w:bCs/>
          <w:color w:val="auto"/>
          <w:sz w:val="24"/>
          <w:highlight w:val="none"/>
        </w:rPr>
        <w:outlineLvl w:val="3"/>
      </w:pPr>
      <w:r/>
      <w:bookmarkStart w:id="648" w:name="_Toc304295593"/>
      <w:r/>
      <w:bookmarkStart w:id="649" w:name="_Toc297120519"/>
      <w:r/>
      <w:bookmarkStart w:id="650" w:name="_Toc351203645"/>
      <w:r/>
      <w:bookmarkStart w:id="651" w:name="_Toc312678053"/>
      <w:r/>
      <w:bookmarkStart w:id="652" w:name="_Toc300935015"/>
      <w:r/>
      <w:bookmarkStart w:id="653" w:name="_Toc292559424"/>
      <w:r/>
      <w:bookmarkStart w:id="654" w:name="_Toc297216223"/>
      <w:r/>
      <w:bookmarkStart w:id="655" w:name="_Toc292559929"/>
      <w:r/>
      <w:bookmarkStart w:id="656" w:name="_Toc296891047"/>
      <w:r/>
      <w:bookmarkStart w:id="657" w:name="_Toc296346720"/>
      <w:r/>
      <w:bookmarkStart w:id="658" w:name="_Toc296891259"/>
      <w:r/>
      <w:bookmarkStart w:id="659" w:name="_Toc303539172"/>
      <w:r/>
      <w:bookmarkStart w:id="660" w:name="_Toc296944558"/>
      <w:r/>
      <w:bookmarkStart w:id="661" w:name="_Toc296503219"/>
      <w:r/>
      <w:bookmarkStart w:id="662" w:name="_Toc297048405"/>
      <w:r/>
      <w:bookmarkStart w:id="663" w:name="_Toc297123564"/>
      <w:r/>
      <w:bookmarkStart w:id="664" w:name="_Toc296347218"/>
      <w:r>
        <w:rPr>
          <w:rFonts w:ascii="宋体" w:hAnsi="宋体"/>
          <w:bCs/>
          <w:color w:val="auto"/>
          <w:sz w:val="24"/>
          <w:highlight w:val="none"/>
        </w:rPr>
        <w:t xml:space="preserve">13.</w:t>
      </w:r>
      <w:r>
        <w:rPr>
          <w:rFonts w:hint="eastAsia" w:ascii="宋体" w:hAnsi="宋体"/>
          <w:bCs/>
          <w:color w:val="auto"/>
          <w:sz w:val="24"/>
          <w:highlight w:val="none"/>
        </w:rPr>
        <w:t xml:space="preserve"> </w:t>
      </w:r>
      <w:r>
        <w:rPr>
          <w:rFonts w:ascii="宋体" w:hAnsi="宋体"/>
          <w:bCs/>
          <w:color w:val="auto"/>
          <w:sz w:val="24"/>
          <w:highlight w:val="none"/>
        </w:rPr>
        <w:t xml:space="preserve">验收和工程试车</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13.1 分部分项工程验收</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13.1.2监理人不能按时进行验收时，应提前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24</w:t>
      </w:r>
      <w:r>
        <w:rPr>
          <w:rFonts w:ascii="宋体" w:hAnsi="宋体"/>
          <w:color w:val="auto"/>
          <w:sz w:val="24"/>
          <w:highlight w:val="none"/>
          <w:u w:val="single"/>
        </w:rPr>
        <w:t xml:space="preserve"> </w:t>
      </w:r>
      <w:r>
        <w:rPr>
          <w:rFonts w:ascii="宋体" w:hAnsi="宋体"/>
          <w:color w:val="auto"/>
          <w:sz w:val="24"/>
          <w:highlight w:val="none"/>
        </w:rPr>
        <w:t xml:space="preserve">小时提交书面延期要求。</w:t>
      </w:r>
      <w:r/>
    </w:p>
    <w:p>
      <w:pPr>
        <w:ind w:firstLine="480"/>
        <w:jc w:val="left"/>
        <w:spacing w:line="360" w:lineRule="auto"/>
        <w:rPr>
          <w:rFonts w:ascii="宋体" w:hAnsi="宋体"/>
          <w:b/>
          <w:color w:val="auto"/>
          <w:sz w:val="24"/>
          <w:highlight w:val="none"/>
        </w:rPr>
      </w:pPr>
      <w:r>
        <w:rPr>
          <w:rFonts w:ascii="宋体" w:hAnsi="宋体"/>
          <w:color w:val="auto"/>
          <w:sz w:val="24"/>
          <w:highlight w:val="none"/>
        </w:rPr>
        <w:t xml:space="preserve">关于延期最长不得超过：</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48</w:t>
      </w:r>
      <w:r>
        <w:rPr>
          <w:rFonts w:ascii="宋体" w:hAnsi="宋体"/>
          <w:color w:val="auto"/>
          <w:sz w:val="24"/>
          <w:highlight w:val="none"/>
          <w:u w:val="single"/>
        </w:rPr>
        <w:t xml:space="preserve"> </w:t>
      </w:r>
      <w:r>
        <w:rPr>
          <w:rFonts w:ascii="宋体" w:hAnsi="宋体"/>
          <w:color w:val="auto"/>
          <w:sz w:val="24"/>
          <w:highlight w:val="none"/>
        </w:rPr>
        <w:t xml:space="preserve">小时。</w:t>
      </w:r>
      <w:r/>
    </w:p>
    <w:p>
      <w:pPr>
        <w:ind w:firstLine="482"/>
        <w:keepLines/>
        <w:keepNext/>
        <w:spacing w:line="360" w:lineRule="auto"/>
        <w:rPr>
          <w:rFonts w:ascii="宋体" w:hAnsi="宋体"/>
          <w:b/>
          <w:bCs/>
          <w:color w:val="auto"/>
          <w:sz w:val="24"/>
          <w:highlight w:val="none"/>
        </w:rPr>
        <w:outlineLvl w:val="4"/>
      </w:pPr>
      <w:r/>
      <w:bookmarkStart w:id="665" w:name="_Toc312678056"/>
      <w:r/>
      <w:bookmarkStart w:id="666" w:name="_Toc296347222"/>
      <w:r/>
      <w:bookmarkStart w:id="667" w:name="_Toc297216224"/>
      <w:r/>
      <w:bookmarkStart w:id="668" w:name="_Toc303539173"/>
      <w:r/>
      <w:bookmarkStart w:id="669" w:name="_Toc292559428"/>
      <w:r/>
      <w:bookmarkStart w:id="670" w:name="_Toc296346724"/>
      <w:r/>
      <w:bookmarkStart w:id="671" w:name="_Toc297048409"/>
      <w:r/>
      <w:bookmarkStart w:id="672" w:name="_Toc296944562"/>
      <w:r/>
      <w:bookmarkStart w:id="673" w:name="_Toc300935016"/>
      <w:r/>
      <w:bookmarkStart w:id="674" w:name="_Toc296503223"/>
      <w:r/>
      <w:bookmarkStart w:id="675" w:name="_Toc297120523"/>
      <w:r/>
      <w:bookmarkStart w:id="676" w:name="_Toc296891263"/>
      <w:r/>
      <w:bookmarkStart w:id="677" w:name="_Toc296891051"/>
      <w:r/>
      <w:bookmarkStart w:id="678" w:name="_Toc292559933"/>
      <w:r/>
      <w:bookmarkStart w:id="679" w:name="_Toc297123565"/>
      <w:r/>
      <w:bookmarkStart w:id="680" w:name="_Toc304295596"/>
      <w:r/>
      <w:bookmarkStart w:id="681" w:name="_Toc267251476"/>
      <w:r/>
      <w:bookmarkStart w:id="682" w:name="_Toc267251475"/>
      <w:r/>
      <w:bookmarkStart w:id="683" w:name="_Toc267251471"/>
      <w:r/>
      <w:bookmarkStart w:id="684" w:name="_Toc267251472"/>
      <w:r/>
      <w:bookmarkStart w:id="685" w:name="_Toc267251470"/>
      <w:r/>
      <w:bookmarkStart w:id="686" w:name="_Toc267251473"/>
      <w:r/>
      <w:bookmarkStart w:id="687" w:name="_Toc267251474"/>
      <w:r>
        <w:rPr>
          <w:rFonts w:ascii="宋体" w:hAnsi="宋体"/>
          <w:b/>
          <w:bCs/>
          <w:color w:val="auto"/>
          <w:sz w:val="24"/>
          <w:highlight w:val="none"/>
        </w:rPr>
        <w:t xml:space="preserve">13.2 竣工验收</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
    </w:p>
    <w:p>
      <w:pPr>
        <w:ind w:firstLine="480"/>
        <w:jc w:val="left"/>
        <w:spacing w:line="360" w:lineRule="auto"/>
        <w:rPr>
          <w:rFonts w:ascii="宋体" w:hAnsi="宋体"/>
          <w:color w:val="auto"/>
          <w:sz w:val="24"/>
          <w:highlight w:val="none"/>
        </w:rPr>
      </w:pPr>
      <w:r/>
      <w:bookmarkStart w:id="688" w:name="_Toc280868704"/>
      <w:r/>
      <w:bookmarkStart w:id="689" w:name="_Toc280868705"/>
      <w:r/>
      <w:bookmarkStart w:id="690" w:name="_Toc280868706"/>
      <w:r/>
      <w:bookmarkStart w:id="691" w:name="_Toc280868707"/>
      <w:r/>
      <w:bookmarkStart w:id="692" w:name="_Toc280868708"/>
      <w:r/>
      <w:bookmarkStart w:id="693" w:name="_Toc280868709"/>
      <w:r>
        <w:rPr>
          <w:rFonts w:ascii="宋体" w:hAnsi="宋体"/>
          <w:color w:val="auto"/>
          <w:sz w:val="24"/>
          <w:highlight w:val="none"/>
        </w:rPr>
        <w:t xml:space="preserve">13.2.2竣工验收程序</w:t>
      </w:r>
      <w:bookmarkEnd w:id="688"/>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关于竣工验收程序的约定：</w:t>
      </w:r>
      <w:r>
        <w:rPr>
          <w:rFonts w:hint="eastAsia" w:ascii="宋体" w:hAnsi="宋体"/>
          <w:color w:val="auto"/>
          <w:sz w:val="24"/>
          <w:highlight w:val="none"/>
          <w:u w:val="single"/>
        </w:rPr>
        <w:t xml:space="preserve">按通用条款</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发包人不按照本项约定组织竣工验收、颁发工程接收证书的违约金的计算方法：</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bookmarkEnd w:id="689"/>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13.2.5移交、接收全部与部分工程</w:t>
      </w:r>
      <w:bookmarkEnd w:id="690"/>
      <w:r/>
      <w:bookmarkEnd w:id="691"/>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color w:val="auto"/>
          <w:sz w:val="24"/>
          <w:highlight w:val="none"/>
          <w:u w:val="single"/>
        </w:rPr>
        <w:t xml:space="preserve">按通用条款</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36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承包人未按时移交工程的，违约金的计算方法为：</w:t>
      </w:r>
      <w:r>
        <w:rPr>
          <w:rFonts w:hint="eastAsia" w:ascii="宋体" w:hAnsi="宋体"/>
          <w:color w:val="auto"/>
          <w:sz w:val="24"/>
          <w:highlight w:val="none"/>
          <w:u w:val="single"/>
        </w:rPr>
        <w:t xml:space="preserve">承包人如竣工验收合格后不按时移交的，按工程竣工结算总价的2%计算</w:t>
      </w:r>
      <w:r>
        <w:rPr>
          <w:rFonts w:ascii="宋体" w:hAnsi="宋体"/>
          <w:color w:val="auto"/>
          <w:sz w:val="24"/>
          <w:highlight w:val="none"/>
          <w:u w:val="singl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13.3 工程试车</w:t>
      </w:r>
      <w:bookmarkEnd w:id="692"/>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13.3.1 试车程序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工程试车内容：</w:t>
      </w:r>
      <w:r>
        <w:rPr>
          <w:rFonts w:hint="eastAsia" w:ascii="宋体" w:hAnsi="宋体"/>
          <w:color w:val="auto"/>
          <w:sz w:val="24"/>
          <w:highlight w:val="none"/>
          <w:u w:val="single"/>
        </w:rPr>
        <w:t xml:space="preserve">按通用条款</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（1）单机无负荷试车费用由</w:t>
      </w:r>
      <w:r>
        <w:rPr>
          <w:rFonts w:hint="eastAsia" w:ascii="宋体" w:hAnsi="宋体"/>
          <w:color w:val="auto"/>
          <w:sz w:val="24"/>
          <w:highlight w:val="none"/>
          <w:u w:val="single"/>
        </w:rPr>
        <w:t xml:space="preserve">承包人</w:t>
      </w:r>
      <w:r>
        <w:rPr>
          <w:rFonts w:hint="eastAsia" w:ascii="宋体" w:hAnsi="宋体" w:cs="宋体"/>
          <w:color w:val="auto"/>
          <w:sz w:val="24"/>
          <w:highlight w:val="none"/>
        </w:rPr>
        <w:t xml:space="preserve">承担；</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（2）无负荷联动试车费用由</w:t>
      </w:r>
      <w:r>
        <w:rPr>
          <w:rFonts w:hint="eastAsia" w:ascii="宋体" w:hAnsi="宋体"/>
          <w:color w:val="auto"/>
          <w:sz w:val="24"/>
          <w:highlight w:val="none"/>
          <w:u w:val="single"/>
        </w:rPr>
        <w:t xml:space="preserve">承包人</w:t>
      </w:r>
      <w:r>
        <w:rPr>
          <w:rFonts w:hint="eastAsia" w:ascii="宋体" w:hAnsi="宋体" w:cs="宋体"/>
          <w:color w:val="auto"/>
          <w:sz w:val="24"/>
          <w:highlight w:val="none"/>
        </w:rPr>
        <w:t xml:space="preserve">承担</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13.3.3 投料试车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关于投料试车相关事项的约定：</w:t>
      </w:r>
      <w:r>
        <w:rPr>
          <w:rFonts w:hint="eastAsia" w:ascii="宋体" w:hAnsi="宋体"/>
          <w:color w:val="auto"/>
          <w:sz w:val="24"/>
          <w:highlight w:val="none"/>
          <w:u w:val="single"/>
        </w:rPr>
        <w:t xml:space="preserve">按通用条款</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13.6 竣工退场</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13.6.1 竣工退场</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承包人完成竣工退场的期限：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颁发工程接收证书后7天内完成工程的移交并退场</w:t>
      </w:r>
      <w:r>
        <w:rPr>
          <w:rFonts w:ascii="宋体" w:hAnsi="宋体"/>
          <w:color w:val="auto"/>
          <w:sz w:val="24"/>
          <w:highlight w:val="none"/>
        </w:rPr>
        <w:t xml:space="preserve">。</w:t>
      </w:r>
      <w:r/>
    </w:p>
    <w:p>
      <w:pPr>
        <w:ind w:firstLine="480"/>
        <w:keepLines/>
        <w:keepNext/>
        <w:spacing w:line="360" w:lineRule="auto"/>
        <w:rPr>
          <w:rFonts w:ascii="宋体" w:hAnsi="宋体"/>
          <w:bCs/>
          <w:color w:val="auto"/>
          <w:sz w:val="24"/>
          <w:highlight w:val="none"/>
        </w:rPr>
        <w:outlineLvl w:val="3"/>
      </w:pPr>
      <w:r/>
      <w:bookmarkStart w:id="694" w:name="_Toc351203646"/>
      <w:r>
        <w:rPr>
          <w:rFonts w:ascii="宋体" w:hAnsi="宋体"/>
          <w:bCs/>
          <w:color w:val="auto"/>
          <w:sz w:val="24"/>
          <w:highlight w:val="none"/>
        </w:rPr>
        <w:t xml:space="preserve">14. 竣工结算</w:t>
      </w:r>
      <w:bookmarkEnd w:id="694"/>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14.1 竣工</w:t>
      </w:r>
      <w:r>
        <w:rPr>
          <w:rFonts w:hint="eastAsia" w:ascii="宋体" w:hAnsi="宋体"/>
          <w:b/>
          <w:bCs/>
          <w:color w:val="auto"/>
          <w:sz w:val="24"/>
          <w:highlight w:val="none"/>
        </w:rPr>
        <w:t xml:space="preserve">结算</w:t>
      </w:r>
      <w:r>
        <w:rPr>
          <w:rFonts w:ascii="宋体" w:hAnsi="宋体"/>
          <w:b/>
          <w:bCs/>
          <w:color w:val="auto"/>
          <w:sz w:val="24"/>
          <w:highlight w:val="none"/>
        </w:rPr>
        <w:t xml:space="preserve">申请</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承包人提交竣工</w:t>
      </w:r>
      <w:r>
        <w:rPr>
          <w:rFonts w:hint="eastAsia" w:ascii="宋体" w:hAnsi="宋体"/>
          <w:color w:val="auto"/>
          <w:sz w:val="24"/>
          <w:highlight w:val="none"/>
        </w:rPr>
        <w:t xml:space="preserve">结算</w:t>
      </w:r>
      <w:r>
        <w:rPr>
          <w:rFonts w:ascii="宋体" w:hAnsi="宋体"/>
          <w:color w:val="auto"/>
          <w:sz w:val="24"/>
          <w:highlight w:val="none"/>
        </w:rPr>
        <w:t xml:space="preserve">申请单的期限：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竣工</w:t>
      </w:r>
      <w:r>
        <w:rPr>
          <w:rFonts w:hint="eastAsia" w:ascii="宋体" w:hAnsi="宋体"/>
          <w:color w:val="auto"/>
          <w:sz w:val="24"/>
          <w:highlight w:val="none"/>
        </w:rPr>
        <w:t xml:space="preserve">结算</w:t>
      </w:r>
      <w:r>
        <w:rPr>
          <w:rFonts w:ascii="宋体" w:hAnsi="宋体"/>
          <w:color w:val="auto"/>
          <w:sz w:val="24"/>
          <w:highlight w:val="none"/>
        </w:rPr>
        <w:t xml:space="preserve">申请单应包括的内容：</w:t>
      </w:r>
      <w:r>
        <w:rPr>
          <w:rFonts w:hint="eastAsia" w:ascii="宋体" w:hAnsi="宋体"/>
          <w:color w:val="auto"/>
          <w:sz w:val="24"/>
          <w:highlight w:val="none"/>
          <w:u w:val="single"/>
        </w:rPr>
        <w:t xml:space="preserve">除通用条款约定外，还包括施工图、竣工资料等原件，要求随竣工结算申请单一同提交发包人</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14.2 竣工结算审核</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olor w:val="auto"/>
          <w:sz w:val="24"/>
          <w:highlight w:val="none"/>
          <w:u w:val="single"/>
        </w:rPr>
        <w:t xml:space="preserve">按照通用条款</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发包人完成竣工付款的期限：</w:t>
      </w:r>
      <w:r>
        <w:rPr>
          <w:rFonts w:hint="eastAsia" w:ascii="宋体" w:hAnsi="宋体"/>
          <w:color w:val="auto"/>
          <w:sz w:val="24"/>
          <w:highlight w:val="none"/>
          <w:u w:val="single"/>
        </w:rPr>
        <w:t xml:space="preserve">按付款约定</w:t>
      </w:r>
      <w:r>
        <w:rPr>
          <w:rFonts w:hint="eastAsia" w:ascii="宋体" w:hAnsi="宋体" w:cs="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关于竣工付款证书异议部分复核的方式和程序：</w:t>
      </w:r>
      <w:r>
        <w:rPr>
          <w:rFonts w:hint="eastAsia" w:ascii="宋体" w:hAnsi="宋体"/>
          <w:color w:val="auto"/>
          <w:sz w:val="24"/>
          <w:highlight w:val="none"/>
          <w:u w:val="single"/>
        </w:rPr>
        <w:t xml:space="preserve">  /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14.4 最终结清</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14.4.1 最终结清申请单</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承包人提交最终结清申请单的份数：</w:t>
      </w:r>
      <w:r>
        <w:rPr>
          <w:rFonts w:hint="eastAsia" w:ascii="宋体" w:hAnsi="宋体"/>
          <w:color w:val="auto"/>
          <w:sz w:val="24"/>
          <w:highlight w:val="none"/>
          <w:u w:val="single"/>
        </w:rPr>
        <w:t xml:space="preserve">按发包人要求</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承包人提交最终结算申请单的期限：</w:t>
      </w:r>
      <w:r>
        <w:rPr>
          <w:rFonts w:ascii="宋体" w:hAnsi="宋体"/>
          <w:color w:val="auto"/>
          <w:sz w:val="24"/>
          <w:highlight w:val="none"/>
          <w:u w:val="single"/>
        </w:rPr>
        <w:t xml:space="preserve">            </w:t>
      </w:r>
      <w:r>
        <w:rPr>
          <w:rFonts w:ascii="宋体" w:hAnsi="宋体"/>
          <w:color w:val="auto"/>
          <w:sz w:val="24"/>
          <w:highlight w:val="none"/>
        </w:rPr>
        <w:t xml:space="preserve">。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14.4.2 最终结清证书和支付</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（1）发包人完成最终结清申请单的审批并颁发最终结清证书的期限：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681"/>
      <w:r/>
      <w:bookmarkEnd w:id="682"/>
      <w:r/>
      <w:bookmarkEnd w:id="683"/>
      <w:r/>
      <w:bookmarkEnd w:id="684"/>
      <w:r/>
      <w:bookmarkEnd w:id="685"/>
      <w:r/>
      <w:bookmarkEnd w:id="686"/>
      <w:r/>
      <w:bookmarkEnd w:id="687"/>
      <w:r/>
      <w:bookmarkEnd w:id="693"/>
      <w:r/>
      <w:r/>
    </w:p>
    <w:p>
      <w:pPr>
        <w:ind w:firstLine="480"/>
        <w:keepLines/>
        <w:keepNext/>
        <w:spacing w:line="360" w:lineRule="auto"/>
        <w:rPr>
          <w:rFonts w:ascii="宋体" w:hAnsi="宋体"/>
          <w:bCs/>
          <w:color w:val="auto"/>
          <w:sz w:val="24"/>
          <w:highlight w:val="none"/>
        </w:rPr>
        <w:outlineLvl w:val="3"/>
      </w:pPr>
      <w:r/>
      <w:bookmarkStart w:id="695" w:name="_Toc351203647"/>
      <w:r/>
      <w:bookmarkStart w:id="696" w:name="_Toc267251483"/>
      <w:r/>
      <w:bookmarkStart w:id="697" w:name="_Toc267251482"/>
      <w:r/>
      <w:bookmarkStart w:id="698" w:name="_Toc267251484"/>
      <w:r/>
      <w:bookmarkStart w:id="699" w:name="_Toc267251485"/>
      <w:r/>
      <w:bookmarkStart w:id="700" w:name="_Toc267251489"/>
      <w:r/>
      <w:bookmarkStart w:id="701" w:name="_Toc267251486"/>
      <w:r/>
      <w:bookmarkStart w:id="702" w:name="_Toc267251488"/>
      <w:r/>
      <w:bookmarkStart w:id="703" w:name="_Toc267251490"/>
      <w:r/>
      <w:bookmarkStart w:id="704" w:name="_Toc267251503"/>
      <w:r/>
      <w:bookmarkStart w:id="705" w:name="_Toc267251493"/>
      <w:r/>
      <w:bookmarkStart w:id="706" w:name="_Toc267251492"/>
      <w:r/>
      <w:bookmarkStart w:id="707" w:name="_Toc267251502"/>
      <w:r/>
      <w:bookmarkStart w:id="708" w:name="_Toc267251494"/>
      <w:r/>
      <w:bookmarkStart w:id="709" w:name="_Toc267251506"/>
      <w:r/>
      <w:bookmarkStart w:id="710" w:name="_Toc267251497"/>
      <w:r/>
      <w:bookmarkStart w:id="711" w:name="_Toc267251504"/>
      <w:r/>
      <w:bookmarkStart w:id="712" w:name="_Toc267251499"/>
      <w:r/>
      <w:bookmarkStart w:id="713" w:name="_Toc267251496"/>
      <w:r/>
      <w:bookmarkStart w:id="714" w:name="_Toc267251491"/>
      <w:r/>
      <w:bookmarkStart w:id="715" w:name="_Toc267251495"/>
      <w:r/>
      <w:bookmarkStart w:id="716" w:name="_Toc267251501"/>
      <w:r/>
      <w:bookmarkStart w:id="717" w:name="_Toc267251507"/>
      <w:r/>
      <w:bookmarkStart w:id="718" w:name="_Toc267251498"/>
      <w:r/>
      <w:bookmarkStart w:id="719" w:name="_Toc267251508"/>
      <w:r/>
      <w:bookmarkStart w:id="720" w:name="_Toc267251514"/>
      <w:r/>
      <w:bookmarkStart w:id="721" w:name="_Toc267251509"/>
      <w:r/>
      <w:bookmarkStart w:id="722" w:name="_Toc267251511"/>
      <w:r/>
      <w:bookmarkStart w:id="723" w:name="_Toc267251510"/>
      <w:r/>
      <w:bookmarkStart w:id="724" w:name="_Toc267251513"/>
      <w:r/>
      <w:bookmarkStart w:id="725" w:name="_Toc267251515"/>
      <w:r>
        <w:rPr>
          <w:rFonts w:ascii="宋体" w:hAnsi="宋体"/>
          <w:bCs/>
          <w:color w:val="auto"/>
          <w:sz w:val="24"/>
          <w:highlight w:val="none"/>
        </w:rPr>
        <w:t xml:space="preserve">15. 缺陷责任期与保修</w:t>
      </w:r>
      <w:bookmarkEnd w:id="695"/>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15.2缺陷责任期</w:t>
      </w:r>
      <w:bookmarkEnd w:id="696"/>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缺陷责任期的具体期限：</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自项目竣工验收合格之日起24个月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15.3 质量保证金</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15.3.1 </w:t>
      </w:r>
      <w:r>
        <w:rPr>
          <w:rFonts w:hint="eastAsia" w:ascii="宋体" w:hAnsi="宋体"/>
          <w:color w:val="auto"/>
          <w:sz w:val="24"/>
          <w:highlight w:val="none"/>
        </w:rPr>
        <w:t xml:space="preserve">承包人提供</w:t>
      </w:r>
      <w:r>
        <w:rPr>
          <w:rFonts w:ascii="宋体" w:hAnsi="宋体"/>
          <w:color w:val="auto"/>
          <w:sz w:val="24"/>
          <w:highlight w:val="none"/>
        </w:rPr>
        <w:t xml:space="preserve">质量保证金的</w:t>
      </w:r>
      <w:r>
        <w:rPr>
          <w:rFonts w:hint="eastAsia" w:ascii="宋体" w:hAnsi="宋体"/>
          <w:color w:val="auto"/>
          <w:sz w:val="24"/>
          <w:highlight w:val="none"/>
        </w:rPr>
        <w:t xml:space="preserve">方</w:t>
      </w:r>
      <w:r>
        <w:rPr>
          <w:rFonts w:ascii="宋体" w:hAnsi="宋体"/>
          <w:color w:val="auto"/>
          <w:sz w:val="24"/>
          <w:highlight w:val="none"/>
        </w:rPr>
        <w:t xml:space="preserve">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质量保证金采用以下第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（3）</w:t>
      </w:r>
      <w:r>
        <w:rPr>
          <w:rFonts w:ascii="宋体" w:hAnsi="宋体"/>
          <w:color w:val="auto"/>
          <w:sz w:val="24"/>
          <w:highlight w:val="none"/>
          <w:u w:val="single"/>
        </w:rPr>
        <w:t xml:space="preserve">  </w:t>
      </w:r>
      <w:r>
        <w:rPr>
          <w:rFonts w:ascii="宋体" w:hAnsi="宋体"/>
          <w:color w:val="auto"/>
          <w:sz w:val="24"/>
          <w:highlight w:val="none"/>
        </w:rPr>
        <w:t xml:space="preserve">种方式：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（1）质量保证金保函，保证金额为：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s="宋体"/>
          <w:color w:val="auto"/>
          <w:sz w:val="24"/>
          <w:highlight w:val="none"/>
          <w:u w:val="single"/>
        </w:rPr>
        <w:t xml:space="preserve"> 3 </w:t>
      </w:r>
      <w:r>
        <w:rPr>
          <w:rFonts w:ascii="宋体" w:hAnsi="宋体"/>
          <w:color w:val="auto"/>
          <w:sz w:val="24"/>
          <w:highlight w:val="none"/>
        </w:rPr>
        <w:t xml:space="preserve">%的工程款；</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（3）其他</w:t>
      </w:r>
      <w:r>
        <w:rPr>
          <w:rFonts w:hint="eastAsia" w:ascii="宋体" w:hAnsi="宋体"/>
          <w:color w:val="auto"/>
          <w:sz w:val="24"/>
          <w:highlight w:val="none"/>
        </w:rPr>
        <w:t xml:space="preserve">方</w:t>
      </w:r>
      <w:r>
        <w:rPr>
          <w:rFonts w:ascii="宋体" w:hAnsi="宋体"/>
          <w:color w:val="auto"/>
          <w:sz w:val="24"/>
          <w:highlight w:val="none"/>
        </w:rPr>
        <w:t xml:space="preserve">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按第12.4条约定执行</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15.3.2 质量保证金的扣留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质量保证金的扣留采取以下第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种方式：</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（2）工程竣工结算时一次性扣留质量保证金；</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（3）其他扣留方式:</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关于质量保证金的补充约定：</w:t>
      </w:r>
      <w:r>
        <w:rPr>
          <w:rFonts w:hint="eastAsia" w:ascii="宋体" w:hAnsi="宋体"/>
          <w:color w:val="auto"/>
          <w:sz w:val="24"/>
          <w:highlight w:val="none"/>
          <w:u w:val="single"/>
        </w:rPr>
        <w:t xml:space="preserve">在缺陷责任期内，因承包人原因造成工程缺陷、损坏的，承包人未能及时修复的，发包人可直接委托第三方修复，所需费用由承包人承担，缺陷责任期满将剩余部分质保金退还承包人</w:t>
      </w:r>
      <w:r>
        <w:rPr>
          <w:rFonts w:ascii="宋体" w:hAnsi="宋体"/>
          <w:color w:val="auto"/>
          <w:sz w:val="24"/>
          <w:highlight w:val="none"/>
        </w:rPr>
        <w:t xml:space="preserve">。</w:t>
      </w:r>
      <w:bookmarkEnd w:id="697"/>
      <w:r/>
      <w:bookmarkEnd w:id="698"/>
      <w:r/>
      <w:r/>
    </w:p>
    <w:p>
      <w:pPr>
        <w:ind w:firstLine="482"/>
        <w:keepLines/>
        <w:keepNext/>
        <w:spacing w:line="360" w:lineRule="auto"/>
        <w:rPr>
          <w:rFonts w:ascii="宋体" w:hAnsi="宋体"/>
          <w:bCs/>
          <w:color w:val="auto"/>
          <w:sz w:val="24"/>
          <w:highlight w:val="none"/>
        </w:rPr>
        <w:outlineLvl w:val="4"/>
      </w:pPr>
      <w:r>
        <w:rPr>
          <w:rFonts w:ascii="宋体" w:hAnsi="宋体"/>
          <w:bCs/>
          <w:color w:val="auto"/>
          <w:sz w:val="24"/>
          <w:highlight w:val="none"/>
        </w:rPr>
        <w:t xml:space="preserve">15.4保修</w:t>
      </w:r>
      <w:bookmarkEnd w:id="699"/>
      <w:r/>
      <w:r/>
    </w:p>
    <w:p>
      <w:pPr>
        <w:ind w:firstLine="468"/>
        <w:jc w:val="left"/>
        <w:spacing w:line="360" w:lineRule="auto"/>
        <w:rPr>
          <w:rFonts w:ascii="宋体" w:hAnsi="宋体"/>
          <w:color w:val="auto"/>
          <w:sz w:val="24"/>
          <w:highlight w:val="none"/>
        </w:rPr>
      </w:pPr>
      <w:r>
        <w:rPr>
          <w:rFonts w:ascii="宋体" w:hAnsi="宋体"/>
          <w:color w:val="auto"/>
          <w:sz w:val="24"/>
          <w:highlight w:val="none"/>
        </w:rPr>
        <w:t xml:space="preserve">15.4.1 保修责任</w:t>
      </w:r>
      <w:r/>
    </w:p>
    <w:p>
      <w:pPr>
        <w:ind w:firstLine="468"/>
        <w:jc w:val="left"/>
        <w:spacing w:line="360" w:lineRule="auto"/>
        <w:rPr>
          <w:rFonts w:ascii="宋体" w:hAnsi="宋体"/>
          <w:color w:val="auto"/>
          <w:sz w:val="24"/>
          <w:highlight w:val="none"/>
        </w:rPr>
      </w:pPr>
      <w:r>
        <w:rPr>
          <w:rFonts w:ascii="宋体" w:hAnsi="宋体"/>
          <w:color w:val="auto"/>
          <w:sz w:val="24"/>
          <w:highlight w:val="none"/>
        </w:rPr>
        <w:t xml:space="preserve">工程保修期为：</w:t>
      </w:r>
      <w:r>
        <w:rPr>
          <w:rFonts w:hint="eastAsia" w:ascii="宋体" w:hAnsi="宋体"/>
          <w:color w:val="auto"/>
          <w:sz w:val="24"/>
          <w:highlight w:val="none"/>
          <w:u w:val="single"/>
        </w:rPr>
        <w:t xml:space="preserve">见工程质量保修书</w:t>
      </w:r>
      <w:r>
        <w:rPr>
          <w:rFonts w:ascii="宋体" w:hAnsi="宋体"/>
          <w:color w:val="auto"/>
          <w:sz w:val="24"/>
          <w:highlight w:val="none"/>
        </w:rPr>
        <w:t xml:space="preserve">。</w:t>
      </w:r>
      <w:r/>
    </w:p>
    <w:p>
      <w:pPr>
        <w:ind w:firstLine="468"/>
        <w:jc w:val="left"/>
        <w:spacing w:line="360" w:lineRule="auto"/>
        <w:rPr>
          <w:rFonts w:ascii="宋体" w:hAnsi="宋体"/>
          <w:color w:val="auto"/>
          <w:sz w:val="24"/>
          <w:highlight w:val="none"/>
        </w:rPr>
      </w:pPr>
      <w:r>
        <w:rPr>
          <w:rFonts w:ascii="宋体" w:hAnsi="宋体"/>
          <w:color w:val="auto"/>
          <w:sz w:val="24"/>
          <w:highlight w:val="none"/>
        </w:rPr>
        <w:t xml:space="preserve">15.4.3 修复通知</w:t>
      </w:r>
      <w:r/>
    </w:p>
    <w:p>
      <w:pPr>
        <w:ind w:firstLine="468"/>
        <w:jc w:val="left"/>
        <w:spacing w:line="360" w:lineRule="auto"/>
        <w:rPr>
          <w:rFonts w:ascii="宋体" w:hAnsi="宋体"/>
          <w:color w:val="auto"/>
          <w:sz w:val="24"/>
          <w:highlight w:val="none"/>
        </w:rPr>
      </w:pPr>
      <w:r>
        <w:rPr>
          <w:rFonts w:ascii="宋体" w:hAnsi="宋体"/>
          <w:color w:val="auto"/>
          <w:sz w:val="24"/>
          <w:highlight w:val="none"/>
        </w:rPr>
        <w:t xml:space="preserve">承包人收到保修通知并到达工程现场的合理时间：</w:t>
      </w:r>
      <w:r>
        <w:rPr>
          <w:rFonts w:hint="eastAsia" w:ascii="宋体" w:hAnsi="宋体"/>
          <w:color w:val="auto"/>
          <w:sz w:val="24"/>
          <w:highlight w:val="none"/>
          <w:u w:val="single"/>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700"/>
      <w:r/>
      <w:bookmarkEnd w:id="701"/>
      <w:r/>
      <w:bookmarkEnd w:id="702"/>
      <w:r/>
      <w:bookmarkEnd w:id="703"/>
      <w:r/>
      <w:r/>
    </w:p>
    <w:p>
      <w:pPr>
        <w:ind w:firstLine="482"/>
        <w:keepLines/>
        <w:keepNext/>
        <w:spacing w:line="360" w:lineRule="auto"/>
        <w:rPr>
          <w:rFonts w:ascii="宋体" w:hAnsi="宋体"/>
          <w:b/>
          <w:bCs/>
          <w:color w:val="auto"/>
          <w:sz w:val="24"/>
          <w:highlight w:val="none"/>
        </w:rPr>
        <w:outlineLvl w:val="3"/>
      </w:pPr>
      <w:r/>
      <w:bookmarkStart w:id="726" w:name="_Toc351203648"/>
      <w:r/>
      <w:bookmarkStart w:id="727" w:name="_Toc280868717"/>
      <w:r/>
      <w:bookmarkStart w:id="728" w:name="_Toc280868718"/>
      <w:r>
        <w:rPr>
          <w:rFonts w:ascii="宋体" w:hAnsi="宋体"/>
          <w:b/>
          <w:bCs/>
          <w:color w:val="auto"/>
          <w:sz w:val="24"/>
          <w:highlight w:val="none"/>
        </w:rPr>
        <w:t xml:space="preserve">16. 违约</w:t>
      </w:r>
      <w:bookmarkEnd w:id="726"/>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16.1 发包人违约</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16.1.1发包人违约的情形</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发包人违约的其他情形：</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left="1200" w:hanging="1200"/>
        <w:jc w:val="left"/>
        <w:spacing w:line="360" w:lineRule="auto"/>
        <w:rPr>
          <w:rFonts w:ascii="宋体" w:hAnsi="宋体"/>
          <w:color w:val="auto"/>
          <w:sz w:val="24"/>
          <w:highlight w:val="none"/>
        </w:rPr>
      </w:pPr>
      <w:r>
        <w:rPr>
          <w:rFonts w:ascii="宋体" w:hAnsi="宋体"/>
          <w:color w:val="auto"/>
          <w:sz w:val="24"/>
          <w:highlight w:val="none"/>
        </w:rPr>
        <w:t xml:space="preserve">    16.1.2 发包人违约的责任</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发包人违约责任的承担方式和计算方法：</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（1）因发包人原因未能在计划开工日期前7天内下达开工通知的违约责任：</w:t>
      </w:r>
      <w:r>
        <w:rPr>
          <w:rFonts w:hint="eastAsia" w:ascii="宋体" w:hAnsi="宋体"/>
          <w:color w:val="auto"/>
          <w:sz w:val="24"/>
          <w:highlight w:val="none"/>
          <w:u w:val="single"/>
        </w:rPr>
        <w:t xml:space="preserve">按通用条款</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（2）因发包人原因未能按合同约定支付合同价款的违约责任：</w:t>
      </w:r>
      <w:r>
        <w:rPr>
          <w:rFonts w:hint="eastAsia" w:ascii="宋体" w:hAnsi="宋体"/>
          <w:color w:val="auto"/>
          <w:sz w:val="24"/>
          <w:highlight w:val="none"/>
          <w:u w:val="single"/>
        </w:rPr>
        <w:t xml:space="preserve"> 由发承包双方商定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（3）发包人违反第10.1款</w:t>
      </w:r>
      <w:r>
        <w:rPr>
          <w:rFonts w:hint="eastAsia" w:ascii="宋体" w:hAnsi="宋体"/>
          <w:color w:val="auto"/>
          <w:sz w:val="24"/>
          <w:highlight w:val="none"/>
        </w:rPr>
        <w:t xml:space="preserve">〔</w:t>
      </w:r>
      <w:r>
        <w:rPr>
          <w:rFonts w:ascii="宋体" w:hAnsi="宋体"/>
          <w:color w:val="auto"/>
          <w:sz w:val="24"/>
          <w:highlight w:val="none"/>
        </w:rPr>
        <w:t xml:space="preserve">变更的范围</w:t>
      </w:r>
      <w:r>
        <w:rPr>
          <w:rFonts w:hint="eastAsia" w:ascii="宋体" w:hAnsi="宋体"/>
          <w:color w:val="auto"/>
          <w:sz w:val="24"/>
          <w:highlight w:val="none"/>
        </w:rPr>
        <w:t xml:space="preserve">〕</w:t>
      </w:r>
      <w:r>
        <w:rPr>
          <w:rFonts w:ascii="宋体" w:hAnsi="宋体"/>
          <w:color w:val="auto"/>
          <w:sz w:val="24"/>
          <w:highlight w:val="none"/>
        </w:rPr>
        <w:t xml:space="preserve">第（2）项约定，自行实施被取消的工作或转由他人实施的违约责任：</w:t>
      </w:r>
      <w:r>
        <w:rPr>
          <w:rFonts w:hint="eastAsia" w:ascii="宋体" w:hAnsi="宋体"/>
          <w:color w:val="auto"/>
          <w:sz w:val="24"/>
          <w:highlight w:val="none"/>
          <w:u w:val="single"/>
        </w:rPr>
        <w:t xml:space="preserve"> 由发承包双方商定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auto"/>
          <w:sz w:val="24"/>
          <w:highlight w:val="none"/>
          <w:u w:val="single"/>
        </w:rPr>
        <w:t xml:space="preserve"> 由发承包双方商定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（5）因发包人违反合同约定造成暂停施工的违约责任：</w:t>
      </w:r>
      <w:r>
        <w:rPr>
          <w:rFonts w:hint="eastAsia" w:ascii="宋体" w:hAnsi="宋体"/>
          <w:color w:val="auto"/>
          <w:sz w:val="24"/>
          <w:highlight w:val="none"/>
          <w:u w:val="single"/>
        </w:rPr>
        <w:t xml:space="preserve"> 由发承包双方商定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（6）发包人无正当理由没有在约定期限内发出复工指示，导致承包人无法复工的违约责任：</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按通用条款</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其他：</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16.1.3 因发包人违约解除合同</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承包人按16.1.1项</w:t>
      </w:r>
      <w:r>
        <w:rPr>
          <w:rFonts w:hint="eastAsia" w:ascii="宋体" w:hAnsi="宋体"/>
          <w:color w:val="auto"/>
          <w:sz w:val="24"/>
          <w:highlight w:val="none"/>
        </w:rPr>
        <w:t xml:space="preserve">〔</w:t>
      </w:r>
      <w:r>
        <w:rPr>
          <w:rFonts w:ascii="宋体" w:hAnsi="宋体"/>
          <w:color w:val="auto"/>
          <w:sz w:val="24"/>
          <w:highlight w:val="none"/>
        </w:rPr>
        <w:t xml:space="preserve">发包人违约的情形</w:t>
      </w:r>
      <w:r>
        <w:rPr>
          <w:rFonts w:hint="eastAsia" w:ascii="宋体" w:hAnsi="宋体"/>
          <w:color w:val="auto"/>
          <w:sz w:val="24"/>
          <w:highlight w:val="none"/>
        </w:rPr>
        <w:t xml:space="preserve">〕</w:t>
      </w:r>
      <w:r>
        <w:rPr>
          <w:rFonts w:ascii="宋体" w:hAnsi="宋体"/>
          <w:color w:val="auto"/>
          <w:sz w:val="24"/>
          <w:highlight w:val="none"/>
        </w:rPr>
        <w:t xml:space="preserve">约定暂停施工满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天后发包人仍不纠正其违约行为并致使合同目的不能实现的，承包人有权解除合同。</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16.2 承包人违约</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16.2.1 承包人违约的情形</w:t>
      </w:r>
      <w:r/>
    </w:p>
    <w:p>
      <w:pPr>
        <w:ind w:firstLine="420"/>
        <w:spacing w:line="360" w:lineRule="auto"/>
        <w:rPr>
          <w:rFonts w:ascii="宋体" w:hAnsi="宋体"/>
          <w:color w:val="auto"/>
          <w:sz w:val="24"/>
          <w:highlight w:val="none"/>
          <w:u w:val="single"/>
        </w:rPr>
      </w:pPr>
      <w:r>
        <w:rPr>
          <w:rFonts w:ascii="宋体" w:hAnsi="宋体"/>
          <w:color w:val="auto"/>
          <w:sz w:val="24"/>
          <w:highlight w:val="none"/>
        </w:rPr>
        <w:t xml:space="preserve">承包人违约的其他情形：</w:t>
      </w:r>
      <w:r>
        <w:rPr>
          <w:rFonts w:hint="eastAsia" w:ascii="宋体" w:hAnsi="宋体"/>
          <w:color w:val="auto"/>
          <w:sz w:val="24"/>
          <w:highlight w:val="none"/>
          <w:u w:val="single"/>
        </w:rPr>
        <w:t xml:space="preserve">（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16.2.2承包人违约的责任</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承包人违约责任的承担方式和计算方法：</w:t>
      </w:r>
      <w:r>
        <w:rPr>
          <w:rFonts w:hint="eastAsia" w:ascii="宋体" w:hAnsi="宋体"/>
          <w:color w:val="auto"/>
          <w:sz w:val="24"/>
          <w:highlight w:val="none"/>
          <w:u w:val="single"/>
        </w:rPr>
        <w:t xml:space="preserve">由承包人承担全部责任并承担相关费用</w:t>
      </w:r>
      <w:r>
        <w:rPr>
          <w:rFonts w:ascii="宋体" w:hAnsi="宋体"/>
          <w:color w:val="auto"/>
          <w:sz w:val="24"/>
          <w:highlight w:val="none"/>
        </w:rPr>
        <w:t xml:space="preserve">。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16.2.3 因承包人违约解除合同</w:t>
      </w:r>
      <w:r/>
    </w:p>
    <w:p>
      <w:pPr>
        <w:ind w:firstLine="480"/>
        <w:spacing w:line="360" w:lineRule="auto"/>
        <w:rPr>
          <w:rFonts w:ascii="宋体" w:hAnsi="宋体"/>
          <w:color w:val="auto"/>
          <w:sz w:val="24"/>
          <w:highlight w:val="none"/>
          <w:u w:val="single"/>
        </w:rPr>
      </w:pPr>
      <w:r>
        <w:rPr>
          <w:rFonts w:ascii="宋体" w:hAnsi="宋体"/>
          <w:color w:val="auto"/>
          <w:sz w:val="24"/>
          <w:highlight w:val="none"/>
        </w:rPr>
        <w:t xml:space="preserve">关于承包人违约解除合同的特别约定：</w:t>
      </w:r>
      <w:r>
        <w:rPr>
          <w:rFonts w:hint="eastAsia" w:ascii="宋体" w:hAnsi="宋体"/>
          <w:color w:val="auto"/>
          <w:sz w:val="24"/>
          <w:highlight w:val="none"/>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① 不同意本工程合同条件；</w:t>
      </w:r>
      <w:r/>
    </w:p>
    <w:p>
      <w:pPr>
        <w:ind w:firstLine="360"/>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②停工或拖延施工进度或影响施工质量；</w:t>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③无正当理由，单方面要挟发包人提高合同价款；</w:t>
      </w:r>
      <w:r/>
    </w:p>
    <w:p>
      <w:pPr>
        <w:ind w:firstLine="480"/>
        <w:spacing w:line="360" w:lineRule="auto"/>
        <w:rPr>
          <w:rFonts w:ascii="宋体" w:hAnsi="宋体"/>
          <w:color w:val="auto"/>
          <w:sz w:val="24"/>
          <w:highlight w:val="none"/>
        </w:rPr>
      </w:pPr>
      <w:r>
        <w:rPr>
          <w:rFonts w:hint="eastAsia" w:ascii="宋体" w:hAnsi="宋体"/>
          <w:color w:val="auto"/>
          <w:sz w:val="24"/>
          <w:highlight w:val="none"/>
          <w:u w:val="single"/>
        </w:rPr>
        <w:t xml:space="preserve">④无正当理由，单方面要挟发包人给予某种补偿</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发包人</w:t>
      </w:r>
      <w:r>
        <w:rPr>
          <w:rFonts w:hint="eastAsia" w:ascii="宋体" w:hAnsi="宋体"/>
          <w:color w:val="auto"/>
          <w:sz w:val="24"/>
          <w:highlight w:val="none"/>
        </w:rPr>
        <w:t xml:space="preserve">继续</w:t>
      </w:r>
      <w:r>
        <w:rPr>
          <w:rFonts w:ascii="宋体" w:hAnsi="宋体"/>
          <w:color w:val="auto"/>
          <w:sz w:val="24"/>
          <w:highlight w:val="none"/>
        </w:rPr>
        <w:t xml:space="preserve">使用承包人在施工现场的材料、设备、临时工程、承包人文件和由承包人或以其名义编制的其他文件</w:t>
      </w:r>
      <w:r>
        <w:rPr>
          <w:rFonts w:hint="eastAsia" w:ascii="宋体" w:hAnsi="宋体"/>
          <w:color w:val="auto"/>
          <w:sz w:val="24"/>
          <w:highlight w:val="none"/>
        </w:rPr>
        <w:t xml:space="preserve">的费用承担方式</w:t>
      </w:r>
      <w:r>
        <w:rPr>
          <w:rFonts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无</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如承包人出现下列情况之一，发包人有权立即解除合同: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(1)承包人违反法律法规或合同约定，情节严重的;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(2)承包人擅自将合同的主要部分转包或违法分包的;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(3)承包人有欺诈、严重违约或严重违法行为，致使发包人无法继续履行合同的;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(4)承包人因资金困难等原因导致无法继续履行合同的。</w:t>
      </w:r>
      <w:r/>
    </w:p>
    <w:p>
      <w:pPr>
        <w:ind w:firstLine="480"/>
        <w:keepLines/>
        <w:keepNext/>
        <w:spacing w:line="360" w:lineRule="auto"/>
        <w:tabs>
          <w:tab w:val="left" w:pos="3000" w:leader="none"/>
        </w:tabs>
        <w:rPr>
          <w:rFonts w:ascii="宋体" w:hAnsi="宋体"/>
          <w:bCs/>
          <w:color w:val="auto"/>
          <w:sz w:val="24"/>
          <w:highlight w:val="none"/>
        </w:rPr>
        <w:outlineLvl w:val="3"/>
      </w:pPr>
      <w:r/>
      <w:bookmarkStart w:id="729" w:name="_Toc351203649"/>
      <w:r>
        <w:rPr>
          <w:rFonts w:ascii="宋体" w:hAnsi="宋体"/>
          <w:bCs/>
          <w:color w:val="auto"/>
          <w:sz w:val="24"/>
          <w:highlight w:val="none"/>
        </w:rPr>
        <w:t xml:space="preserve">17. 不可抗力</w:t>
      </w:r>
      <w:bookmarkEnd w:id="727"/>
      <w:r/>
      <w:bookmarkEnd w:id="729"/>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17.1 不可抗力的确认</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除通用合同条款约定的不可抗力事件之外，视为不可抗力的其他情形：</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17.4 因不可抗力解除合同</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合同解除后，发包人应在商定或确定发包人应支付款项后</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28</w:t>
      </w:r>
      <w:r>
        <w:rPr>
          <w:rFonts w:ascii="宋体" w:hAnsi="宋体"/>
          <w:color w:val="auto"/>
          <w:sz w:val="24"/>
          <w:highlight w:val="none"/>
          <w:u w:val="single"/>
        </w:rPr>
        <w:t xml:space="preserve"> </w:t>
      </w:r>
      <w:r>
        <w:rPr>
          <w:rFonts w:ascii="宋体" w:hAnsi="宋体"/>
          <w:color w:val="auto"/>
          <w:sz w:val="24"/>
          <w:highlight w:val="none"/>
        </w:rPr>
        <w:t xml:space="preserve">天内完成款项的支付。</w:t>
      </w:r>
      <w:r/>
    </w:p>
    <w:p>
      <w:pPr>
        <w:ind w:firstLine="480"/>
        <w:keepLines/>
        <w:keepNext/>
        <w:spacing w:line="360" w:lineRule="auto"/>
        <w:rPr>
          <w:rFonts w:ascii="宋体" w:hAnsi="宋体"/>
          <w:bCs/>
          <w:color w:val="auto"/>
          <w:sz w:val="24"/>
          <w:highlight w:val="none"/>
        </w:rPr>
        <w:outlineLvl w:val="3"/>
      </w:pPr>
      <w:r/>
      <w:bookmarkStart w:id="730" w:name="_Toc351203650"/>
      <w:r>
        <w:rPr>
          <w:rFonts w:ascii="宋体" w:hAnsi="宋体"/>
          <w:bCs/>
          <w:color w:val="auto"/>
          <w:sz w:val="24"/>
          <w:highlight w:val="none"/>
        </w:rPr>
        <w:t xml:space="preserve">18. 保险</w:t>
      </w:r>
      <w:bookmarkEnd w:id="728"/>
      <w:r/>
      <w:bookmarkEnd w:id="730"/>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18.1 工程保险</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关于工程保险的特别约定：</w:t>
      </w:r>
      <w:r>
        <w:rPr>
          <w:rFonts w:ascii="宋体" w:hAnsi="宋体"/>
          <w:color w:val="auto"/>
          <w:sz w:val="24"/>
          <w:highlight w:val="none"/>
          <w:u w:val="single"/>
        </w:rPr>
        <w:t xml:space="preserve"> 由承包人负责，并承担相应费用</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 </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18.3 其他保险</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关于其他保险的约定：</w:t>
      </w:r>
      <w:r>
        <w:rPr>
          <w:rFonts w:ascii="宋体" w:hAnsi="宋体"/>
          <w:color w:val="auto"/>
          <w:sz w:val="24"/>
          <w:highlight w:val="none"/>
          <w:u w:val="single"/>
        </w:rPr>
        <w:t xml:space="preserve">由承包人负责，并承担相应费用</w:t>
      </w:r>
      <w:r>
        <w:rPr>
          <w:rFonts w:hint="eastAsia" w:ascii="宋体" w:hAnsi="宋体"/>
          <w:color w:val="auto"/>
          <w:sz w:val="24"/>
          <w:highlight w:val="non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承包人是否应为其施工设备等办理财产保险：</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18.7 通知义务</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关于变更保险合同时的通知义务的约定：</w:t>
      </w:r>
      <w:r>
        <w:rPr>
          <w:rFonts w:hint="eastAsia" w:ascii="宋体" w:hAnsi="宋体"/>
          <w:color w:val="auto"/>
          <w:sz w:val="24"/>
          <w:highlight w:val="none"/>
          <w:u w:val="single"/>
        </w:rPr>
        <w:t xml:space="preserve">  /  。</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482"/>
        <w:keepLines/>
        <w:keepNext/>
        <w:spacing w:line="360" w:lineRule="auto"/>
        <w:rPr>
          <w:rFonts w:ascii="宋体" w:hAnsi="宋体"/>
          <w:b/>
          <w:bCs/>
          <w:color w:val="auto"/>
          <w:sz w:val="24"/>
          <w:highlight w:val="none"/>
        </w:rPr>
        <w:outlineLvl w:val="4"/>
      </w:pPr>
      <w:r>
        <w:rPr>
          <w:rFonts w:ascii="宋体" w:hAnsi="宋体"/>
          <w:b/>
          <w:bCs/>
          <w:color w:val="auto"/>
          <w:sz w:val="24"/>
          <w:highlight w:val="none"/>
        </w:rPr>
        <w:t xml:space="preserve">20.4仲裁或诉讼</w:t>
      </w:r>
      <w:bookmarkEnd w:id="7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20.4.1</w:t>
      </w:r>
      <w:r>
        <w:rPr>
          <w:rFonts w:ascii="宋体" w:hAnsi="宋体"/>
          <w:color w:val="auto"/>
          <w:sz w:val="24"/>
          <w:highlight w:val="none"/>
        </w:rPr>
        <w:t xml:space="preserve">因合同及合同有关事项发生的争议，按下列第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种方式</w:t>
      </w:r>
      <w:r>
        <w:rPr>
          <w:rFonts w:hint="eastAsia" w:ascii="宋体" w:hAnsi="宋体"/>
          <w:color w:val="auto"/>
          <w:sz w:val="24"/>
          <w:highlight w:val="none"/>
        </w:rPr>
        <w:t xml:space="preserve">解</w:t>
      </w:r>
      <w:r>
        <w:rPr>
          <w:rFonts w:ascii="宋体" w:hAnsi="宋体"/>
          <w:color w:val="auto"/>
          <w:sz w:val="24"/>
          <w:highlight w:val="none"/>
        </w:rPr>
        <w:t xml:space="preserve">决：</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（1）向</w:t>
      </w:r>
      <w:r>
        <w:rPr>
          <w:rFonts w:hint="eastAsia" w:ascii="宋体" w:hAnsi="宋体"/>
          <w:color w:val="auto"/>
          <w:sz w:val="24"/>
          <w:highlight w:val="none"/>
          <w:u w:val="single"/>
        </w:rPr>
        <w:t xml:space="preserve">工程项目所在地的</w:t>
      </w:r>
      <w:r>
        <w:rPr>
          <w:rFonts w:ascii="宋体" w:hAnsi="宋体"/>
          <w:color w:val="auto"/>
          <w:sz w:val="24"/>
          <w:highlight w:val="none"/>
        </w:rPr>
        <w:t xml:space="preserve">仲裁委员会申请仲裁；</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（2）向</w:t>
      </w:r>
      <w:r>
        <w:rPr>
          <w:rFonts w:hint="eastAsia" w:ascii="宋体" w:hAnsi="宋体"/>
          <w:color w:val="auto"/>
          <w:sz w:val="24"/>
          <w:highlight w:val="none"/>
          <w:u w:val="single"/>
        </w:rPr>
        <w:t xml:space="preserve">工程项目所在地</w:t>
      </w:r>
      <w:r>
        <w:rPr>
          <w:rFonts w:hint="eastAsia" w:ascii="宋体" w:hAnsi="宋体"/>
          <w:color w:val="auto"/>
          <w:sz w:val="24"/>
          <w:highlight w:val="none"/>
          <w:u w:val="single"/>
          <w:lang w:val="en-US" w:eastAsia="zh-CN"/>
        </w:rPr>
        <w:t xml:space="preserve">的</w:t>
      </w:r>
      <w:r>
        <w:rPr>
          <w:rFonts w:ascii="宋体" w:hAnsi="宋体"/>
          <w:color w:val="auto"/>
          <w:sz w:val="24"/>
          <w:highlight w:val="none"/>
        </w:rPr>
        <w:t xml:space="preserve">人民法院起诉。</w:t>
      </w:r>
      <w:bookmarkEnd w:id="720"/>
      <w:r/>
      <w:bookmarkEnd w:id="721"/>
      <w:r/>
      <w:bookmarkEnd w:id="722"/>
      <w:r/>
      <w:bookmarkEnd w:id="723"/>
      <w:r/>
      <w:bookmarkEnd w:id="724"/>
      <w:r/>
      <w:bookmarkEnd w:id="72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20.4.2</w:t>
      </w:r>
      <w:r>
        <w:rPr>
          <w:rFonts w:ascii="宋体" w:hAnsi="宋体"/>
          <w:color w:val="auto"/>
          <w:sz w:val="24"/>
          <w:highlight w:val="none"/>
        </w:rPr>
        <w:t xml:space="preserve">在争议解决期间，除涉及争议部分外，双方应继续履行合同其他条款</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r>
      <w:r/>
    </w:p>
    <w:p>
      <w:pPr>
        <w:jc w:val="left"/>
        <w:widowControl/>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ind w:firstLine="643"/>
        <w:jc w:val="center"/>
        <w:spacing w:line="40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工程质量保修书</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发包人（全称）：</w:t>
      </w:r>
      <w:r>
        <w:rPr>
          <w:rFonts w:hint="eastAsia" w:ascii="宋体" w:hAnsi="宋体"/>
          <w:color w:val="auto"/>
          <w:sz w:val="24"/>
          <w:highlight w:val="none"/>
          <w:u w:val="single"/>
          <w:lang w:eastAsia="zh-CN"/>
        </w:rPr>
        <w:t xml:space="preserve">盐城市盐渎实验学校</w:t>
      </w:r>
      <w:r>
        <w:rPr>
          <w:rFonts w:hint="eastAsia" w:ascii="宋体" w:hAnsi="宋体"/>
          <w:color w:val="auto"/>
          <w:sz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承包人（全称）：</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发包人和承包人根据《中华人民共和国建筑法》和《建设工程质量管理条例》，经协商一致就</w:t>
      </w:r>
      <w:r>
        <w:rPr>
          <w:rFonts w:hint="eastAsia" w:ascii="宋体" w:hAnsi="宋体"/>
          <w:color w:val="auto"/>
          <w:sz w:val="24"/>
          <w:highlight w:val="none"/>
          <w:u w:val="single"/>
          <w:lang w:eastAsia="zh-CN"/>
        </w:rPr>
        <w:t xml:space="preserve">盐渎实验学校教学楼屋顶渗漏维修工程</w:t>
      </w:r>
      <w:r>
        <w:rPr>
          <w:rFonts w:hint="eastAsia" w:ascii="宋体" w:hAnsi="宋体"/>
          <w:color w:val="auto"/>
          <w:sz w:val="24"/>
          <w:highlight w:val="none"/>
        </w:rPr>
        <w:t xml:space="preserve">（工程全称）签订工程质量保修书。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一、工程质量保修范围和内容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承包人在质量保修期内，按照有关法律规定和合同约定，承担工程质量保修责任。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二、质量保修期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根据《建设工程质量管理条例》及有关规定，工程的质量保修期如下：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1．地基基础工程和主体结构工程为设计文件规定的工程合理使用年限；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2．屋面防水工程、有防水要求的卫生间、房间和外墙面的防渗为5年；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3．装修工程为2年；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4．电气管线、给排水管道、设备安装工程为2年；</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5．供热与供冷系统为2个采暖期、供冷期；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6．住宅小区内的给排水设施、道路等配套工程为2年；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7．其他项目保修期限约定如下：不少于2年。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质量保修期自工程竣工验收合格之日起计算。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三、缺陷责任期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工程缺陷责任期为24个月，缺陷责任期自工程通过竣工验收之日起计算。单位工程先于全部工程进行验收，单位工程缺陷责任期自单位工程验收合格之日起算。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缺陷责任期终止后，发包人应退还剩余的质量保证金。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四、质量保修责任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2．发生紧急事故需抢修的，承包人在接到事故通知后，应当立即到达事故现场抢修。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4．质量保修完成后，由发包人组织验收。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五、保修费用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保修费用由造成质量缺陷的责任方承担。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六、双方约定的其他工程质量保修事项：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工程质量保修书由发包人、承包人在工程竣工验收前共同签署，作为施工合同附件，其有效期限至保修期满。</w:t>
      </w:r>
      <w:r/>
    </w:p>
    <w:p>
      <w:pPr>
        <w:ind w:firstLine="480"/>
        <w:jc w:val="left"/>
        <w:spacing w:line="40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40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发包人(公章)：                         承包人(公章)： </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地 址：                                地 址： </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法定代表人(签字)：                     法定代表人(签字)： </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委托代理人(签字)：                     委托代理人(签字)： </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电 话：                                电 话： </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                                传 真： </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账 号：                                账 号： </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邮政编码：                             邮政编码：</w:t>
      </w:r>
      <w:r/>
    </w:p>
    <w:p>
      <w:pPr>
        <w:jc w:val="center"/>
        <w:rPr>
          <w:rFonts w:ascii="宋体" w:hAnsi="宋体"/>
          <w:b/>
          <w:color w:val="auto"/>
          <w:sz w:val="32"/>
          <w:szCs w:val="32"/>
          <w:highlight w:val="none"/>
        </w:rPr>
      </w:pPr>
      <w:r>
        <w:rPr>
          <w:rFonts w:hint="eastAsia" w:ascii="宋体" w:hAnsi="宋体" w:cs="宋体"/>
          <w:bCs/>
          <w:color w:val="auto"/>
          <w:sz w:val="24"/>
          <w:highlight w:val="none"/>
        </w:rPr>
        <w:br w:type="page" w:clear="all"/>
      </w:r>
      <w:r>
        <w:rPr>
          <w:rFonts w:hint="eastAsia" w:ascii="宋体" w:hAnsi="宋体"/>
          <w:b/>
          <w:color w:val="auto"/>
          <w:sz w:val="32"/>
          <w:szCs w:val="32"/>
          <w:highlight w:val="none"/>
        </w:rPr>
        <w:t xml:space="preserve">安全施工协议书</w:t>
      </w:r>
      <w:r/>
    </w:p>
    <w:p>
      <w:pPr>
        <w:rPr>
          <w:rFonts w:ascii="宋体" w:hAnsi="宋体"/>
          <w:b/>
          <w:color w:val="auto"/>
          <w:szCs w:val="21"/>
          <w:highlight w:val="none"/>
        </w:rPr>
      </w:pPr>
      <w:r>
        <w:rPr>
          <w:rFonts w:ascii="宋体" w:hAnsi="宋体"/>
          <w:b/>
          <w:color w:val="auto"/>
          <w:szCs w:val="21"/>
          <w:highlight w:val="none"/>
        </w:rPr>
      </w:r>
      <w:r/>
    </w:p>
    <w:p>
      <w:pPr>
        <w:spacing w:line="500" w:lineRule="exact"/>
        <w:rPr>
          <w:rFonts w:ascii="宋体" w:hAnsi="宋体"/>
          <w:color w:val="auto"/>
          <w:sz w:val="24"/>
          <w:highlight w:val="none"/>
        </w:rPr>
      </w:pPr>
      <w:r>
        <w:rPr>
          <w:rFonts w:hint="eastAsia" w:ascii="宋体" w:hAnsi="宋体"/>
          <w:color w:val="auto"/>
          <w:sz w:val="24"/>
          <w:highlight w:val="none"/>
        </w:rPr>
        <w:t xml:space="preserve">发包人（全称）：</w:t>
      </w:r>
      <w:r>
        <w:rPr>
          <w:rFonts w:hint="eastAsia" w:ascii="宋体" w:hAnsi="宋体"/>
          <w:color w:val="auto"/>
          <w:sz w:val="24"/>
          <w:highlight w:val="none"/>
          <w:u w:val="single"/>
          <w:lang w:eastAsia="zh-CN"/>
        </w:rPr>
        <w:t xml:space="preserve">盐城市盐渎实验学校</w:t>
      </w:r>
      <w:r>
        <w:rPr>
          <w:rFonts w:hint="eastAsia" w:ascii="宋体" w:hAnsi="宋体"/>
          <w:color w:val="auto"/>
          <w:sz w:val="24"/>
          <w:highlight w:val="none"/>
        </w:rPr>
        <w:t xml:space="preserve">（以下简称甲方）</w:t>
      </w:r>
      <w:r/>
    </w:p>
    <w:p>
      <w:pPr>
        <w:spacing w:line="500" w:lineRule="exact"/>
        <w:rPr>
          <w:rFonts w:ascii="宋体" w:hAnsi="宋体"/>
          <w:color w:val="auto"/>
          <w:sz w:val="24"/>
          <w:highlight w:val="none"/>
        </w:rPr>
      </w:pPr>
      <w:r>
        <w:rPr>
          <w:rFonts w:hint="eastAsia" w:ascii="宋体" w:hAnsi="宋体"/>
          <w:color w:val="auto"/>
          <w:sz w:val="24"/>
          <w:highlight w:val="none"/>
        </w:rPr>
        <w:t xml:space="preserve">承包人（全称）：</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（以下简称乙方） </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根据有关法律法规及省市有关文件精神，结合</w:t>
      </w:r>
      <w:r>
        <w:rPr>
          <w:rFonts w:hint="eastAsia" w:ascii="宋体" w:hAnsi="宋体" w:cs="宋体"/>
          <w:color w:val="auto"/>
          <w:sz w:val="24"/>
          <w:highlight w:val="none"/>
          <w:u w:val="single"/>
          <w:lang w:eastAsia="zh-CN"/>
        </w:rPr>
        <w:t xml:space="preserve">盐渎实验学校教学楼屋顶渗漏维修工程</w:t>
      </w:r>
      <w:r>
        <w:rPr>
          <w:rFonts w:hint="eastAsia" w:ascii="宋体" w:hAnsi="宋体"/>
          <w:color w:val="auto"/>
          <w:sz w:val="24"/>
          <w:highlight w:val="none"/>
        </w:rPr>
        <w:t xml:space="preserve">的施工特点及本工程安全施工的要求，双方签订本安全施工协议。本协议作为甲乙双方承发包合同的附件。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一、工程概况：详见施工合同。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二、安全生产目标：安全生产无事故。 </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三、发包人职责：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1、发包人委托监理单位按国家有关规定检查、指导乙方的安全施工及文明现场管理工作。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2、协调各承包人之间的交叉关系、施工场地布置等。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3、制定安全、文明施工台账。 </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四、乙方职责：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1、工程项目负责人为安全文明生产责任人，并建立安全文明生产管理小组。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2、结合本工程实际情况及相关规定，具体制定并在施工中认真执行安全文明生产条例及实施 细则。内容须包括以下方面；</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 施工现场安全防护工作要按有关规定落实到位；</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对职工进行安全文明教育；</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2.3 严格遵守安全生产纪律及各项规定；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2.4 做好场容场貌工作包括工地围挡、道路场地、材料堆放、五牌一图等；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2.5 保持工地卫生状况（职工宿舍、食堂、办公室、厕所、楼地面等）良好；</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2.6 做好爱民便民及其它工作；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2.7 做好与相关部门及相关承包人的协调与配合；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2.8 有关法律、法规、文件要求的其它工作。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3、指定专人配合监理单位做好安全施工日志。</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六、因工程在具体实施过程中存在大量的协调和配合工作。为确保工程高效、顺利地进行， 乙方承诺：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1、乙方及其下属人员在与其它部门、单位、个人或在乙方内部之间出现矛盾时，都必须采取友好协商的形式予以解决。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2、乙方确保在本工程范围内乙方的任何人员不以任何理由出现任何暴力行为。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八、本协议经签字盖章后生效。 </w:t>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发包人(公章) ：                            承包人(公章)：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                                 法定代表人 </w:t>
      </w:r>
      <w:r/>
    </w:p>
    <w:p>
      <w:pPr>
        <w:spacing w:line="360" w:lineRule="auto"/>
        <w:rPr>
          <w:rFonts w:ascii="宋体" w:hAnsi="宋体"/>
          <w:color w:val="auto"/>
          <w:sz w:val="24"/>
          <w:highlight w:val="none"/>
        </w:rPr>
      </w:pPr>
      <w:r>
        <w:rPr>
          <w:rFonts w:hint="eastAsia" w:ascii="宋体" w:hAnsi="宋体"/>
          <w:color w:val="auto"/>
          <w:sz w:val="24"/>
          <w:highlight w:val="none"/>
        </w:rPr>
        <w:t xml:space="preserve">（签字或盖章）：                          （签字或盖章）：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日  期：                                        日  期：</w:t>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spacing w:line="50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815"/>
        <w:keepLines w:val="0"/>
        <w:keepNext w:val="0"/>
        <w:pageBreakBefore w:val="0"/>
        <w:widowControl w:val="off"/>
        <w:rPr>
          <w:color w:val="auto"/>
          <w:sz w:val="36"/>
          <w:szCs w:val="36"/>
          <w:highlight w:val="none"/>
        </w:rPr>
      </w:pPr>
      <w:r/>
      <w:bookmarkStart w:id="731" w:name="_Toc203032703"/>
      <w:r>
        <w:rPr>
          <w:rFonts w:hint="eastAsia"/>
          <w:color w:val="auto"/>
          <w:sz w:val="36"/>
          <w:szCs w:val="36"/>
          <w:highlight w:val="none"/>
        </w:rPr>
        <w:t xml:space="preserve">第四章  项目需求</w:t>
      </w:r>
      <w:bookmarkEnd w:id="731"/>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pStyle w:val="1126"/>
        <w:ind w:firstLine="482"/>
        <w:spacing w:line="440" w:lineRule="exact"/>
        <w:rPr>
          <w:rFonts w:ascii="宋体" w:hAnsi="宋体" w:cs="宋体"/>
          <w:b/>
          <w:color w:val="auto"/>
          <w:sz w:val="24"/>
          <w:szCs w:val="24"/>
          <w:highlight w:val="none"/>
        </w:rPr>
      </w:pPr>
      <w:r/>
      <w:bookmarkStart w:id="732" w:name="_Toc152042324"/>
      <w:r/>
      <w:bookmarkStart w:id="733" w:name="_Toc247513972"/>
      <w:r/>
      <w:bookmarkStart w:id="734" w:name="_Toc300834969"/>
      <w:r/>
      <w:bookmarkStart w:id="735" w:name="_Toc247527573"/>
      <w:r/>
      <w:bookmarkStart w:id="736" w:name="_Toc152045548"/>
      <w:r/>
      <w:bookmarkStart w:id="737" w:name="_Toc144974516"/>
      <w:r>
        <w:rPr>
          <w:rFonts w:hint="eastAsia" w:ascii="宋体" w:hAnsi="宋体" w:cs="宋体"/>
          <w:b/>
          <w:color w:val="auto"/>
          <w:sz w:val="24"/>
          <w:szCs w:val="24"/>
          <w:highlight w:val="none"/>
        </w:rPr>
        <w:t xml:space="preserve">一、标的内容</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盐渎实验学校教学楼屋顶渗漏维修工程</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2、建设地点：</w:t>
      </w:r>
      <w:r>
        <w:rPr>
          <w:rFonts w:hint="eastAsia" w:ascii="宋体" w:hAnsi="宋体" w:cs="宋体"/>
          <w:color w:val="auto"/>
          <w:sz w:val="24"/>
          <w:highlight w:val="none"/>
          <w:lang w:eastAsia="zh-CN"/>
        </w:rPr>
        <w:t xml:space="preserve">盐城市盐渎实验学校</w:t>
      </w:r>
      <w:r>
        <w:rPr>
          <w:rFonts w:hint="eastAsia" w:ascii="宋体" w:hAnsi="宋体" w:cs="宋体"/>
          <w:color w:val="auto"/>
          <w:sz w:val="24"/>
          <w:highlight w:val="none"/>
        </w:rPr>
        <w:t xml:space="preserve">校园内。</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3、工期要求：</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val="en-US" w:eastAsia="zh-CN"/>
        </w:rPr>
        <w:t xml:space="preserve">日历天</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4、质量标准：工程质量符合国家及地方相关验收规范的“合格”标准，并符合招标人提出的具体质量要求。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5、发包范围：详见工程量清单。招标人保留对工作量进行变更或增减的权利。</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6、标段划分：本次招标为一个标段。</w:t>
      </w:r>
      <w:r/>
    </w:p>
    <w:p>
      <w:pPr>
        <w:ind w:firstLine="480"/>
        <w:spacing w:line="44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7、采购范围</w:t>
      </w:r>
      <w:r>
        <w:rPr>
          <w:rFonts w:hint="eastAsia" w:ascii="宋体" w:hAnsi="宋体" w:cs="宋体"/>
          <w:color w:val="auto"/>
          <w:sz w:val="24"/>
          <w:highlight w:val="none"/>
        </w:rPr>
        <w:t xml:space="preserve">：本工程建设地点位于</w:t>
      </w:r>
      <w:r>
        <w:rPr>
          <w:rFonts w:hint="eastAsia" w:ascii="宋体" w:hAnsi="宋体" w:cs="宋体"/>
          <w:color w:val="auto"/>
          <w:sz w:val="24"/>
          <w:highlight w:val="none"/>
          <w:lang w:eastAsia="zh-CN"/>
        </w:rPr>
        <w:t xml:space="preserve">盐城市盐渎实验学校</w:t>
      </w:r>
      <w:r>
        <w:rPr>
          <w:rFonts w:hint="eastAsia" w:ascii="宋体" w:hAnsi="宋体" w:cs="宋体"/>
          <w:color w:val="auto"/>
          <w:sz w:val="24"/>
          <w:highlight w:val="none"/>
        </w:rPr>
        <w:t xml:space="preserve">校园内</w:t>
      </w:r>
      <w:r>
        <w:rPr>
          <w:rFonts w:hint="eastAsia" w:ascii="宋体" w:hAnsi="宋体" w:cs="宋体"/>
          <w:color w:val="auto"/>
          <w:sz w:val="24"/>
          <w:highlight w:val="none"/>
        </w:rPr>
        <w:t xml:space="preserve">。本次拟维修的屋顶面积约8128.26m2。主要施工内容为：拆除原屋面保护层、找平层、保温层、防水层、找坡层、出气孔、屋面变形缝等，拆除至原屋面混凝土现浇面，混凝土屋面新做水泥砂浆找平层、1.5厚聚合物水泥防水涂料、3.0厚自粘聚合物改性沥青防水卷材两道、LC5.0轻集料混凝土找坡层、40厚挤塑聚苯板（XPS）保温层、50厚C30细石混凝土保护层；钢结构屋面整修，局部锈蚀彩钢板拆除更换，拆除更换原落水管，伸缩缝拆除更换、屋顶消火栓系统及屋顶强弱电检修及更换、厨房排烟系统及厨房水箱拆除重新安装等内容。具体详见</w:t>
      </w:r>
      <w:r>
        <w:rPr>
          <w:rFonts w:hint="eastAsia" w:ascii="宋体" w:hAnsi="宋体" w:cs="宋体"/>
          <w:color w:val="auto"/>
          <w:sz w:val="24"/>
          <w:highlight w:val="none"/>
        </w:rPr>
        <w:t xml:space="preserve">本工程工程量清单</w:t>
      </w:r>
      <w:r>
        <w:rPr>
          <w:rFonts w:hint="eastAsia" w:ascii="宋体" w:hAnsi="宋体" w:cs="宋体"/>
          <w:color w:val="auto"/>
          <w:sz w:val="24"/>
          <w:highlight w:val="none"/>
          <w:lang w:eastAsia="zh-CN"/>
        </w:rPr>
        <w:t xml:space="preserve">。</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8、本工程向建设主管部门办理的工程施工许可手续，由承包人代为办理，发包人协助，费用按规定承担。</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9、工程验收前，由承包人负责致和楼和海天剧场上面钢结构防雷设施局部维修至检测通过。</w:t>
      </w:r>
      <w:r/>
    </w:p>
    <w:p>
      <w:pPr>
        <w:ind w:firstLine="480"/>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10、工程验收前，由承包人负责对所有屋顶做防漏测试。</w:t>
      </w:r>
      <w:r/>
    </w:p>
    <w:p>
      <w:pPr>
        <w:pStyle w:val="1126"/>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二、踏勘现场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1.各磋商供应商应在递交磋商响应文件截止日前</w:t>
      </w:r>
      <w:r>
        <w:rPr>
          <w:rFonts w:hint="eastAsia" w:ascii="宋体" w:hAnsi="宋体" w:cs="宋体"/>
          <w:color w:val="auto"/>
          <w:sz w:val="24"/>
          <w:highlight w:val="none"/>
        </w:rPr>
        <w:t xml:space="preserve">至工程实施现场进行现场踏勘，如因未踏勘现场造成的一切后果自负。2.磋商供应商踏勘现场发生的费用自理，自行承担在踏勘现场中所发生的人员伤亡和财产损失。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126"/>
        <w:ind w:firstLine="48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三、投标报价要求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投标人应按招标人提供的“招标工程量清单”的要求填写价格清单。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 投标人需自行勘察现场，结合招标人的施工工艺要求，以及现场施工难度，进行投标报价，投标报价需包含按照招标人工艺要求进行施工的所有费用。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 投标人须考虑现场情况，部分材料可能须要人工二次倒运，投标人须将此费用考虑在投标综合报价中。</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 成品保护按相关要求执行，工程施工不得随意破坏已完工的项目，如破坏需及时按原状修复，否则由招标人另行按排施工单位修复，费用由招标人按排的施工单位报价，在中标人结算总价中按2倍的价格扣减。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8.工程必须确保安全，投标人自行承担工程施工过程中的工程质量、任何状况下的安全责任。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9.本工程施工过程中遇到的地方矛盾、与其他施工单位的矛盾协调、环保，城管，环卫，附近居民等相关矛盾协调，均由投标人自行解决，并不支付任何额为费用。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12.工程量现场实测计量，招标人保留增加或减少工作量的权利，合同价相应调整，但投标的综合</w:t>
      </w:r>
      <w:r>
        <w:rPr>
          <w:rFonts w:hint="eastAsia" w:ascii="宋体" w:hAnsi="宋体" w:cs="宋体"/>
          <w:color w:val="auto"/>
          <w:sz w:val="24"/>
          <w:szCs w:val="24"/>
          <w:highlight w:val="none"/>
        </w:rPr>
        <w:t xml:space="preserve">单价不变。</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13.材料进场前投标人必须送样品给招标人确认，经招标人确认后方可实施。如施工时提供的样品不能满足招标人要求，招标人有权要求更换。 </w:t>
      </w:r>
      <w:r/>
    </w:p>
    <w:p>
      <w:pPr>
        <w:ind w:firstLine="480"/>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14.盐城市盐渎路实验学校卫生间改造工程主要材料招标人参考品牌一览表详见附件。</w:t>
      </w:r>
      <w:r/>
    </w:p>
    <w:p>
      <w:pPr>
        <w:pStyle w:val="1126"/>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四、投标报价的方式</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2、投标报价的计价方法</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3、投标报价文件编制的依据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招标人提供的招标文件、招标工程量清单及其补充通知；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 招标人设定的最高限价；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3.3《建设工程量清单计价规范》(GB50500-2013) 及其工程量计算规范；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3.4 有关的施工规范与工程验收规范；</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3.5 施工现场情况、工程特点及投标人拟采用的施工组织设计和施工方案；</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3.6 投标人的企业定额；</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 投标人可同时参考2014年《江苏省建筑与装饰工程计价定额》、2014年《江苏省安装工程计价定额》、《江苏省建设工程费用定额（2014年）》及江苏省关于营改增的计价文件等最高限价（预算）的编制依据。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4、投标报价文件编制的要求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4.1招标人提供的施工图纸、招标工程量清单应与招标文件一起参照阅读；</w:t>
      </w:r>
      <w:r/>
    </w:p>
    <w:p>
      <w:pPr>
        <w:pStyle w:val="1126"/>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五、最高限价（预算）的编制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1.最高限价：详见投标须知前附表，招标人拒绝高于最高限价的投标报价。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2.最高限价确定的依据：</w:t>
      </w:r>
      <w:r/>
    </w:p>
    <w:p>
      <w:pPr>
        <w:ind w:firstLine="480"/>
        <w:spacing w:line="440" w:lineRule="exact"/>
        <w:rPr>
          <w:rFonts w:ascii="宋体" w:hAnsi="宋体" w:cs="宋体"/>
          <w:color w:val="auto"/>
          <w:sz w:val="24"/>
          <w:szCs w:val="24"/>
          <w:highlight w:val="none"/>
        </w:rPr>
      </w:pPr>
      <w:r/>
      <w:bookmarkStart w:id="738" w:name="EB8b95e4dd9e80494e85f00682aba7f2c4"/>
      <w:r>
        <w:rPr>
          <w:rFonts w:hint="eastAsia" w:ascii="宋体" w:hAnsi="宋体" w:cs="宋体"/>
          <w:color w:val="auto"/>
          <w:sz w:val="24"/>
          <w:szCs w:val="24"/>
          <w:highlight w:val="none"/>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color w:val="auto"/>
          <w:sz w:val="24"/>
          <w:szCs w:val="24"/>
          <w:highlight w:val="none"/>
        </w:rPr>
        <w:t xml:space="preserve">2009</w:t>
      </w:r>
      <w:r>
        <w:rPr>
          <w:rFonts w:hint="eastAsia" w:ascii="宋体" w:hAnsi="宋体" w:cs="宋体"/>
          <w:color w:val="auto"/>
          <w:sz w:val="24"/>
          <w:szCs w:val="24"/>
          <w:highlight w:val="none"/>
        </w:rPr>
        <w:t xml:space="preserve">版《江苏省房屋修缮工程计价表》（</w:t>
      </w:r>
      <w:r>
        <w:rPr>
          <w:rFonts w:ascii="宋体" w:hAnsi="宋体" w:cs="宋体"/>
          <w:color w:val="auto"/>
          <w:sz w:val="24"/>
          <w:szCs w:val="24"/>
          <w:highlight w:val="none"/>
        </w:rPr>
        <w:t xml:space="preserve">2009</w:t>
      </w:r>
      <w:r>
        <w:rPr>
          <w:rFonts w:hint="eastAsia" w:ascii="宋体" w:hAnsi="宋体" w:cs="宋体"/>
          <w:color w:val="auto"/>
          <w:sz w:val="24"/>
          <w:szCs w:val="24"/>
          <w:highlight w:val="none"/>
        </w:rPr>
        <w:t xml:space="preserve">版）……（以下简称《计价定额》）、《江苏省建设工程费用定额》（2014年）（以下简称《计价定额》）、</w:t>
      </w:r>
      <w:r>
        <w:rPr>
          <w:rFonts w:hint="eastAsia" w:ascii="宋体" w:hAnsi="宋体" w:cs="宋体"/>
          <w:color w:val="auto"/>
          <w:sz w:val="24"/>
          <w:szCs w:val="24"/>
          <w:highlight w:val="none"/>
        </w:rPr>
        <w:t xml:space="preserve">2026年2、3月份</w:t>
      </w:r>
      <w:r>
        <w:rPr>
          <w:rFonts w:hint="eastAsia" w:ascii="宋体" w:hAnsi="宋体" w:cs="宋体"/>
          <w:color w:val="auto"/>
          <w:sz w:val="24"/>
          <w:szCs w:val="24"/>
          <w:highlight w:val="none"/>
        </w:rPr>
        <w:t xml:space="preserve"> 《盐城工程造价》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根据苏建价[2016]154号文件的规定，本项目招标文件及合同计税方法均采用增值税一般计税方法，招标文件及合同中的建材信息价及建材市场参考价均为除税价。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单位工程费用计费程序如下：</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1、分部分项工程量清单费用   人工费+材料费+施工机具使用费+管理费+利润；</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  中：</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人工费                  计价定额人工消耗量×人工单价</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材料费                  计价定额材料消耗量×除税材料单价</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施工机具使用费          计价定额机械消耗量×除税机械单价</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管理费                  按《费用定额》结合苏建价（2016）154号文计取</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利  润                  按《费用定额》结合苏建价（2016）154号文计取</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2、措施项目费用            单价措施费+总价措施费</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单价措施费              除税综合单价×清单工程量</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总价措施费 （分部分项工程费+单价措施项目费-除税工程设备费）×费率或以项计</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3、其他项目费用</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详见工程量清单</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4、规 费（分部分项工程费用+措施项目费用+其他项目费用-除税工程设备费）×费率</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1）环境保护税（暂按招标工程量清单中的费率计取，结算时按环保和税务部门的规定执行）。</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2）社会保险费（执行《费用定额》苏建价[2016]154号规定的费率）。</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3）住房公积金（执行《费用定额》及苏建价[2016]154号规定的费率）。</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5、税      金（分部分项工程量清单费用+措施项目费用+其他项目费用+规费-除税甲供材料和甲供设备费/1.01）×</w:t>
      </w:r>
      <w:r>
        <w:rPr>
          <w:rFonts w:hint="eastAsia" w:ascii="宋体" w:hAnsi="宋体" w:cs="宋体"/>
          <w:color w:val="auto"/>
          <w:sz w:val="24"/>
          <w:szCs w:val="24"/>
          <w:highlight w:val="none"/>
          <w:u w:val="single"/>
        </w:rPr>
        <w:t xml:space="preserve">9%</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6、工程造价  分部分项工程量清单费用+措施项目费用+其他项目费用+规费-除税甲供材料和甲供设备费/1.01+税金</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一、分部分项工程费用部分</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1、工程类别：按《费用定额》中的“工程类别划分”执行。</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2、工程量按《建设工程工程量清单计价规范》、《工程量计算规范》、《费用定额》、《计价定额》及施工图纸等计算。</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3、人工工资单价参照苏建函价〔202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号文件执行。</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4、材料单价执行</w:t>
      </w:r>
      <w:r>
        <w:rPr>
          <w:rFonts w:hint="eastAsia" w:ascii="宋体" w:hAnsi="宋体" w:cs="宋体"/>
          <w:color w:val="auto"/>
          <w:sz w:val="24"/>
          <w:szCs w:val="24"/>
          <w:highlight w:val="none"/>
        </w:rPr>
        <w:t xml:space="preserve">2026年2、3月份</w:t>
      </w:r>
      <w:r>
        <w:rPr>
          <w:rFonts w:hint="eastAsia" w:ascii="宋体" w:hAnsi="宋体" w:cs="宋体"/>
          <w:color w:val="auto"/>
          <w:sz w:val="24"/>
          <w:szCs w:val="24"/>
          <w:highlight w:val="none"/>
        </w:rPr>
        <w:t xml:space="preserve">《盐城工程造价》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5、机械单价中燃料费按</w:t>
      </w:r>
      <w:r>
        <w:rPr>
          <w:rFonts w:hint="eastAsia" w:ascii="宋体" w:hAnsi="宋体" w:cs="宋体"/>
          <w:color w:val="auto"/>
          <w:sz w:val="24"/>
          <w:szCs w:val="24"/>
          <w:highlight w:val="none"/>
        </w:rPr>
        <w:t xml:space="preserve">2026年2、3月份</w:t>
      </w:r>
      <w:r>
        <w:rPr>
          <w:rFonts w:hint="eastAsia" w:ascii="宋体" w:hAnsi="宋体" w:cs="宋体"/>
          <w:color w:val="auto"/>
          <w:sz w:val="24"/>
          <w:szCs w:val="24"/>
          <w:highlight w:val="none"/>
        </w:rPr>
        <w:t xml:space="preserve">《盐城工程造价》建设工程材料信息价、市场参考价。</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6、企业管理费按《费用定额》结合苏建价（2016）154号文中的“工程费用取费标准及有关规定”对应的取费标准计取。</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7、利润率：按《费用定额》结合苏建价（2016）154号文中的“工程费用取费标准及有关规定”对应的取费标准计取。</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8、风险费率：招标人在预算价编制时不考虑风险费率，但投标人可按（人工费+除税材料费+除税机械费+管理费+利润-除税工程设备费）的适当比例和相关规定自行考虑。</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二、措施项目部分：</w:t>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（一）单价措施项目：</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详见招标工程量清单。</w:t>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（二）总价措施项目</w:t>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一）通用的总价措施项目费：</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1、安全文明施工措施费：该费用为不可竞争费，在预算价编制和投标报价中应根据文件规定足额计取。</w:t>
      </w:r>
      <w:r/>
    </w:p>
    <w:p>
      <w:pPr>
        <w:ind w:firstLine="42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根据《费用定额》结合苏建价（2016）154号文等文件的规定，</w:t>
      </w:r>
      <w:r>
        <w:rPr>
          <w:rFonts w:hint="eastAsia" w:ascii="宋体" w:hAnsi="宋体" w:cs="宋体"/>
          <w:b/>
          <w:bCs/>
          <w:color w:val="auto"/>
          <w:sz w:val="24"/>
          <w:szCs w:val="24"/>
          <w:highlight w:val="none"/>
        </w:rPr>
        <w:t xml:space="preserve">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2、夜间施工费：招标人在编制预算价时不计取，投标人可根据招标人的工期要求及施工组织设计自行考虑。</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3、非夜间施工照明费：招标人在编制预算价时不计取，投标人可根据招标人的工期要求及施工组织设计自行考虑。</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4、二次搬运费：招标人在编制预算价时不计取，投标人可根据招标人的工期要求及施工组织设计自行考虑。</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5、冬雨季施工增加费：招标人在编制预算价时不计取，投标人可根据招标人的工期要求及施工组织设计自行考虑。</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6、地上地下设施、建筑物的临时保护设施费：招标人在编制预算价时不计取，投标人可根据施工现场实际情况及施工组织设计自行考虑。</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7、已完工程及设备保护费：招标人在编制预算价时不计取，投标人可根据施工组织设计自行计取。</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8、临时设施费：招标人在编制预算价时按费用定额对应类别的中值计取。投标人可根据招标人的工期要求及施工组织设计自行计取。</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9、赶工措施费：招标人在编制预算价时不计取，投标人可根据招标人的工期要求及施工组织设计自行计取。</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10、工程按质论价费：招标人在编制预算价时不计取。 </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11、特殊条件下施工增加费：招标人在编制预算价时不计取。</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12、垃圾清运费用：本工程施工过程中所产生的垃圾应由本工程承包人负责清运，各投标人须在投标报价中自行考虑。</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13、施工临时用电、用水均由承包人自行解决来源并现场单独挂表计量，费用由承包人负责。</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三、其他项目费用：</w:t>
      </w:r>
      <w:bookmarkEnd w:id="732"/>
      <w:r/>
      <w:bookmarkEnd w:id="733"/>
      <w:r/>
      <w:bookmarkEnd w:id="734"/>
      <w:r/>
      <w:bookmarkEnd w:id="735"/>
      <w:r/>
      <w:bookmarkEnd w:id="736"/>
      <w:r/>
      <w:bookmarkEnd w:id="737"/>
      <w:r/>
      <w:bookmarkEnd w:id="738"/>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bookmarkStart w:id="739" w:name="_Toc166856200"/>
      <w:r>
        <w:rPr>
          <w:rFonts w:hint="eastAsia" w:ascii="宋体" w:hAnsi="宋体"/>
          <w:color w:val="auto"/>
          <w:sz w:val="24"/>
          <w:highlight w:val="none"/>
        </w:rPr>
        <w:t xml:space="preserve">1．暂列金额、暂估价：按采购人《其他项目清单与计价汇总表》执行。</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2．计日工：由承发包双方在施工合同中约定，招标时暂不考虑此项费用。</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3．总承包服务费：本工程不计总承包服务费。</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4．其余详见《其他项目清单与计价汇总表》。</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（四）规 费：</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1．环境保护税：按盐市建价字[2018]29号文。</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2．社会保险费和住房公积金：《费用定额》及苏建价[2016]154号中的标准执行。</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（五）税 金：</w:t>
      </w:r>
      <w:r/>
    </w:p>
    <w:p>
      <w:pPr>
        <w:ind w:firstLine="422"/>
        <w:spacing w:line="46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税金是指根据建筑服务销售价格，按规定税率计算的增值税销项税额。并以除税工程造价为计取基础，费率为9%。</w:t>
      </w:r>
      <w:r/>
    </w:p>
    <w:p>
      <w:pPr>
        <w:pStyle w:val="1101"/>
        <w:ind w:firstLine="482"/>
        <w:spacing w:line="360" w:lineRule="auto"/>
        <w:rPr>
          <w:rFonts w:ascii="宋体" w:hAnsi="宋体"/>
          <w:b/>
          <w:color w:val="auto"/>
          <w:sz w:val="24"/>
          <w:highlight w:val="none"/>
        </w:rPr>
        <w:outlineLvl w:val="2"/>
      </w:pPr>
      <w:r/>
      <w:bookmarkStart w:id="740" w:name="_Toc203032704"/>
      <w:r>
        <w:rPr>
          <w:rFonts w:hint="eastAsia" w:ascii="宋体" w:hAnsi="宋体"/>
          <w:b/>
          <w:color w:val="auto"/>
          <w:sz w:val="24"/>
          <w:highlight w:val="none"/>
        </w:rPr>
        <w:t xml:space="preserve">四、报价、计价说明</w:t>
      </w:r>
      <w:bookmarkEnd w:id="740"/>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1.投标报价应包含完成本竞争性磋商文件中的全部内容所需的所有费用。</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2.磋商供应商应充分了解施工场地的位置、周边环境、道路、装卸、保管、安装限制以及影响投标报价的其他要素，结合市场情况进行投标报价。</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3.</w:t>
      </w:r>
      <w:r>
        <w:rPr>
          <w:rFonts w:hint="eastAsia" w:ascii="宋体" w:hAnsi="宋体" w:cs="宋体"/>
          <w:color w:val="auto"/>
          <w:sz w:val="24"/>
          <w:highlight w:val="none"/>
          <w:shd w:val="clear" w:color="auto" w:fill="ffffff"/>
        </w:rPr>
        <w:t xml:space="preserve">投标报价方式：本项目投标报价采用“工程量清单计价法”（工程量计算规则依据《建设工程工程量清单计价规范》（GB50500-2013））。</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对采购人提供的工程量清单如有异议（包括对工程量清单中漏项的疑问），应在</w:t>
      </w:r>
      <w:r>
        <w:rPr>
          <w:rFonts w:hint="eastAsia" w:ascii="宋体" w:hAnsi="宋体"/>
          <w:b/>
          <w:color w:val="auto"/>
          <w:sz w:val="24"/>
          <w:highlight w:val="none"/>
        </w:rPr>
        <w:t xml:space="preserve">提交首次响应文件截止时间五日前</w:t>
      </w:r>
      <w:r>
        <w:rPr>
          <w:rFonts w:hint="eastAsia" w:ascii="宋体" w:hAnsi="宋体" w:cs="宋体"/>
          <w:color w:val="auto"/>
          <w:sz w:val="24"/>
          <w:highlight w:val="none"/>
          <w:shd w:val="clear" w:color="auto" w:fill="ffffff"/>
        </w:rPr>
        <w:t xml:space="preserve">向</w:t>
      </w:r>
      <w:r>
        <w:rPr>
          <w:rFonts w:hint="eastAsia" w:ascii="宋体" w:hAnsi="宋体"/>
          <w:color w:val="auto"/>
          <w:sz w:val="24"/>
          <w:highlight w:val="none"/>
        </w:rPr>
        <w:t xml:space="preserve">采购人或采购代理机构提出</w:t>
      </w:r>
      <w:r>
        <w:rPr>
          <w:rFonts w:hint="eastAsia" w:ascii="宋体" w:hAnsi="宋体" w:cs="宋体"/>
          <w:color w:val="auto"/>
          <w:sz w:val="24"/>
          <w:highlight w:val="none"/>
          <w:shd w:val="clear" w:color="auto" w:fill="ffffff"/>
        </w:rPr>
        <w:t xml:space="preserve">。各</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4.合同定价方式</w:t>
      </w:r>
      <w:r/>
    </w:p>
    <w:p>
      <w:pPr>
        <w:pStyle w:val="1101"/>
        <w:ind w:firstLine="480"/>
        <w:spacing w:line="360" w:lineRule="auto"/>
        <w:rPr>
          <w:rFonts w:ascii="宋体" w:hAnsi="宋体"/>
          <w:color w:val="auto"/>
          <w:sz w:val="24"/>
          <w:highlight w:val="none"/>
        </w:rPr>
      </w:pPr>
      <w:r>
        <w:rPr>
          <w:rFonts w:hint="eastAsia" w:ascii="宋体" w:hAnsi="宋体" w:cs="宋体"/>
          <w:color w:val="auto"/>
          <w:sz w:val="24"/>
          <w:highlight w:val="none"/>
          <w:shd w:val="clear" w:color="auto" w:fill="ffffff"/>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以工程量清单及图纸为基础填报相应的单价并计算合价。采购人要求</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5.投标报价的要求</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5.1采购人提供工程量清单应与</w:t>
      </w:r>
      <w:r>
        <w:rPr>
          <w:rFonts w:hint="eastAsia" w:ascii="宋体" w:hAnsi="宋体" w:cs="宋体"/>
          <w:color w:val="auto"/>
          <w:sz w:val="24"/>
          <w:highlight w:val="none"/>
          <w:shd w:val="clear" w:color="auto" w:fill="ffffff"/>
        </w:rPr>
        <w:t xml:space="preserve">竞争性磋商</w:t>
      </w:r>
      <w:r>
        <w:rPr>
          <w:rFonts w:hint="eastAsia" w:ascii="宋体" w:hAnsi="宋体"/>
          <w:color w:val="auto"/>
          <w:sz w:val="24"/>
          <w:highlight w:val="none"/>
        </w:rPr>
        <w:t xml:space="preserve">文件一起参照阅读；</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1101"/>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5.5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5.6 如磋商供应商在投标时承诺质量标准达到合格以上等级的，应在投标报价时足额考虑创优所增加的施工成本，相关费用采购人不再另行支付；</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5.7综合单价的组成：完成一个规定清单项目所需的人工费、材料费和工程设备费、施工机具使用费和企业管理费与利润，以及一定范围内的风险费用；</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5.8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5.9 规费和税金应按招标工程量清单中的规定标准执行；</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5.11投标总价应当与分部分项工程费、措施项目费、其他项目费和规费、税金的合计金额一致。</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spacing w:line="440" w:lineRule="exact"/>
        <w:rPr>
          <w:rFonts w:ascii="宋体" w:hAnsi="宋体" w:cs="宋体"/>
          <w:b/>
          <w:color w:val="auto"/>
          <w:sz w:val="24"/>
          <w:highlight w:val="none"/>
        </w:rPr>
      </w:pPr>
      <w:r>
        <w:rPr>
          <w:rFonts w:hint="eastAsia" w:ascii="宋体" w:hAnsi="宋体"/>
          <w:b/>
          <w:color w:val="auto"/>
          <w:sz w:val="24"/>
          <w:highlight w:val="none"/>
        </w:rPr>
        <w:t xml:space="preserve">5.13</w:t>
      </w:r>
      <w:r>
        <w:rPr>
          <w:rFonts w:hint="eastAsia" w:ascii="宋体" w:hAnsi="宋体" w:cs="宋体"/>
          <w:b/>
          <w:color w:val="auto"/>
          <w:sz w:val="24"/>
          <w:highlight w:val="none"/>
        </w:rPr>
        <w:t xml:space="preserve">特别提醒：</w:t>
      </w:r>
      <w:r>
        <w:rPr>
          <w:rFonts w:hint="eastAsia" w:ascii="宋体" w:hAnsi="宋体"/>
          <w:b/>
          <w:color w:val="auto"/>
          <w:sz w:val="24"/>
          <w:highlight w:val="none"/>
        </w:rPr>
        <w:t xml:space="preserve">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spacing w:line="440" w:lineRule="exact"/>
        <w:rPr>
          <w:color w:val="auto"/>
          <w:highlight w:val="none"/>
        </w:rPr>
      </w:pPr>
      <w:r>
        <w:rPr>
          <w:rFonts w:hint="eastAsia" w:ascii="宋体" w:hAnsi="宋体"/>
          <w:b/>
          <w:color w:val="auto"/>
          <w:sz w:val="24"/>
          <w:highlight w:val="none"/>
        </w:rPr>
        <w:t xml:space="preserve">5.14供应商最后报价为响应文件中已标价工程量清单总价下浮后得到（各清单项的数量不变，单价同比例下浮，其中暂列金额、暂估价、甲供材及其规费和税金不下浮）。</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五、磋商文件中“磋商响应报价表”均指已标价工程量清单。</w:t>
      </w:r>
      <w:bookmarkEnd w:id="739"/>
      <w:r/>
      <w:r/>
    </w:p>
    <w:p>
      <w:pPr>
        <w:ind w:firstLine="482"/>
        <w:spacing w:line="440" w:lineRule="exact"/>
        <w:rPr>
          <w:rFonts w:hint="eastAsia" w:ascii="宋体" w:hAnsi="宋体" w:eastAsia="宋体"/>
          <w:b/>
          <w:color w:val="auto"/>
          <w:sz w:val="24"/>
          <w:highlight w:val="none"/>
          <w:lang w:eastAsia="zh-CN"/>
        </w:rPr>
      </w:pPr>
      <w:r>
        <w:rPr>
          <w:rFonts w:hint="eastAsia" w:ascii="宋体" w:hAnsi="宋体" w:eastAsia="宋体"/>
          <w:b/>
          <w:color w:val="auto"/>
          <w:sz w:val="24"/>
          <w:highlight w:val="none"/>
          <w:lang w:eastAsia="zh-CN"/>
        </w:rPr>
        <w:t xml:space="preserve">见附件</w:t>
      </w:r>
      <w:r/>
    </w:p>
    <w:p>
      <w:pPr>
        <w:pStyle w:val="775"/>
        <w:ind w:firstLine="482"/>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工程量清单及图纸见网盘：通过网盘分享的文件：工程量清单及图纸盐渎实验学校教学楼屋顶渗漏维修工程.zip</w:t>
      </w:r>
      <w:bookmarkStart w:id="771" w:name="_GoBack"/>
      <w:r/>
      <w:bookmarkEnd w:id="771"/>
      <w:r/>
      <w:r/>
    </w:p>
    <w:p>
      <w:pPr>
        <w:pStyle w:val="775"/>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链接: https://pan.baidu.com/s/1CTyHhJ7zsmBcVQTnZRgYHQ?pwd=3m7q 提取码: 3m7q</w:t>
      </w:r>
      <w:r/>
    </w:p>
    <w:p>
      <w:pPr>
        <w:pStyle w:val="1118"/>
        <w:ind w:firstLine="482"/>
        <w:spacing w:line="480" w:lineRule="exact"/>
        <w:rPr>
          <w:rFonts w:hint="eastAsia" w:ascii="宋体" w:hAnsi="宋体" w:eastAsia="宋体" w:cs="Times New Roman"/>
          <w:b/>
          <w:color w:val="auto"/>
          <w:sz w:val="24"/>
          <w:szCs w:val="24"/>
          <w:highlight w:val="none"/>
          <w:lang w:val="en-US" w:eastAsia="zh-CN" w:bidi="ar-SA"/>
        </w:rPr>
        <w:outlineLvl w:val="1"/>
      </w:pPr>
      <w:r/>
      <w:bookmarkStart w:id="741" w:name="_Toc203032705"/>
      <w:r>
        <w:rPr>
          <w:rFonts w:hint="eastAsia" w:ascii="宋体" w:hAnsi="宋体" w:eastAsia="宋体" w:cs="Times New Roman"/>
          <w:b/>
          <w:color w:val="auto"/>
          <w:sz w:val="24"/>
          <w:szCs w:val="24"/>
          <w:highlight w:val="none"/>
          <w:lang w:val="en-US" w:eastAsia="zh-CN" w:bidi="ar-SA"/>
        </w:rPr>
        <w:t xml:space="preserve">六、工程及材料技术要求</w:t>
      </w:r>
      <w:bookmarkEnd w:id="741"/>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1、工程质量应达到的等级：达到国标验收规范合格要求。</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、材料进场、垃圾外运时需注意对业主方道路、道板及绿化的保护，如有损坏，成交人应恢复原样，相关维修费由成交人自理。</w:t>
      </w:r>
      <w:r/>
    </w:p>
    <w:p>
      <w:pPr>
        <w:pStyle w:val="1101"/>
        <w:ind w:firstLine="480"/>
        <w:spacing w:line="360" w:lineRule="auto"/>
        <w:rPr>
          <w:rFonts w:ascii="宋体" w:hAnsi="宋体"/>
          <w:b/>
          <w:bCs/>
          <w:color w:val="auto"/>
          <w:sz w:val="24"/>
          <w:highlight w:val="none"/>
        </w:rPr>
      </w:pPr>
      <w:r/>
      <w:bookmarkStart w:id="742" w:name="_Toc195778616"/>
      <w:r/>
      <w:bookmarkStart w:id="743" w:name="_Toc166856202"/>
      <w:r>
        <w:rPr>
          <w:rFonts w:hint="eastAsia" w:ascii="宋体" w:hAnsi="宋体"/>
          <w:b/>
          <w:bCs/>
          <w:color w:val="auto"/>
          <w:sz w:val="24"/>
          <w:highlight w:val="none"/>
        </w:rPr>
        <w:t xml:space="preserve">七、类似业绩</w:t>
      </w:r>
      <w:bookmarkEnd w:id="7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供应商需要具备丰富的类似项目承接经验，确保本项目的顺利实施，自202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年1月1日以来（以合同签订日期为准），供应商具有类似业绩的优先。</w:t>
      </w:r>
      <w:r/>
    </w:p>
    <w:p>
      <w:pPr>
        <w:pStyle w:val="1101"/>
        <w:ind w:firstLine="480"/>
        <w:spacing w:line="360" w:lineRule="auto"/>
        <w:rPr>
          <w:rFonts w:ascii="宋体" w:hAnsi="宋体"/>
          <w:b/>
          <w:bCs/>
          <w:color w:val="auto"/>
          <w:sz w:val="24"/>
          <w:highlight w:val="none"/>
        </w:rPr>
      </w:pPr>
      <w:r/>
      <w:bookmarkStart w:id="744" w:name="_Toc195778617"/>
      <w:r>
        <w:rPr>
          <w:rFonts w:hint="eastAsia" w:ascii="宋体" w:hAnsi="宋体"/>
          <w:b/>
          <w:bCs/>
          <w:color w:val="auto"/>
          <w:sz w:val="24"/>
          <w:highlight w:val="none"/>
        </w:rPr>
        <w:t xml:space="preserve">八、投标人投标时应提供以下方案</w:t>
      </w:r>
      <w:bookmarkEnd w:id="744"/>
      <w:r/>
      <w:r/>
    </w:p>
    <w:p>
      <w:pPr>
        <w:pStyle w:val="1101"/>
        <w:ind w:firstLine="480"/>
        <w:spacing w:line="360" w:lineRule="auto"/>
        <w:rPr>
          <w:rFonts w:ascii="宋体" w:hAnsi="宋体"/>
          <w:color w:val="auto"/>
          <w:sz w:val="24"/>
          <w:highlight w:val="none"/>
        </w:rPr>
      </w:pPr>
      <w:r/>
      <w:bookmarkStart w:id="745" w:name="_Toc195778618"/>
      <w:r>
        <w:rPr>
          <w:rFonts w:hint="eastAsia" w:ascii="宋体" w:hAnsi="宋体"/>
          <w:color w:val="auto"/>
          <w:sz w:val="24"/>
          <w:highlight w:val="none"/>
        </w:rPr>
        <w:t xml:space="preserve">投标人应根据采购需求和本项目实际，制订相应的方案至少包括以下内容：</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rPr>
        <w:t xml:space="preserve">施工方案、技术措施及后期服务方案</w:t>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①施工准备方案：</w:t>
      </w:r>
      <w:r/>
    </w:p>
    <w:p>
      <w:pPr>
        <w:pStyle w:val="1101"/>
        <w:ind w:firstLine="480"/>
        <w:spacing w:line="360" w:lineRule="auto"/>
      </w:pPr>
      <w:r>
        <w:rPr>
          <w:rFonts w:hint="eastAsia" w:ascii="宋体" w:hAnsi="宋体"/>
          <w:color w:val="auto"/>
          <w:sz w:val="24"/>
          <w:highlight w:val="none"/>
        </w:rPr>
        <w:t xml:space="preserve">（1）项目组织机构设置及人员配备情况，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（2）施工场地规划与临时设施布置须符合国家及地方的法律法规、行业标准，满足施工生产的基本需求，优先考虑施工安全，设置安全防护设施，保证人员和设备安全。</w:t>
      </w:r>
      <w:r>
        <w:rPr>
          <w:rFonts w:hint="eastAsia" w:ascii="宋体" w:hAnsi="宋体"/>
          <w:color w:val="auto"/>
          <w:sz w:val="24"/>
          <w:highlight w:val="none"/>
        </w:rP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3）材料设备采购及进场计划须包含采购计划和进场管控。采购计划管控：材料设备采购清单需明确规格、数量误差范围（≤±2%），到货时间偏差不超过计划时间24小时。进场检验：材料进场后抽样检验比例≥3%（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检验合格率100%方可入库；材料进场时间需比施工需求提</w:t>
      </w:r>
      <w:r>
        <w:rPr>
          <w:rFonts w:hint="eastAsia" w:ascii="宋体" w:hAnsi="宋体"/>
          <w:color w:val="auto"/>
          <w:sz w:val="24"/>
          <w:highlight w:val="none"/>
        </w:rPr>
        <w:t xml:space="preserve">前3日及以上，延误率0%。</w:t>
      </w:r>
      <w:r>
        <w:rPr>
          <w:rFonts w:hint="eastAsia" w:ascii="宋体" w:hAnsi="宋体"/>
          <w:color w:val="auto"/>
          <w:sz w:val="24"/>
          <w:highlight w:val="none"/>
        </w:rPr>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②</w:t>
      </w:r>
      <w:r>
        <w:rPr>
          <w:rFonts w:hint="eastAsia" w:ascii="宋体" w:hAnsi="宋体"/>
          <w:color w:val="auto"/>
          <w:sz w:val="24"/>
          <w:highlight w:val="none"/>
        </w:rPr>
        <w:t xml:space="preserve">施工项目目标控制方案</w:t>
      </w:r>
      <w:r>
        <w:rPr>
          <w:rFonts w:hint="eastAsia" w:ascii="宋体" w:hAnsi="宋体"/>
          <w:color w:val="auto"/>
          <w:sz w:val="24"/>
          <w:highlight w:val="none"/>
        </w:rPr>
        <w:t xml:space="preserve">：</w:t>
      </w:r>
      <w:r/>
    </w:p>
    <w:p>
      <w:pPr>
        <w:pStyle w:val="1101"/>
        <w:ind w:firstLine="480"/>
        <w:spacing w:line="360" w:lineRule="auto"/>
      </w:pPr>
      <w:r>
        <w:rPr>
          <w:rFonts w:hint="eastAsia" w:ascii="宋体" w:hAnsi="宋体"/>
          <w:color w:val="auto"/>
          <w:sz w:val="24"/>
          <w:highlight w:val="none"/>
        </w:rPr>
        <w:t xml:space="preserve">（1）质量目标控制。材料检验：进场材料查验凭证（合格证、检验报告）齐全率100%，抽样送检率100%（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不合格材料退场率100%。质量巡查：项目质量员每日开展2次（上午、下午各1次）质量巡查，巡查记录完整率100%；每周组织1次质量专项检查，问题整改闭环</w:t>
      </w:r>
      <w:r>
        <w:rPr>
          <w:rFonts w:hint="eastAsia" w:ascii="宋体" w:hAnsi="宋体"/>
          <w:color w:val="auto"/>
          <w:sz w:val="24"/>
          <w:highlight w:val="none"/>
        </w:rPr>
        <w:t xml:space="preserve">率100%。验收标准：各分项工程质量验收合格率100%，优良率≥85%，无重大质量缺陷。</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3）安全目标控制，至少包含对施工人员进行安全教育培训和安全技术交底，提高安全意识；设置明显的安全警示标志，配备齐全的安全防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w:t>
      </w:r>
      <w:r>
        <w:rPr>
          <w:rFonts w:hint="eastAsia" w:ascii="宋体" w:hAnsi="宋体"/>
          <w:color w:val="auto"/>
          <w:sz w:val="24"/>
          <w:highlight w:val="none"/>
        </w:rPr>
        <w:t xml:space="preserve">：专职安全员每日2次安全巡查，每周1次综合安全检查，隐患整改率100%；重伤及以上安全事故发生率0%，轻伤事故频率≤1‰。</w:t>
      </w:r>
      <w:r>
        <w:rPr>
          <w:rFonts w:hint="eastAsia" w:ascii="宋体" w:hAnsi="宋体"/>
          <w:color w:val="auto"/>
          <w:sz w:val="24"/>
          <w:highlight w:val="none"/>
        </w:rP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等）损耗率≤3%，辅助材料损耗率≤5%，超损耗部分需提供详细说明并经采购人确认。</w:t>
      </w:r>
      <w:r>
        <w:rPr>
          <w:rFonts w:hint="eastAsia" w:ascii="宋体" w:hAnsi="宋体"/>
          <w:color w:val="auto"/>
          <w:sz w:val="24"/>
          <w:highlight w:val="none"/>
        </w:rPr>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③</w:t>
      </w:r>
      <w:r>
        <w:rPr>
          <w:rFonts w:hint="eastAsia" w:ascii="宋体" w:hAnsi="宋体"/>
          <w:color w:val="auto"/>
          <w:sz w:val="24"/>
          <w:highlight w:val="none"/>
        </w:rPr>
        <w:t xml:space="preserve">技术措施方案内容</w:t>
      </w:r>
      <w:r>
        <w:rPr>
          <w:rFonts w:hint="eastAsia" w:ascii="宋体" w:hAnsi="宋体"/>
          <w:color w:val="auto"/>
          <w:sz w:val="24"/>
          <w:highlight w:val="none"/>
        </w:rPr>
        <w:t xml:space="preserve">：</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r>
      <w:r>
        <w:rPr>
          <w:rFonts w:hint="eastAsia" w:ascii="宋体" w:hAnsi="宋体"/>
          <w:color w:val="auto"/>
          <w:sz w:val="24"/>
          <w:highlight w:val="none"/>
        </w:rPr>
        <w:t xml:space="preserve">屋面防水卷材拆除、重新施工，至少包含拆除、废料处置、重新施工等内容，铲除后基层表面应无油污、浮灰、松散物，铲除产生的废料需每日封闭运输至指定堆放点，不得遗留于现场。施工过程中需对周边保留墙体、门窗等采取覆盖保护措施，防止磕碰与污染</w:t>
      </w:r>
      <w:r>
        <w:rPr>
          <w:rFonts w:hint="eastAsia" w:ascii="宋体" w:hAnsi="宋体"/>
          <w:color w:val="auto"/>
          <w:sz w:val="24"/>
          <w:highlight w:val="none"/>
        </w:rPr>
        <w:t xml:space="preserve">等。</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rPr>
        <w:t xml:space="preserve">工程进度计划与保证措施</w:t>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①</w:t>
      </w:r>
      <w:r>
        <w:rPr>
          <w:rFonts w:hint="eastAsia" w:ascii="宋体" w:hAnsi="宋体"/>
          <w:color w:val="auto"/>
          <w:sz w:val="24"/>
          <w:highlight w:val="none"/>
        </w:rPr>
        <w:t xml:space="preserve">进度计划</w:t>
      </w:r>
      <w:r>
        <w:rPr>
          <w:rFonts w:hint="eastAsia" w:ascii="宋体" w:hAnsi="宋体"/>
          <w:color w:val="auto"/>
          <w:sz w:val="24"/>
          <w:highlight w:val="none"/>
        </w:rPr>
        <w:t xml:space="preserve">：</w:t>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r>
      <w:r>
        <w:rPr>
          <w:rFonts w:ascii="SimSun" w:hAnsi="SimSun" w:eastAsia="SimSun" w:cs="SimSun"/>
          <w:color w:val="000000"/>
          <w:sz w:val="24"/>
        </w:rPr>
        <w:t xml:space="preserve">至少包含（1）前期准备阶段；（2）拆除阶段；（3）防水卷材铺设阶段（4）清理验收阶段等时间及工序进度计划，总工期≤30日历天。</w:t>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②</w:t>
      </w:r>
      <w:r>
        <w:rPr>
          <w:rFonts w:hint="eastAsia" w:ascii="宋体" w:hAnsi="宋体"/>
          <w:color w:val="auto"/>
          <w:sz w:val="24"/>
          <w:highlight w:val="none"/>
        </w:rPr>
        <w:t xml:space="preserve">保证措施</w:t>
      </w:r>
      <w:r>
        <w:rPr>
          <w:rFonts w:hint="eastAsia" w:ascii="宋体" w:hAnsi="宋体"/>
          <w:color w:val="auto"/>
          <w:sz w:val="24"/>
          <w:highlight w:val="none"/>
        </w:rPr>
        <w:t xml:space="preserve">：</w:t>
      </w:r>
      <w:r/>
    </w:p>
    <w:p>
      <w:pPr>
        <w:pStyle w:val="1101"/>
        <w:ind w:firstLine="480"/>
        <w:spacing w:line="360" w:lineRule="auto"/>
      </w:pPr>
      <w:r>
        <w:rPr>
          <w:rFonts w:hint="eastAsia" w:ascii="宋体" w:hAnsi="宋体"/>
          <w:color w:val="auto"/>
          <w:sz w:val="24"/>
          <w:highlight w:val="none"/>
        </w:rPr>
        <w:t xml:space="preserve">（1）人员保障：明确各工序负责人，合理调配人力，在关键工序增加施工人员，加快施工速度。人员到位率100%，缺勤率≤3%。</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（2）材料保障：主要材料储备量≥3天施工用量，备用材料储备率100%；材料短缺响应时间≤2小时，补货到位时间≤24小时。</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（3）工序衔接：制定详细的工序交接清单，合理安排各工序施工顺序。</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（4）进度监控：工序交接清单编制完整率100%，交接验收合格率100%；上一工序完成后，下一工序进场间隔≤8小时。</w:t>
      </w:r>
      <w:r>
        <w:rPr>
          <w:rFonts w:hint="eastAsia" w:ascii="宋体" w:hAnsi="宋体"/>
          <w:color w:val="auto"/>
          <w:sz w:val="24"/>
          <w:highlight w:val="none"/>
        </w:rP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（5）应急处理：针对恶劣天气（暴雨、台风等），提前48小时制定应对方案；安全事故发生后，响应时间≤1小时，处理完成时间≤72小时（一般事故），最大限度减少工期延误（延误≤2天）。</w:t>
      </w:r>
      <w:r>
        <w:rPr>
          <w:rFonts w:hint="eastAsia" w:ascii="宋体" w:hAnsi="宋体"/>
          <w:color w:val="auto"/>
          <w:sz w:val="24"/>
          <w:highlight w:val="none"/>
        </w:rPr>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t xml:space="preserve">安全管理方案和措施</w:t>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①安全管理方案：</w:t>
      </w:r>
      <w:r/>
    </w:p>
    <w:p>
      <w:pPr>
        <w:pStyle w:val="1101"/>
        <w:ind w:firstLine="480"/>
        <w:spacing w:line="360" w:lineRule="auto"/>
      </w:pPr>
      <w:r>
        <w:rPr>
          <w:rFonts w:hint="eastAsia" w:ascii="宋体" w:hAnsi="宋体"/>
          <w:color w:val="auto"/>
          <w:sz w:val="24"/>
          <w:highlight w:val="none"/>
        </w:rPr>
        <w:t xml:space="preserve">（1）安全目标：重伤及以上安全事故发生率0%，轻伤事故频率≤1‰，施工人员安全培训覆盖率100%，设备设施完好率≥98%。</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（2）责任体系：项目开工后7日内完成安全责任书签订，签订率100%；专职安全员持证上岗率100%，施工班组每20人设1名兼职安全员，兼职安全员培训考核合格率100%。</w:t>
      </w:r>
      <w:r>
        <w:rPr>
          <w:rFonts w:hint="eastAsia" w:ascii="宋体" w:hAnsi="宋体"/>
          <w:color w:val="auto"/>
          <w:sz w:val="24"/>
          <w:highlight w:val="none"/>
        </w:rP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（3）制度执行：安全生产教育培训记录、安全检查记录、隐患整改记录等资料留存率100%；应急管理制度备案完成时间≤项目开工后15天。</w:t>
      </w:r>
      <w:r>
        <w:rPr>
          <w:rFonts w:hint="eastAsia" w:ascii="宋体" w:hAnsi="宋体"/>
          <w:color w:val="auto"/>
          <w:sz w:val="24"/>
          <w:highlight w:val="none"/>
        </w:rPr>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②</w:t>
      </w:r>
      <w:r>
        <w:rPr>
          <w:rFonts w:hint="eastAsia" w:ascii="宋体" w:hAnsi="宋体"/>
          <w:color w:val="auto"/>
          <w:sz w:val="24"/>
          <w:highlight w:val="none"/>
        </w:rPr>
        <w:t xml:space="preserve">安全保证措施方案</w:t>
      </w:r>
      <w:r/>
      <w:r>
        <w:rPr>
          <w:rFonts w:hint="eastAsia" w:ascii="宋体" w:hAnsi="宋体"/>
          <w:color w:val="auto"/>
          <w:sz w:val="24"/>
          <w:highlight w:val="none"/>
        </w:rPr>
        <w:t xml:space="preserve">：</w:t>
      </w:r>
      <w:r/>
    </w:p>
    <w:p>
      <w:pPr>
        <w:pStyle w:val="1101"/>
        <w:ind w:firstLine="480"/>
        <w:spacing w:line="360" w:lineRule="auto"/>
      </w:pPr>
      <w:r>
        <w:rPr>
          <w:rFonts w:hint="eastAsia" w:ascii="宋体" w:hAnsi="宋体"/>
          <w:color w:val="auto"/>
          <w:sz w:val="24"/>
          <w:highlight w:val="none"/>
        </w:rPr>
        <w:t xml:space="preserve">（1）施工前安全准备：安全技术交底覆盖率100%，交底记录签字率100%；安全警示标志设置数量≥施工区域面积/50㎡（每50㎡至少1处），标志完好率100%。</w:t>
      </w:r>
      <w:r>
        <w:rPr>
          <w:rFonts w:hint="eastAsia" w:ascii="宋体" w:hAnsi="宋体"/>
          <w:color w:val="auto"/>
          <w:sz w:val="24"/>
          <w:highlight w:val="none"/>
        </w:rP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（2）各施工环节安全控制：至少包含拆除屋面防水卷材、屋面防水卷材施工等环节的安全控制。</w:t>
      </w:r>
      <w:r>
        <w:rPr>
          <w:rFonts w:hint="eastAsia" w:ascii="宋体" w:hAnsi="宋体"/>
          <w:color w:val="auto"/>
          <w:sz w:val="24"/>
          <w:highlight w:val="none"/>
        </w:rPr>
      </w:r>
      <w:r/>
    </w:p>
    <w:p>
      <w:pPr>
        <w:pStyle w:val="1101"/>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③</w:t>
      </w:r>
      <w:r>
        <w:rPr>
          <w:rFonts w:hint="eastAsia" w:ascii="宋体" w:hAnsi="宋体"/>
          <w:color w:val="auto"/>
          <w:sz w:val="24"/>
          <w:highlight w:val="none"/>
        </w:rPr>
        <w:t xml:space="preserve">现场安全防护：至少包含施工现场设置临时围挡，与其他区域隔离，防止无关人员误入；对裸露的电线、管道接口等进行遮盖或保护，避免人员触碰受伤等。</w:t>
      </w:r>
      <w:r>
        <w:rPr>
          <w:rFonts w:hint="eastAsia" w:ascii="宋体" w:hAnsi="宋体"/>
          <w:color w:val="auto"/>
          <w:sz w:val="24"/>
          <w:highlight w:val="none"/>
        </w:rPr>
      </w:r>
      <w:r/>
    </w:p>
    <w:p>
      <w:pPr>
        <w:pStyle w:val="1101"/>
        <w:ind w:firstLine="480"/>
        <w:spacing w:line="360" w:lineRule="auto"/>
      </w:pPr>
      <w:r>
        <w:rPr>
          <w:rFonts w:hint="eastAsia" w:ascii="宋体" w:hAnsi="宋体"/>
          <w:color w:val="auto"/>
          <w:sz w:val="24"/>
          <w:highlight w:val="none"/>
        </w:rPr>
        <w:t xml:space="preserve">④</w:t>
      </w:r>
      <w:r>
        <w:rPr>
          <w:rFonts w:ascii="宋体" w:hAnsi="宋体"/>
          <w:color w:val="auto"/>
          <w:sz w:val="24"/>
          <w:szCs w:val="24"/>
          <w:highlight w:val="none"/>
        </w:rPr>
      </w:r>
      <w:r>
        <w:rPr>
          <w:rFonts w:hint="eastAsia" w:ascii="宋体" w:hAnsi="宋体"/>
          <w:color w:val="auto"/>
          <w:sz w:val="24"/>
          <w:highlight w:val="none"/>
        </w:rPr>
        <w:t xml:space="preserve">安全检查与隐患整改</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专职安全员每日2次巡查，隐患发现率100%；一般隐患整改时间≤24小时，较大隐患整改时间≤48小时，整改闭环率100%。</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⑤应急处置</w:t>
      </w:r>
      <w:r>
        <w:rPr>
          <w:rFonts w:hint="eastAsia" w:ascii="宋体" w:hAnsi="宋体"/>
          <w:color w:val="auto"/>
          <w:sz w:val="24"/>
          <w:highlight w:val="none"/>
        </w:rPr>
      </w:r>
    </w:p>
    <w:p>
      <w:pPr>
        <w:pStyle w:val="1101"/>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应急演练每月1次，参与率≥90%，演练总结报告编制完成时间≤演练后3天；应急救援箱配置数量≥施工人数/50人（每50人至少1套），应急照明覆盖范围100%，连续供电时间≥3小时。</w:t>
      </w:r>
      <w:r>
        <w:rPr>
          <w:rFonts w:hint="eastAsia" w:ascii="宋体" w:hAnsi="宋体"/>
          <w:color w:val="auto"/>
          <w:sz w:val="24"/>
          <w:highlight w:val="none"/>
        </w:rPr>
      </w:r>
      <w:r>
        <w:rPr>
          <w:rFonts w:hint="eastAsia" w:ascii="宋体" w:hAnsi="宋体"/>
          <w:color w:val="auto"/>
          <w:sz w:val="24"/>
          <w:highlight w:val="none"/>
        </w:rPr>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4.质量管理方案和措施</w:t>
      </w:r>
      <w:r/>
    </w:p>
    <w:p>
      <w:pPr>
        <w:pStyle w:val="1101"/>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①</w:t>
      </w:r>
      <w:r>
        <w:rPr>
          <w:rFonts w:hint="eastAsia" w:ascii="宋体" w:hAnsi="宋体"/>
          <w:color w:val="auto"/>
          <w:sz w:val="24"/>
          <w:highlight w:val="none"/>
        </w:rPr>
        <w:t xml:space="preserve">质量管理方案</w:t>
      </w:r>
      <w:r>
        <w:rPr>
          <w:rFonts w:hint="eastAsia" w:ascii="宋体" w:hAnsi="宋体"/>
          <w:color w:val="auto"/>
          <w:sz w:val="24"/>
          <w:highlight w:val="none"/>
        </w:rPr>
        <w:t xml:space="preserve">：</w:t>
      </w:r>
      <w:r/>
    </w:p>
    <w:p>
      <w:pPr>
        <w:pStyle w:val="1101"/>
        <w:ind w:firstLine="480"/>
        <w:spacing w:line="360" w:lineRule="auto"/>
      </w:pPr>
      <w:r>
        <w:rPr>
          <w:rFonts w:hint="eastAsia" w:ascii="宋体" w:hAnsi="宋体"/>
          <w:color w:val="auto"/>
          <w:sz w:val="24"/>
          <w:highlight w:val="none"/>
        </w:rPr>
        <w:t xml:space="preserve">（1）质量目标：工程质量验收合格率100%，优良率≥85%，重大质量缺陷发生率0%，材料进场检验合格率100%（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color w:val="auto"/>
          <w:sz w:val="24"/>
          <w:highlight w:val="none"/>
        </w:rPr>
      </w:r>
    </w:p>
    <w:p>
      <w:pPr>
        <w:pStyle w:val="1101"/>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（2）质量管理体系：专职质量检查员持证上岗率100%，施工班组质量监督员配置率100%，质量管理文件备案完成时间≤项目开工后10天。</w:t>
      </w:r>
      <w:r>
        <w:rPr>
          <w:rFonts w:hint="eastAsia" w:ascii="宋体" w:hAnsi="宋体"/>
          <w:color w:val="auto"/>
          <w:sz w:val="24"/>
          <w:highlight w:val="none"/>
        </w:rPr>
      </w:r>
      <w:r>
        <w:rPr>
          <w:rFonts w:hint="eastAsia" w:ascii="宋体" w:hAnsi="宋体"/>
          <w:color w:val="auto"/>
          <w:sz w:val="24"/>
          <w:highlight w:val="none"/>
        </w:rPr>
      </w:r>
      <w:r/>
    </w:p>
    <w:p>
      <w:pPr>
        <w:pStyle w:val="1101"/>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②</w:t>
      </w:r>
      <w:r>
        <w:rPr>
          <w:rFonts w:hint="eastAsia" w:ascii="宋体" w:hAnsi="宋体"/>
          <w:color w:val="auto"/>
          <w:sz w:val="24"/>
          <w:highlight w:val="none"/>
        </w:rPr>
        <w:t xml:space="preserve">具体质量措施</w:t>
      </w:r>
      <w:r>
        <w:rPr>
          <w:rFonts w:hint="eastAsia" w:ascii="宋体" w:hAnsi="宋体"/>
          <w:color w:val="auto"/>
          <w:sz w:val="24"/>
          <w:highlight w:val="none"/>
        </w:rPr>
        <w:t xml:space="preserve">：</w:t>
      </w:r>
      <w:r/>
    </w:p>
    <w:p>
      <w:pPr>
        <w:pStyle w:val="1101"/>
        <w:ind w:firstLine="480"/>
        <w:spacing w:line="360" w:lineRule="auto"/>
      </w:pPr>
      <w:r>
        <w:rPr>
          <w:rFonts w:hint="eastAsia" w:ascii="宋体" w:hAnsi="宋体"/>
          <w:color w:val="auto"/>
          <w:sz w:val="24"/>
          <w:highlight w:val="none"/>
        </w:rPr>
        <w:t xml:space="preserve">（1）材料质量控制：材料进场时需提供合格证、检验报告等资料，不合格材料严禁进场使用（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（2）施工前质量准备：组织施工人员进行详细的技术交底，明确各工序的质量控制点和施工要求。</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（3）各工序质量控制：各分项工程工序自检合格率100%，复检合格率100%，未验收合格工序不得进入下一道，工序验收记录完整率100%。</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（4）质量检查与验收：每道工序完成后，施工班组先进行自检，自检合格后报质量检查员复检，验收合格签字确认后方可进入下道工序。</w:t>
      </w:r>
      <w:r>
        <w:rPr>
          <w:rFonts w:hint="eastAsia" w:ascii="宋体" w:hAnsi="宋体"/>
          <w:color w:val="auto"/>
          <w:sz w:val="24"/>
          <w:highlight w:val="none"/>
        </w:rPr>
      </w:r>
    </w:p>
    <w:p>
      <w:pPr>
        <w:pStyle w:val="1101"/>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（5）质量问题处理：质量问题责任人明确率100%，一般问题整改时间≤48小时，较大问题整改时间≤72小时，整改验收合格率100%，处理记录留存率100%。</w:t>
      </w:r>
      <w:r>
        <w:rPr>
          <w:rFonts w:hint="eastAsia" w:ascii="宋体" w:hAnsi="宋体"/>
          <w:color w:val="auto"/>
          <w:sz w:val="24"/>
          <w:highlight w:val="none"/>
        </w:rPr>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5.文明施工及环境保护方案</w:t>
      </w:r>
      <w:r/>
    </w:p>
    <w:p>
      <w:pPr>
        <w:pStyle w:val="1101"/>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①</w:t>
      </w:r>
      <w:r>
        <w:rPr>
          <w:rFonts w:hint="eastAsia" w:ascii="宋体" w:hAnsi="宋体"/>
          <w:color w:val="auto"/>
          <w:sz w:val="24"/>
          <w:highlight w:val="none"/>
        </w:rPr>
        <w:t xml:space="preserve">文明施工方案</w:t>
      </w:r>
      <w:r>
        <w:rPr>
          <w:rFonts w:hint="eastAsia" w:ascii="宋体" w:hAnsi="宋体"/>
          <w:color w:val="auto"/>
          <w:sz w:val="24"/>
          <w:highlight w:val="none"/>
        </w:rPr>
        <w:t xml:space="preserve">：</w:t>
      </w:r>
      <w:r/>
    </w:p>
    <w:p>
      <w:pPr>
        <w:pStyle w:val="1101"/>
        <w:ind w:firstLine="480"/>
        <w:spacing w:line="360" w:lineRule="auto"/>
      </w:pPr>
      <w:r>
        <w:rPr>
          <w:rFonts w:hint="eastAsia" w:ascii="宋体" w:hAnsi="宋体"/>
          <w:color w:val="auto"/>
          <w:sz w:val="24"/>
          <w:highlight w:val="none"/>
        </w:rPr>
        <w:t xml:space="preserve">（1）现场管理：施工现场设置明显的施工标识牌；对施工区域进行封闭围挡，保持围挡整洁；施工材料和工具分类堆放整齐。</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（2）人员管理：施工人员统一佩戴安全帽，施工时间严格控制在6:00-22:00，夜间施工（特殊情况）需提前3天报备，减少对周边环境的影响。</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(3)卫生管理：施工现场设置临时垃圾桶，及时清理施工垃圾和生活垃圾，做到日产日清。</w:t>
      </w:r>
      <w:r>
        <w:rPr>
          <w:rFonts w:hint="eastAsia" w:ascii="宋体" w:hAnsi="宋体"/>
          <w:color w:val="auto"/>
          <w:sz w:val="24"/>
          <w:highlight w:val="none"/>
        </w:rPr>
      </w:r>
    </w:p>
    <w:p>
      <w:pPr>
        <w:pStyle w:val="1101"/>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（4）工序衔接：各工序施工完成后，做到“工完场清”；材料运输过程中采取防护措施，防止扬尘和遗洒。</w:t>
      </w:r>
      <w:r>
        <w:rPr>
          <w:rFonts w:hint="eastAsia" w:ascii="宋体" w:hAnsi="宋体"/>
          <w:color w:val="auto"/>
          <w:sz w:val="24"/>
          <w:highlight w:val="none"/>
        </w:rPr>
      </w:r>
      <w:r>
        <w:rPr>
          <w:rFonts w:hint="eastAsia" w:ascii="宋体" w:hAnsi="宋体"/>
          <w:color w:val="auto"/>
          <w:sz w:val="24"/>
          <w:highlight w:val="none"/>
        </w:rPr>
      </w:r>
      <w:r/>
    </w:p>
    <w:p>
      <w:pPr>
        <w:pStyle w:val="1101"/>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②</w:t>
      </w:r>
      <w:r>
        <w:rPr>
          <w:rFonts w:hint="eastAsia" w:ascii="宋体" w:hAnsi="宋体"/>
          <w:color w:val="auto"/>
          <w:sz w:val="24"/>
          <w:highlight w:val="none"/>
        </w:rPr>
        <w:t xml:space="preserve">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r>
        <w:rPr>
          <w:rFonts w:hint="eastAsia" w:ascii="宋体" w:hAnsi="宋体"/>
          <w:color w:val="auto"/>
          <w:sz w:val="24"/>
          <w:highlight w:val="none"/>
        </w:rPr>
      </w:r>
      <w:r/>
    </w:p>
    <w:p>
      <w:pPr>
        <w:pStyle w:val="1101"/>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rPr>
        <w:t xml:space="preserve">质量保修期内的服务方案内容至少包含</w:t>
      </w:r>
      <w:r>
        <w:rPr>
          <w:rFonts w:hint="eastAsia" w:ascii="宋体" w:hAnsi="宋体"/>
          <w:color w:val="auto"/>
          <w:sz w:val="24"/>
          <w:highlight w:val="none"/>
        </w:rPr>
      </w:r>
      <w:r/>
    </w:p>
    <w:p>
      <w:pPr>
        <w:pStyle w:val="1101"/>
        <w:ind w:firstLine="480"/>
        <w:spacing w:line="360" w:lineRule="auto"/>
      </w:pPr>
      <w:r>
        <w:rPr>
          <w:rFonts w:hint="eastAsia" w:ascii="宋体" w:hAnsi="宋体"/>
          <w:color w:val="auto"/>
          <w:sz w:val="24"/>
          <w:highlight w:val="none"/>
        </w:rPr>
        <w:t xml:space="preserve">（1）服务内容：质量保修期内每月开展1次工程巡查，巡查覆盖率100%，重点检查易出现缺陷的部位，主动发现并处理缺陷；接到甲方关于工程缺陷的通知后，及时对缺陷进行核实，制定修复方案，按照规范要求进行修复，确保修复质量符合原工程标准。</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（2）响应机制：接到业主通知后，2小时内做出响应，紧急缺陷（如漏水、断电）4小时内到场率100%，一般缺陷24小时内到场率100%</w:t>
      </w:r>
      <w:r>
        <w:rPr>
          <w:rFonts w:hint="eastAsia" w:ascii="宋体" w:hAnsi="宋体"/>
          <w:color w:val="auto"/>
          <w:sz w:val="24"/>
          <w:highlight w:val="none"/>
        </w:rPr>
      </w:r>
    </w:p>
    <w:p>
      <w:pPr>
        <w:pStyle w:val="1101"/>
        <w:ind w:firstLine="480"/>
        <w:spacing w:line="360" w:lineRule="auto"/>
      </w:pPr>
      <w:r>
        <w:rPr>
          <w:rFonts w:hint="eastAsia" w:ascii="宋体" w:hAnsi="宋体"/>
          <w:color w:val="auto"/>
          <w:sz w:val="24"/>
          <w:highlight w:val="none"/>
        </w:rPr>
        <w:t xml:space="preserve">（3）问题处理流程：缺陷记录完整率100%，现场勘查完成时间≤8小时，修复方案确定时间≤24小时，修复工期偏差≤±1天，验收合格率100%。</w:t>
      </w:r>
      <w:r>
        <w:rPr>
          <w:rFonts w:hint="eastAsia" w:ascii="宋体" w:hAnsi="宋体"/>
          <w:color w:val="auto"/>
          <w:sz w:val="24"/>
          <w:highlight w:val="none"/>
        </w:rPr>
      </w:r>
    </w:p>
    <w:p>
      <w:pPr>
        <w:pStyle w:val="1101"/>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（4）保障措施：专职处理人员配置≥2人，技术人员配置≥1人；修复材料储备量≥常用缺陷修复用量的1.2倍，材料到位时间≤24小时。</w:t>
      </w:r>
      <w:r>
        <w:rPr>
          <w:rFonts w:hint="eastAsia" w:ascii="宋体" w:hAnsi="宋体"/>
          <w:color w:val="auto"/>
          <w:sz w:val="24"/>
          <w:highlight w:val="none"/>
        </w:rPr>
      </w:r>
      <w:r/>
    </w:p>
    <w:p>
      <w:pPr>
        <w:pStyle w:val="1101"/>
        <w:ind w:firstLine="48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九</w:t>
      </w:r>
      <w:r>
        <w:rPr>
          <w:rFonts w:hint="eastAsia" w:ascii="宋体" w:hAnsi="宋体"/>
          <w:b/>
          <w:bCs/>
          <w:color w:val="auto"/>
          <w:sz w:val="24"/>
          <w:highlight w:val="none"/>
        </w:rPr>
        <w:t xml:space="preserve">、其他</w:t>
      </w:r>
      <w:bookmarkEnd w:id="743"/>
      <w:r/>
      <w:bookmarkEnd w:id="745"/>
      <w:r/>
      <w:r/>
    </w:p>
    <w:tbl>
      <w:tblPr>
        <w:tblStyle w:val="774"/>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900"/>
        <w:gridCol w:w="3969"/>
      </w:tblGrid>
      <w:tr>
        <w:trPr>
          <w:jc w:val="center"/>
          <w:tblCellSpacing w:w="0" w:type="dxa"/>
          <w:trHeight w:val="0"/>
        </w:trPr>
        <w:tc>
          <w:tcPr>
            <w:shd w:val="clear" w:color="auto" w:fill="auto"/>
            <w:tcW w:w="846" w:type="dxa"/>
            <w:vAlign w:val="center"/>
            <w:textDirection w:val="lrTb"/>
            <w:noWrap w:val="false"/>
          </w:tcPr>
          <w:p>
            <w:pPr>
              <w:pStyle w:val="813"/>
              <w:jc w:val="center"/>
              <w:spacing w:beforeAutospacing="0" w:afterAutospacing="0" w:line="240" w:lineRule="auto"/>
              <w:rPr>
                <w:color w:val="auto"/>
                <w:highlight w:val="none"/>
              </w:rPr>
            </w:pPr>
            <w:r/>
            <w:bookmarkStart w:id="746" w:name="_Toc195778619"/>
            <w:r>
              <w:rPr>
                <w:rFonts w:hint="eastAsia"/>
                <w:color w:val="auto"/>
                <w:highlight w:val="none"/>
              </w:rPr>
              <w:t xml:space="preserve">序号</w:t>
            </w:r>
            <w:r/>
          </w:p>
        </w:tc>
        <w:tc>
          <w:tcPr>
            <w:shd w:val="clear" w:color="auto" w:fill="auto"/>
            <w:tcW w:w="3900" w:type="dxa"/>
            <w:vAlign w:val="center"/>
            <w:textDirection w:val="lrTb"/>
            <w:noWrap w:val="false"/>
          </w:tcPr>
          <w:p>
            <w:pPr>
              <w:pStyle w:val="813"/>
              <w:jc w:val="center"/>
              <w:spacing w:beforeAutospacing="0" w:afterAutospacing="0" w:line="240" w:lineRule="auto"/>
              <w:rPr>
                <w:color w:val="auto"/>
                <w:highlight w:val="none"/>
              </w:rPr>
            </w:pPr>
            <w:r>
              <w:rPr>
                <w:rFonts w:hint="eastAsia"/>
                <w:color w:val="auto"/>
                <w:highlight w:val="none"/>
              </w:rPr>
              <w:t xml:space="preserve">采购标的</w:t>
            </w:r>
            <w:r/>
          </w:p>
        </w:tc>
        <w:tc>
          <w:tcPr>
            <w:shd w:val="clear" w:color="auto" w:fill="auto"/>
            <w:tcW w:w="3969" w:type="dxa"/>
            <w:vAlign w:val="center"/>
            <w:textDirection w:val="lrTb"/>
            <w:noWrap w:val="false"/>
          </w:tcPr>
          <w:p>
            <w:pPr>
              <w:pStyle w:val="813"/>
              <w:jc w:val="center"/>
              <w:spacing w:beforeAutospacing="0" w:afterAutospacing="0" w:line="240" w:lineRule="auto"/>
              <w:rPr>
                <w:color w:val="auto"/>
                <w:highlight w:val="none"/>
              </w:rPr>
            </w:pPr>
            <w:r>
              <w:rPr>
                <w:rFonts w:hint="eastAsia"/>
                <w:color w:val="auto"/>
                <w:highlight w:val="none"/>
              </w:rPr>
              <w:t xml:space="preserve">对应中小企业划分标准所属行业</w:t>
            </w:r>
            <w:r/>
          </w:p>
        </w:tc>
      </w:tr>
      <w:tr>
        <w:trPr>
          <w:jc w:val="center"/>
          <w:tblCellSpacing w:w="0" w:type="dxa"/>
          <w:trHeight w:val="0"/>
        </w:trPr>
        <w:tc>
          <w:tcPr>
            <w:shd w:val="clear" w:color="auto" w:fill="auto"/>
            <w:tcW w:w="846" w:type="dxa"/>
            <w:vAlign w:val="center"/>
            <w:textDirection w:val="lrTb"/>
            <w:noWrap w:val="false"/>
          </w:tcPr>
          <w:p>
            <w:pPr>
              <w:pStyle w:val="813"/>
              <w:jc w:val="center"/>
              <w:spacing w:beforeAutospacing="0" w:afterAutospacing="0" w:line="240" w:lineRule="auto"/>
              <w:rPr>
                <w:color w:val="auto"/>
                <w:highlight w:val="none"/>
              </w:rPr>
            </w:pPr>
            <w:r>
              <w:rPr>
                <w:rFonts w:hint="eastAsia"/>
                <w:color w:val="auto"/>
                <w:highlight w:val="none"/>
              </w:rPr>
              <w:t xml:space="preserve">1</w:t>
            </w:r>
            <w:r/>
          </w:p>
        </w:tc>
        <w:tc>
          <w:tcPr>
            <w:shd w:val="clear" w:color="auto" w:fill="auto"/>
            <w:tcW w:w="3900" w:type="dxa"/>
            <w:vAlign w:val="center"/>
            <w:textDirection w:val="lrTb"/>
            <w:noWrap w:val="false"/>
          </w:tcPr>
          <w:p>
            <w:pPr>
              <w:pStyle w:val="813"/>
              <w:ind w:left="240" w:hanging="240"/>
              <w:jc w:val="center"/>
              <w:spacing w:beforeAutospacing="0" w:afterAutospacing="0" w:line="240" w:lineRule="auto"/>
              <w:rPr>
                <w:rFonts w:hint="eastAsia" w:eastAsia="宋体" w:cs="仿宋" w:asciiTheme="minorEastAsia" w:hAnsiTheme="minorEastAsia"/>
                <w:color w:val="auto"/>
                <w:highlight w:val="none"/>
                <w:lang w:eastAsia="zh-CN"/>
              </w:rPr>
            </w:pPr>
            <w:r>
              <w:rPr>
                <w:rFonts w:hint="eastAsia" w:cs="仿宋" w:asciiTheme="minorEastAsia" w:hAnsiTheme="minorEastAsia"/>
                <w:color w:val="auto"/>
                <w:highlight w:val="none"/>
                <w:lang w:eastAsia="zh-CN"/>
              </w:rPr>
              <w:t xml:space="preserve">盐渎实验学校教学楼屋顶渗漏维修工程</w:t>
            </w:r>
            <w:r/>
          </w:p>
        </w:tc>
        <w:tc>
          <w:tcPr>
            <w:shd w:val="clear" w:color="auto" w:fill="auto"/>
            <w:tcW w:w="3969" w:type="dxa"/>
            <w:vAlign w:val="center"/>
            <w:textDirection w:val="lrTb"/>
            <w:noWrap w:val="false"/>
          </w:tcPr>
          <w:p>
            <w:pPr>
              <w:pStyle w:val="813"/>
              <w:jc w:val="center"/>
              <w:spacing w:beforeAutospacing="0" w:afterAutospacing="0" w:line="240" w:lineRule="auto"/>
              <w:rPr>
                <w:color w:val="auto"/>
                <w:highlight w:val="none"/>
              </w:rPr>
            </w:pPr>
            <w:r>
              <w:rPr>
                <w:color w:val="auto"/>
                <w:highlight w:val="none"/>
              </w:rPr>
              <w:t xml:space="preserve"> </w:t>
            </w:r>
            <w:r>
              <w:rPr>
                <w:rFonts w:hint="eastAsia"/>
                <w:color w:val="auto"/>
                <w:highlight w:val="none"/>
              </w:rPr>
              <w:t xml:space="preserve">建筑业</w:t>
            </w:r>
            <w:bookmarkEnd w:id="746"/>
            <w:r/>
            <w:r/>
          </w:p>
        </w:tc>
      </w:tr>
    </w:tbl>
    <w:p>
      <w:pPr>
        <w:jc w:val="left"/>
        <w:widowControl/>
        <w:rPr>
          <w:rFonts w:ascii="Cambria" w:hAnsi="Cambria"/>
          <w:b/>
          <w:bCs/>
          <w:color w:val="auto"/>
          <w:sz w:val="36"/>
          <w:szCs w:val="36"/>
          <w:highlight w:val="none"/>
        </w:rPr>
      </w:pPr>
      <w:r>
        <w:rPr>
          <w:color w:val="auto"/>
          <w:sz w:val="36"/>
          <w:szCs w:val="36"/>
          <w:highlight w:val="none"/>
        </w:rPr>
        <w:br w:type="page" w:clear="all"/>
      </w:r>
      <w:r/>
    </w:p>
    <w:p>
      <w:pPr>
        <w:pStyle w:val="815"/>
        <w:rPr>
          <w:color w:val="auto"/>
          <w:sz w:val="36"/>
          <w:szCs w:val="36"/>
          <w:highlight w:val="none"/>
        </w:rPr>
      </w:pPr>
      <w:r/>
      <w:bookmarkStart w:id="747" w:name="_Toc203032706"/>
      <w:r>
        <w:rPr>
          <w:rFonts w:hint="eastAsia"/>
          <w:color w:val="auto"/>
          <w:sz w:val="36"/>
          <w:szCs w:val="36"/>
          <w:highlight w:val="none"/>
        </w:rPr>
        <w:t xml:space="preserve">第五章 定标原则和评审标准</w:t>
      </w:r>
      <w:bookmarkEnd w:id="747"/>
      <w:r/>
      <w:r/>
    </w:p>
    <w:p>
      <w:pPr>
        <w:pStyle w:val="765"/>
        <w:ind w:firstLine="482"/>
        <w:jc w:val="left"/>
        <w:spacing w:before="0" w:after="0" w:line="480" w:lineRule="exact"/>
        <w:rPr>
          <w:rFonts w:ascii="宋体" w:hAnsi="宋体" w:eastAsia="宋体" w:cs="Courier New"/>
          <w:color w:val="auto"/>
          <w:sz w:val="24"/>
          <w:szCs w:val="24"/>
          <w:highlight w:val="none"/>
        </w:rPr>
      </w:pPr>
      <w:r/>
      <w:bookmarkStart w:id="748" w:name="_Toc166856205"/>
      <w:r/>
      <w:bookmarkStart w:id="749" w:name="_Toc203032707"/>
      <w:r>
        <w:rPr>
          <w:rFonts w:hint="eastAsia" w:ascii="宋体" w:hAnsi="宋体" w:eastAsia="宋体" w:cs="Courier New"/>
          <w:color w:val="auto"/>
          <w:sz w:val="24"/>
          <w:szCs w:val="24"/>
          <w:highlight w:val="none"/>
        </w:rPr>
        <w:t xml:space="preserve">一、磋商小组</w:t>
      </w:r>
      <w:bookmarkEnd w:id="748"/>
      <w:r/>
      <w:bookmarkEnd w:id="749"/>
      <w:r/>
      <w:r/>
    </w:p>
    <w:p>
      <w:pPr>
        <w:ind w:firstLine="36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本采购项目磋商小组的评委由有关专家、采购人代表等相关人员构成。</w:t>
      </w:r>
      <w:r/>
    </w:p>
    <w:p>
      <w:pPr>
        <w:pStyle w:val="765"/>
        <w:ind w:firstLine="482"/>
        <w:jc w:val="left"/>
        <w:spacing w:before="0" w:after="0" w:line="480" w:lineRule="exact"/>
        <w:rPr>
          <w:rFonts w:ascii="宋体" w:hAnsi="宋体" w:eastAsia="宋体" w:cs="Courier New"/>
          <w:color w:val="auto"/>
          <w:sz w:val="24"/>
          <w:szCs w:val="24"/>
          <w:highlight w:val="none"/>
        </w:rPr>
      </w:pPr>
      <w:r/>
      <w:bookmarkStart w:id="750" w:name="_Toc203032708"/>
      <w:r/>
      <w:bookmarkStart w:id="751" w:name="_Toc166856206"/>
      <w:r>
        <w:rPr>
          <w:rFonts w:hint="eastAsia" w:ascii="宋体" w:hAnsi="宋体" w:eastAsia="宋体" w:cs="Courier New"/>
          <w:color w:val="auto"/>
          <w:sz w:val="24"/>
          <w:szCs w:val="24"/>
          <w:highlight w:val="none"/>
        </w:rPr>
        <w:t xml:space="preserve">二、评审方法</w:t>
      </w:r>
      <w:bookmarkEnd w:id="750"/>
      <w:r/>
      <w:bookmarkEnd w:id="751"/>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765"/>
        <w:ind w:firstLine="482"/>
        <w:jc w:val="left"/>
        <w:spacing w:before="0" w:after="0" w:line="480" w:lineRule="exact"/>
        <w:rPr>
          <w:rFonts w:ascii="宋体" w:hAnsi="宋体" w:eastAsia="宋体" w:cs="Courier New"/>
          <w:color w:val="auto"/>
          <w:sz w:val="24"/>
          <w:szCs w:val="24"/>
          <w:highlight w:val="none"/>
        </w:rPr>
      </w:pPr>
      <w:r/>
      <w:bookmarkStart w:id="752" w:name="_Toc166856207"/>
      <w:r/>
      <w:bookmarkStart w:id="753" w:name="_Toc203032709"/>
      <w:r>
        <w:rPr>
          <w:rFonts w:hint="eastAsia" w:ascii="宋体" w:hAnsi="宋体" w:eastAsia="宋体" w:cs="Courier New"/>
          <w:color w:val="auto"/>
          <w:sz w:val="24"/>
          <w:szCs w:val="24"/>
          <w:highlight w:val="none"/>
        </w:rPr>
        <w:t xml:space="preserve">三、政府采购政策功能落实</w:t>
      </w:r>
      <w:bookmarkEnd w:id="752"/>
      <w:r/>
      <w:bookmarkEnd w:id="753"/>
      <w:r/>
      <w:r/>
    </w:p>
    <w:p>
      <w:pPr>
        <w:ind w:firstLine="480"/>
        <w:spacing w:line="480" w:lineRule="exact"/>
        <w:rPr>
          <w:rFonts w:ascii="宋体" w:hAnsi="宋体" w:cs="宋体"/>
          <w:color w:val="auto"/>
          <w:sz w:val="24"/>
          <w:highlight w:val="none"/>
        </w:rPr>
      </w:pPr>
      <w:r/>
      <w:bookmarkStart w:id="754" w:name="_Toc166856209"/>
      <w:r>
        <w:rPr>
          <w:rFonts w:hint="eastAsia" w:ascii="宋体" w:hAnsi="宋体" w:cs="宋体"/>
          <w:color w:val="auto"/>
          <w:sz w:val="24"/>
          <w:highlight w:val="none"/>
        </w:rPr>
        <w:t xml:space="preserve">政府采购政策功能落实</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1、小微型企业价格扣除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（1）本项目专门面向中小企业采购，不再执行价格评审优惠的扶持政策。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2、残疾人福利单位价格扣除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（1）本项目专门面向中小企业采购，不再执行价格评审优惠的扶持政策。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3、监狱和戒毒企业价格扣除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（1）本项目专门面向中小企业采购，不再执行价格评审优惠的扶持政策。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5、严格执行政府采购关于支持</w:t>
      </w:r>
      <w:r>
        <w:rPr>
          <w:rFonts w:hint="eastAsia" w:ascii="宋体" w:hAnsi="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6、供应商对于投标产品的商品包装、快递包装应按照“财办库〔2020〕123号《关于印发《商品包装政府采购需求标准（试行）》、《快递包装政府采购需求标准（试行）》的通知》”执行。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7、本文件中若涉及到数据中心采购，应按照《&lt;绿色数据中心政府采购需求标准（试行）&gt;的通知》（财库〔2023〕7号）执行。</w:t>
      </w:r>
      <w:r/>
    </w:p>
    <w:p>
      <w:pPr>
        <w:pStyle w:val="765"/>
        <w:ind w:firstLine="482"/>
        <w:jc w:val="left"/>
        <w:spacing w:before="0" w:after="0" w:line="480" w:lineRule="exact"/>
        <w:rPr>
          <w:rFonts w:ascii="宋体" w:hAnsi="宋体" w:eastAsia="宋体" w:cs="Courier New"/>
          <w:color w:val="auto"/>
          <w:sz w:val="24"/>
          <w:szCs w:val="24"/>
          <w:highlight w:val="none"/>
        </w:rPr>
      </w:pPr>
      <w:r/>
      <w:bookmarkStart w:id="755" w:name="_Toc203032710"/>
      <w:r>
        <w:rPr>
          <w:rFonts w:hint="eastAsia" w:ascii="宋体" w:hAnsi="宋体" w:eastAsia="宋体" w:cs="Courier New"/>
          <w:color w:val="auto"/>
          <w:sz w:val="24"/>
          <w:szCs w:val="24"/>
          <w:highlight w:val="none"/>
        </w:rPr>
        <w:t xml:space="preserve">四、评审原则</w:t>
      </w:r>
      <w:bookmarkEnd w:id="754"/>
      <w:r/>
      <w:bookmarkEnd w:id="755"/>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765"/>
        <w:ind w:firstLine="482"/>
        <w:jc w:val="left"/>
        <w:spacing w:before="0" w:after="0" w:line="480" w:lineRule="exact"/>
        <w:rPr>
          <w:rFonts w:ascii="宋体" w:hAnsi="宋体" w:eastAsia="宋体" w:cs="Courier New"/>
          <w:color w:val="auto"/>
          <w:sz w:val="24"/>
          <w:szCs w:val="24"/>
          <w:highlight w:val="none"/>
        </w:rPr>
      </w:pPr>
      <w:r/>
      <w:bookmarkStart w:id="756" w:name="_Toc166856210"/>
      <w:r/>
      <w:bookmarkStart w:id="757" w:name="_Toc203032711"/>
      <w:r>
        <w:rPr>
          <w:rFonts w:hint="eastAsia" w:ascii="宋体" w:hAnsi="宋体" w:eastAsia="宋体" w:cs="Courier New"/>
          <w:color w:val="auto"/>
          <w:sz w:val="24"/>
          <w:szCs w:val="24"/>
          <w:highlight w:val="none"/>
        </w:rPr>
        <w:t xml:space="preserve">五、评分细则</w:t>
      </w:r>
      <w:bookmarkEnd w:id="756"/>
      <w:r/>
      <w:bookmarkEnd w:id="757"/>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p>
      <w:pPr>
        <w:pStyle w:val="775"/>
        <w:rPr>
          <w:rFonts w:hint="eastAsia" w:ascii="宋体" w:hAnsi="宋体" w:cs="宋体"/>
          <w:color w:val="auto"/>
          <w:sz w:val="24"/>
          <w:highlight w:val="none"/>
        </w:rPr>
      </w:pPr>
      <w:r>
        <w:rPr>
          <w:rFonts w:hint="eastAsia" w:ascii="宋体" w:hAnsi="宋体" w:cs="宋体"/>
          <w:color w:val="auto"/>
          <w:sz w:val="24"/>
          <w:highlight w:val="none"/>
        </w:rPr>
      </w:r>
      <w:r/>
    </w:p>
    <w:tbl>
      <w:tblPr>
        <w:tblStyle w:val="774"/>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024"/>
        <w:gridCol w:w="8058"/>
      </w:tblGrid>
      <w:tr>
        <w:trPr>
          <w:cantSplit/>
          <w:jc w:val="center"/>
          <w:trHeight w:val="90"/>
          <w:tblHeader/>
        </w:trPr>
        <w:tc>
          <w:tcPr>
            <w:tcW w:w="568" w:type="dxa"/>
            <w:vAlign w:val="center"/>
            <w:textDirection w:val="lrTb"/>
            <w:noWrap w:val="false"/>
          </w:tcPr>
          <w:p>
            <w:pPr>
              <w:jc w:val="center"/>
              <w:spacing w:line="400" w:lineRule="exact"/>
              <w:widowControl/>
              <w:rPr>
                <w:rFonts w:ascii="宋体" w:hAnsi="宋体" w:cs="宋体"/>
                <w:b/>
                <w:color w:val="auto"/>
                <w:highlight w:val="none"/>
              </w:rPr>
            </w:pPr>
            <w:r>
              <w:rPr>
                <w:rFonts w:hint="eastAsia" w:ascii="宋体" w:hAnsi="宋体" w:cs="宋体"/>
                <w:b/>
                <w:color w:val="auto"/>
                <w:highlight w:val="none"/>
              </w:rPr>
              <w:t xml:space="preserve">序号</w:t>
            </w:r>
            <w:r/>
          </w:p>
        </w:tc>
        <w:tc>
          <w:tcPr>
            <w:tcW w:w="1024" w:type="dxa"/>
            <w:vAlign w:val="center"/>
            <w:textDirection w:val="lrTb"/>
            <w:noWrap w:val="false"/>
          </w:tcPr>
          <w:p>
            <w:pPr>
              <w:jc w:val="center"/>
              <w:spacing w:line="400" w:lineRule="exact"/>
              <w:widowControl/>
              <w:rPr>
                <w:rFonts w:ascii="宋体" w:hAnsi="宋体" w:cs="宋体"/>
                <w:b/>
                <w:color w:val="auto"/>
                <w:highlight w:val="none"/>
              </w:rPr>
            </w:pPr>
            <w:r>
              <w:rPr>
                <w:rFonts w:hint="eastAsia" w:ascii="宋体" w:hAnsi="宋体" w:cs="宋体"/>
                <w:b/>
                <w:color w:val="auto"/>
                <w:highlight w:val="none"/>
              </w:rPr>
              <w:t xml:space="preserve">评分因素及满分分值</w:t>
            </w:r>
            <w:r/>
          </w:p>
        </w:tc>
        <w:tc>
          <w:tcPr>
            <w:tcW w:w="8058" w:type="dxa"/>
            <w:vAlign w:val="center"/>
            <w:textDirection w:val="lrTb"/>
            <w:noWrap w:val="false"/>
          </w:tcPr>
          <w:p>
            <w:pPr>
              <w:jc w:val="center"/>
              <w:spacing w:line="400" w:lineRule="exact"/>
              <w:widowControl/>
              <w:rPr>
                <w:rFonts w:ascii="宋体" w:hAnsi="宋体" w:cs="宋体"/>
                <w:b/>
                <w:color w:val="auto"/>
                <w:highlight w:val="none"/>
              </w:rPr>
            </w:pPr>
            <w:r>
              <w:rPr>
                <w:rFonts w:hint="eastAsia" w:ascii="宋体" w:hAnsi="宋体" w:cs="宋体"/>
                <w:b/>
                <w:color w:val="auto"/>
                <w:highlight w:val="none"/>
              </w:rPr>
              <w:t xml:space="preserve">评分标准</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1</w:t>
            </w:r>
            <w:r/>
          </w:p>
        </w:tc>
        <w:tc>
          <w:tcPr>
            <w:tcW w:w="1024" w:type="dxa"/>
            <w:vAlign w:val="center"/>
            <w:textDirection w:val="lrTb"/>
            <w:noWrap w:val="false"/>
          </w:tcPr>
          <w:p>
            <w:pPr>
              <w:jc w:val="center"/>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投标报价</w:t>
            </w:r>
            <w:r/>
          </w:p>
          <w:p>
            <w:pPr>
              <w:jc w:val="center"/>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30</w:t>
            </w:r>
            <w:r>
              <w:rPr>
                <w:rFonts w:hint="eastAsia" w:ascii="宋体" w:hAnsi="宋体" w:cs="宋体"/>
                <w:b/>
                <w:bCs/>
                <w:color w:val="auto"/>
                <w:highlight w:val="none"/>
              </w:rPr>
              <w:t xml:space="preserve">分）</w:t>
            </w:r>
            <w:r/>
          </w:p>
        </w:tc>
        <w:tc>
          <w:tcPr>
            <w:tcW w:w="8058" w:type="dxa"/>
            <w:vAlign w:val="center"/>
            <w:textDirection w:val="lrTb"/>
            <w:noWrap w:val="false"/>
          </w:tcPr>
          <w:p>
            <w:pPr>
              <w:ind w:firstLine="420"/>
              <w:jc w:val="left"/>
              <w:spacing w:line="360" w:lineRule="exact"/>
              <w:widowControl/>
              <w:rPr>
                <w:rFonts w:ascii="宋体" w:hAnsi="宋体" w:cs="宋体"/>
                <w:color w:val="auto"/>
                <w:highlight w:val="none"/>
              </w:rPr>
            </w:pPr>
            <w:r>
              <w:rPr>
                <w:rFonts w:hint="eastAsia" w:ascii="宋体" w:hAnsi="宋体" w:cs="宋体"/>
                <w:color w:val="auto"/>
                <w:highlight w:val="none"/>
              </w:rPr>
              <w:t xml:space="preserve">价格分采用低价优先法计算，即满足磋商文件要求且最后报价最低的投标报价为评标基准价，其价格分为满分。其他供应商的价格分统一按照下列公式计算: (得分保留两位小数)。</w:t>
            </w:r>
            <w:r/>
          </w:p>
          <w:p>
            <w:pPr>
              <w:ind w:firstLine="420"/>
              <w:jc w:val="left"/>
              <w:spacing w:line="360" w:lineRule="exact"/>
              <w:widowControl/>
              <w:rPr>
                <w:rFonts w:ascii="宋体" w:hAnsi="宋体" w:cs="宋体"/>
                <w:color w:val="auto"/>
                <w:highlight w:val="none"/>
                <w:shd w:val="clear" w:color="auto" w:fill="ffffff"/>
              </w:rPr>
            </w:pPr>
            <w:r>
              <w:rPr>
                <w:rFonts w:hint="eastAsia" w:ascii="宋体" w:hAnsi="宋体" w:cs="宋体"/>
                <w:color w:val="auto"/>
                <w:highlight w:val="none"/>
              </w:rPr>
              <w:t xml:space="preserve">价格分 =</w:t>
            </w:r>
            <w:r>
              <w:rPr>
                <w:rFonts w:ascii="宋体" w:hAnsi="宋体" w:cs="宋体"/>
                <w:color w:val="auto"/>
                <w:highlight w:val="none"/>
              </w:rPr>
              <w:t xml:space="preserve"> </w:t>
            </w:r>
            <w:r>
              <w:rPr>
                <w:rFonts w:hint="eastAsia" w:ascii="宋体" w:hAnsi="宋体" w:cs="宋体"/>
                <w:color w:val="auto"/>
                <w:highlight w:val="none"/>
              </w:rPr>
              <w:t xml:space="preserve">（评标基准价÷最后报价）×</w:t>
            </w:r>
            <w:r>
              <w:rPr>
                <w:rFonts w:hint="eastAsia" w:ascii="宋体" w:hAnsi="宋体" w:cs="宋体"/>
                <w:color w:val="auto"/>
                <w:highlight w:val="none"/>
                <w:lang w:val="en-US" w:eastAsia="zh-CN"/>
              </w:rPr>
              <w:t xml:space="preserve">30</w:t>
            </w:r>
            <w:r>
              <w:rPr>
                <w:rFonts w:hint="eastAsia" w:ascii="宋体" w:hAnsi="宋体" w:cs="宋体"/>
                <w:color w:val="auto"/>
                <w:highlight w:val="none"/>
              </w:rPr>
              <w:t xml:space="preserve">。</w:t>
            </w:r>
            <w:r/>
          </w:p>
        </w:tc>
      </w:tr>
      <w:tr>
        <w:trPr>
          <w:cantSplit/>
          <w:jc w:val="center"/>
          <w:trHeight w:val="184"/>
        </w:trPr>
        <w:tc>
          <w:tcPr>
            <w:tcW w:w="568" w:type="dxa"/>
            <w:vAlign w:val="center"/>
            <w:textDirection w:val="lrTb"/>
            <w:noWrap w:val="false"/>
          </w:tcPr>
          <w:p>
            <w:pPr>
              <w:jc w:val="center"/>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2</w:t>
            </w:r>
            <w:r/>
          </w:p>
        </w:tc>
        <w:tc>
          <w:tcPr>
            <w:tcW w:w="1024" w:type="dxa"/>
            <w:vAlign w:val="center"/>
            <w:textDirection w:val="lrTb"/>
            <w:noWrap w:val="false"/>
          </w:tcPr>
          <w:p>
            <w:pPr>
              <w:jc w:val="center"/>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业绩</w:t>
            </w:r>
            <w:r/>
          </w:p>
          <w:p>
            <w:pPr>
              <w:jc w:val="center"/>
              <w:spacing w:line="400" w:lineRule="exact"/>
              <w:widowControl/>
              <w:rPr>
                <w:rFonts w:ascii="宋体" w:hAnsi="宋体" w:cs="宋体"/>
                <w:b/>
                <w:bCs/>
                <w:color w:val="auto"/>
                <w:highlight w:val="none"/>
              </w:rPr>
            </w:pPr>
            <w:r>
              <w:rPr>
                <w:rFonts w:hint="eastAsia" w:hAnsi="宋体" w:cs="宋体"/>
                <w:b/>
                <w:bCs/>
                <w:color w:val="auto"/>
                <w:highlight w:val="none"/>
              </w:rPr>
              <w:t xml:space="preserve">（</w:t>
            </w:r>
            <w:r>
              <w:rPr>
                <w:rFonts w:hint="eastAsia" w:ascii="宋体" w:hAnsi="宋体" w:cs="宋体"/>
                <w:b/>
                <w:bCs/>
                <w:color w:val="auto"/>
                <w:highlight w:val="none"/>
                <w:lang w:val="en-US" w:eastAsia="zh-CN"/>
              </w:rPr>
              <w:t xml:space="preserve">15</w:t>
            </w:r>
            <w:r>
              <w:rPr>
                <w:rFonts w:hint="eastAsia" w:ascii="宋体" w:hAnsi="宋体" w:cs="宋体"/>
                <w:b/>
                <w:bCs/>
                <w:color w:val="auto"/>
                <w:highlight w:val="none"/>
              </w:rPr>
              <w:t xml:space="preserve">分</w:t>
            </w:r>
            <w:r>
              <w:rPr>
                <w:rFonts w:hint="eastAsia" w:hAnsi="宋体" w:cs="宋体"/>
                <w:b/>
                <w:bCs/>
                <w:color w:val="auto"/>
                <w:highlight w:val="none"/>
              </w:rPr>
              <w:t xml:space="preserve">）</w:t>
            </w:r>
            <w:r/>
          </w:p>
        </w:tc>
        <w:tc>
          <w:tcPr>
            <w:tcW w:w="8058" w:type="dxa"/>
            <w:vAlign w:val="center"/>
            <w:textDirection w:val="lrTb"/>
            <w:noWrap w:val="false"/>
          </w:tcPr>
          <w:p>
            <w:pPr>
              <w:ind w:firstLine="420"/>
              <w:jc w:val="left"/>
              <w:spacing w:line="360" w:lineRule="exact"/>
              <w:widowControl/>
              <w:rPr>
                <w:rFonts w:ascii="宋体" w:hAnsi="宋体" w:cs="宋体"/>
                <w:color w:val="auto"/>
                <w:highlight w:val="none"/>
              </w:rPr>
            </w:pPr>
            <w:r>
              <w:rPr>
                <w:rFonts w:hint="eastAsia" w:ascii="宋体" w:hAnsi="宋体" w:cs="宋体"/>
                <w:color w:val="auto"/>
                <w:highlight w:val="none"/>
              </w:rPr>
              <w:t xml:space="preserve">投标人自</w:t>
            </w:r>
            <w:r>
              <w:rPr>
                <w:rFonts w:ascii="宋体" w:hAnsi="宋体" w:cs="宋体"/>
                <w:color w:val="auto"/>
                <w:highlight w:val="none"/>
              </w:rPr>
              <w:t xml:space="preserve">202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年1月1日以来（以合同签订时间为准），承接过类似业绩的，每提供一个得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分，最多得</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分；需提供业绩合同扫描件加盖公章，提供不全或未提供者得0分；</w:t>
            </w:r>
            <w:r/>
          </w:p>
          <w:p>
            <w:pPr>
              <w:ind w:firstLine="420"/>
              <w:jc w:val="left"/>
              <w:spacing w:line="360" w:lineRule="exact"/>
              <w:widowControl/>
              <w:rPr>
                <w:color w:val="auto"/>
                <w:highlight w:val="none"/>
              </w:rPr>
            </w:pPr>
            <w:r>
              <w:rPr>
                <w:rFonts w:hint="eastAsia"/>
                <w:color w:val="auto"/>
                <w:highlight w:val="none"/>
              </w:rPr>
              <w:t xml:space="preserve">注：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r/>
          </w:p>
        </w:tc>
      </w:tr>
      <w:tr>
        <w:trPr>
          <w:cantSplit/>
          <w:jc w:val="center"/>
          <w:trHeight w:val="90"/>
        </w:trPr>
        <w:tc>
          <w:tcPr>
            <w:tcW w:w="568" w:type="dxa"/>
            <w:vAlign w:val="center"/>
            <w:vMerge w:val="restart"/>
            <w:textDirection w:val="lrTb"/>
            <w:noWrap w:val="false"/>
          </w:tcPr>
          <w:p>
            <w:pPr>
              <w:jc w:val="center"/>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3</w:t>
            </w:r>
            <w:r/>
          </w:p>
        </w:tc>
        <w:tc>
          <w:tcPr>
            <w:tcW w:w="1024" w:type="dxa"/>
            <w:vAlign w:val="center"/>
            <w:vMerge w:val="restart"/>
            <w:textDirection w:val="lrTb"/>
            <w:noWrap w:val="false"/>
          </w:tcPr>
          <w:p>
            <w:pPr>
              <w:jc w:val="center"/>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实施方</w:t>
            </w:r>
            <w:r>
              <w:rPr>
                <w:rFonts w:hint="eastAsia" w:ascii="宋体" w:hAnsi="宋体" w:cs="宋体"/>
                <w:b/>
                <w:bCs/>
                <w:color w:val="auto"/>
                <w:highlight w:val="none"/>
              </w:rPr>
              <w:t xml:space="preserve">案</w:t>
            </w:r>
            <w:r/>
          </w:p>
          <w:p>
            <w:pPr>
              <w:jc w:val="center"/>
              <w:spacing w:line="400" w:lineRule="exact"/>
              <w:widowControl/>
              <w:rPr>
                <w:rFonts w:eastAsiaTheme="minorEastAsia"/>
                <w:color w:val="auto"/>
                <w:highlight w:val="none"/>
              </w:rPr>
            </w:pPr>
            <w:r>
              <w:rPr>
                <w:rFonts w:hint="eastAsia" w:ascii="宋体" w:hAnsi="宋体" w:cs="宋体"/>
                <w:b/>
                <w:bCs/>
                <w:color w:val="auto"/>
                <w:highlight w:val="none"/>
              </w:rPr>
              <w:t xml:space="preserve">（</w:t>
            </w:r>
            <w:r>
              <w:rPr>
                <w:rFonts w:hint="eastAsia" w:ascii="宋体" w:hAnsi="宋体" w:cs="宋体"/>
                <w:b/>
                <w:color w:val="auto"/>
                <w:highlight w:val="none"/>
                <w:lang w:val="en-US" w:eastAsia="zh-CN"/>
              </w:rPr>
              <w:t xml:space="preserve">55</w:t>
            </w:r>
            <w:r>
              <w:rPr>
                <w:rFonts w:hint="eastAsia" w:ascii="宋体" w:hAnsi="宋体" w:cs="宋体"/>
                <w:b/>
                <w:color w:val="auto"/>
                <w:highlight w:val="none"/>
              </w:rPr>
              <w:t xml:space="preserve">分）</w:t>
            </w:r>
            <w:r/>
          </w:p>
        </w:tc>
        <w:tc>
          <w:tcPr>
            <w:tcW w:w="8058" w:type="dxa"/>
            <w:vAlign w:val="center"/>
            <w:textDirection w:val="lrTb"/>
            <w:noWrap w:val="false"/>
          </w:tcPr>
          <w:p>
            <w:pPr>
              <w:ind w:firstLine="420"/>
              <w:jc w:val="left"/>
              <w:spacing w:line="360" w:lineRule="exact"/>
              <w:widowControl/>
              <w:rPr>
                <w:rFonts w:hint="eastAsia"/>
                <w:color w:val="auto"/>
                <w:highlight w:val="none"/>
              </w:rPr>
            </w:pPr>
            <w:r>
              <w:rPr>
                <w:rFonts w:hint="eastAsia"/>
                <w:color w:val="auto"/>
                <w:highlight w:val="none"/>
              </w:rPr>
              <w:t xml:space="preserve">磋商小组根据以下评审要点，对实施方案进行评审计分，本项满分</w:t>
            </w:r>
            <w:r>
              <w:rPr>
                <w:rFonts w:hint="eastAsia"/>
                <w:color w:val="auto"/>
                <w:highlight w:val="none"/>
                <w:lang w:val="en-US" w:eastAsia="zh-CN"/>
              </w:rPr>
              <w:t xml:space="preserve">55</w:t>
            </w:r>
            <w:r>
              <w:rPr>
                <w:rFonts w:hint="eastAsia"/>
                <w:color w:val="auto"/>
                <w:highlight w:val="none"/>
              </w:rPr>
              <w:t xml:space="preserve">分。</w:t>
            </w:r>
            <w:r/>
          </w:p>
          <w:p>
            <w:pPr>
              <w:ind w:firstLine="420"/>
              <w:jc w:val="left"/>
              <w:spacing w:line="360" w:lineRule="exact"/>
              <w:widowControl/>
              <w:rPr>
                <w:rFonts w:hint="eastAsia"/>
                <w:color w:val="auto"/>
                <w:highlight w:val="none"/>
              </w:rPr>
            </w:pPr>
            <w:r>
              <w:rPr>
                <w:rFonts w:hint="eastAsia"/>
                <w:color w:val="auto"/>
                <w:highlight w:val="none"/>
              </w:rPr>
              <w:t xml:space="preserve">1.施工方案、技术措施及后期服务方案（10分）</w:t>
            </w:r>
            <w:r/>
          </w:p>
          <w:p>
            <w:pPr>
              <w:ind w:firstLine="420"/>
              <w:jc w:val="left"/>
              <w:spacing w:line="360" w:lineRule="exact"/>
              <w:widowControl/>
              <w:rPr>
                <w:rFonts w:hint="eastAsia"/>
                <w:color w:val="auto"/>
                <w:highlight w:val="none"/>
              </w:rPr>
            </w:pPr>
            <w:r>
              <w:rPr>
                <w:rFonts w:hint="eastAsia"/>
                <w:color w:val="auto"/>
                <w:highlight w:val="none"/>
              </w:rPr>
              <w:t xml:space="preserve">供</w:t>
            </w:r>
            <w:r>
              <w:rPr>
                <w:rFonts w:hint="eastAsia"/>
                <w:color w:val="auto"/>
                <w:highlight w:val="none"/>
              </w:rPr>
              <w:t xml:space="preserve">应商根据本项目第四章中“施工方案与技术措施”要求提供至少包含：</w:t>
            </w:r>
            <w:r>
              <w:rPr>
                <w:rFonts w:hint="eastAsia"/>
                <w:color w:val="auto"/>
                <w:highlight w:val="none"/>
              </w:rPr>
              <w:t xml:space="preserve">①进度计划；②保证措施等方面内容进行综合评定：优于项目需求的得10分；满足项目需求的得8分；不满足或无此项内容的本项不得分。</w:t>
            </w:r>
            <w:r>
              <w:rPr>
                <w:rFonts w:hint="eastAsia"/>
                <w:color w:val="auto"/>
                <w:highlight w:val="none"/>
              </w:rPr>
            </w:r>
            <w:r/>
            <w:r>
              <w:rPr>
                <w:rFonts w:hint="eastAsia"/>
                <w:color w:val="auto"/>
                <w:highlight w:val="none"/>
              </w:rPr>
            </w:r>
          </w:p>
        </w:tc>
      </w:tr>
      <w:tr>
        <w:trPr>
          <w:cantSplit/>
          <w:jc w:val="center"/>
          <w:trHeight w:val="1413"/>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1024"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8058" w:type="dxa"/>
            <w:vAlign w:val="center"/>
            <w:textDirection w:val="lrTb"/>
            <w:noWrap w:val="false"/>
          </w:tcPr>
          <w:p>
            <w:pPr>
              <w:ind w:firstLine="420"/>
              <w:jc w:val="left"/>
              <w:spacing w:line="360" w:lineRule="exact"/>
              <w:widowControl/>
              <w:rPr>
                <w:rFonts w:hint="eastAsia"/>
                <w:color w:val="auto"/>
                <w:highlight w:val="none"/>
              </w:rPr>
            </w:pPr>
            <w:r>
              <w:rPr>
                <w:rFonts w:hint="eastAsia"/>
                <w:color w:val="auto"/>
                <w:highlight w:val="none"/>
              </w:rPr>
              <w:t xml:space="preserve">2.工程进度计划与保证措施（</w:t>
            </w:r>
            <w:r>
              <w:rPr>
                <w:rFonts w:hint="eastAsia"/>
                <w:color w:val="auto"/>
                <w:highlight w:val="none"/>
                <w:lang w:val="en-US" w:eastAsia="zh-CN"/>
              </w:rPr>
              <w:t xml:space="preserve">10</w:t>
            </w:r>
            <w:r>
              <w:rPr>
                <w:rFonts w:hint="eastAsia"/>
                <w:color w:val="auto"/>
                <w:highlight w:val="none"/>
              </w:rPr>
              <w:t xml:space="preserve">分）</w:t>
            </w:r>
            <w:r/>
          </w:p>
          <w:p>
            <w:pPr>
              <w:ind w:firstLine="420"/>
              <w:jc w:val="left"/>
              <w:spacing w:line="360" w:lineRule="exact"/>
              <w:widowControl/>
              <w:rPr>
                <w:rFonts w:hint="eastAsia"/>
                <w:color w:val="auto"/>
                <w:highlight w:val="none"/>
              </w:rPr>
            </w:pPr>
            <w:r>
              <w:rPr>
                <w:rFonts w:hint="eastAsia"/>
                <w:color w:val="auto"/>
                <w:highlight w:val="none"/>
              </w:rPr>
            </w:r>
            <w:r>
              <w:rPr>
                <w:rFonts w:hint="eastAsia"/>
                <w:color w:val="auto"/>
                <w:highlight w:val="none"/>
              </w:rPr>
              <w:t xml:space="preserve">供应商根据本项目第四章中“工程进度计划与保证措施”要求提供至少包含：</w:t>
            </w:r>
            <w:r>
              <w:rPr>
                <w:rFonts w:hint="eastAsia"/>
                <w:color w:val="auto"/>
                <w:highlight w:val="none"/>
              </w:rPr>
              <w:t xml:space="preserve">①进度计划；②保证措施等方面内容进行综合评定：优于项目需求的得10分；满足项目需求的得8分；不满足或无此项内容的本项不得分。</w:t>
            </w:r>
            <w:r>
              <w:rPr>
                <w:rFonts w:hint="eastAsia"/>
                <w:color w:val="auto"/>
                <w:highlight w:val="none"/>
              </w:rPr>
            </w:r>
            <w:r/>
          </w:p>
        </w:tc>
      </w:tr>
      <w:tr>
        <w:trPr>
          <w:cantSplit/>
          <w:jc w:val="center"/>
          <w:trHeight w:val="2047"/>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1024"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8058" w:type="dxa"/>
            <w:vAlign w:val="center"/>
            <w:textDirection w:val="lrTb"/>
            <w:noWrap w:val="false"/>
          </w:tcPr>
          <w:p>
            <w:pPr>
              <w:ind w:firstLine="420"/>
              <w:jc w:val="left"/>
              <w:spacing w:line="360" w:lineRule="exact"/>
              <w:widowControl/>
              <w:rPr>
                <w:rFonts w:hint="eastAsia"/>
                <w:color w:val="auto"/>
                <w:highlight w:val="none"/>
              </w:rPr>
            </w:pPr>
            <w:r>
              <w:rPr>
                <w:rFonts w:hint="eastAsia"/>
                <w:color w:val="auto"/>
                <w:highlight w:val="none"/>
              </w:rPr>
              <w:t xml:space="preserve">3.安全管理方案和措施（10</w:t>
            </w:r>
            <w:r>
              <w:rPr>
                <w:rFonts w:hint="eastAsia"/>
                <w:color w:val="auto"/>
                <w:highlight w:val="none"/>
              </w:rPr>
              <w:t xml:space="preserve">分）</w:t>
            </w:r>
            <w:r/>
          </w:p>
          <w:p>
            <w:pPr>
              <w:ind w:firstLine="420"/>
              <w:jc w:val="left"/>
              <w:spacing w:line="360" w:lineRule="exact"/>
              <w:widowControl/>
              <w:rPr>
                <w:rFonts w:hint="eastAsia"/>
                <w:color w:val="auto"/>
                <w:highlight w:val="none"/>
              </w:rPr>
            </w:pPr>
            <w:r>
              <w:rPr>
                <w:rFonts w:hint="eastAsia"/>
                <w:color w:val="auto"/>
                <w:highlight w:val="none"/>
              </w:rPr>
              <w:t xml:space="preserve">供应商根据本项目第四章中“安全管理方案和措施”要求提供至少包含：</w:t>
            </w:r>
            <w:r>
              <w:rPr>
                <w:rFonts w:hint="eastAsia"/>
                <w:color w:val="auto"/>
                <w:highlight w:val="none"/>
              </w:rPr>
              <w:t xml:space="preserve">①安全管理方案；②安全保证措施；③现场安全防护；④安全检查与隐患整改；⑤应急处置等方面内容。进行综合评定：优于项目需求的得10分；满足项目需求的得8分；不满足或无此项内容的本项不得分。</w:t>
            </w:r>
            <w:r>
              <w:rPr>
                <w:rFonts w:hint="eastAsia"/>
                <w:color w:val="auto"/>
                <w:highlight w:val="none"/>
              </w:rPr>
            </w:r>
            <w:r/>
          </w:p>
        </w:tc>
      </w:tr>
      <w:tr>
        <w:trPr>
          <w:cantSplit/>
          <w:jc w:val="center"/>
          <w:trHeight w:val="734"/>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1024"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8058" w:type="dxa"/>
            <w:vAlign w:val="center"/>
            <w:textDirection w:val="lrTb"/>
            <w:noWrap w:val="false"/>
          </w:tcPr>
          <w:p>
            <w:pPr>
              <w:ind w:firstLine="420"/>
              <w:jc w:val="left"/>
              <w:spacing w:line="360" w:lineRule="exact"/>
              <w:widowControl/>
              <w:rPr>
                <w:rFonts w:hint="eastAsia"/>
                <w:color w:val="auto"/>
                <w:highlight w:val="none"/>
              </w:rPr>
            </w:pPr>
            <w:r>
              <w:rPr>
                <w:rFonts w:hint="eastAsia"/>
                <w:color w:val="auto"/>
                <w:highlight w:val="none"/>
              </w:rPr>
              <w:t xml:space="preserve">4.质量管理方案和措施（</w:t>
            </w:r>
            <w:r>
              <w:rPr>
                <w:rFonts w:hint="eastAsia"/>
                <w:color w:val="auto"/>
                <w:highlight w:val="none"/>
                <w:lang w:val="en-US" w:eastAsia="zh-CN"/>
              </w:rPr>
              <w:t xml:space="preserve">10</w:t>
            </w:r>
            <w:r>
              <w:rPr>
                <w:rFonts w:hint="eastAsia"/>
                <w:color w:val="auto"/>
                <w:highlight w:val="none"/>
              </w:rPr>
              <w:t xml:space="preserve">分）</w:t>
            </w:r>
            <w:r/>
          </w:p>
          <w:p>
            <w:pPr>
              <w:ind w:firstLine="420"/>
              <w:jc w:val="left"/>
              <w:spacing w:line="360" w:lineRule="exact"/>
              <w:widowControl/>
              <w:rPr>
                <w:rFonts w:hint="eastAsia"/>
                <w:color w:val="auto"/>
                <w:highlight w:val="none"/>
              </w:rPr>
            </w:pPr>
            <w:r>
              <w:rPr>
                <w:rFonts w:hint="eastAsia"/>
                <w:color w:val="auto"/>
                <w:highlight w:val="none"/>
              </w:rPr>
              <w:t xml:space="preserve">供应商根据本项目第四章中“质量管理方案和措施”要求提供至少包含：</w:t>
            </w:r>
            <w:r>
              <w:rPr>
                <w:rFonts w:hint="eastAsia"/>
                <w:color w:val="auto"/>
                <w:highlight w:val="none"/>
              </w:rPr>
              <w:t xml:space="preserve">①质量管理方案；②具体质量措施等方面内容进行综合评定：优于项目需求的得10分；满足项目需求的得8分；不满足或无此项内容的本项不得分。</w:t>
            </w:r>
            <w:r>
              <w:rPr>
                <w:rFonts w:hint="eastAsia"/>
                <w:color w:val="auto"/>
                <w:highlight w:val="none"/>
              </w:rPr>
            </w:r>
            <w:r/>
          </w:p>
        </w:tc>
      </w:tr>
      <w:tr>
        <w:trPr>
          <w:cantSplit/>
          <w:jc w:val="center"/>
          <w:trHeight w:val="1549"/>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1024"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8058" w:type="dxa"/>
            <w:vAlign w:val="center"/>
            <w:textDirection w:val="lrTb"/>
            <w:noWrap w:val="false"/>
          </w:tcPr>
          <w:p>
            <w:pPr>
              <w:ind w:firstLine="420"/>
              <w:jc w:val="left"/>
              <w:spacing w:line="360" w:lineRule="exact"/>
              <w:widowControl/>
              <w:rPr>
                <w:rFonts w:hint="eastAsia"/>
                <w:color w:val="auto"/>
                <w:highlight w:val="none"/>
              </w:rPr>
            </w:pPr>
            <w:r>
              <w:rPr>
                <w:rFonts w:hint="eastAsia"/>
                <w:color w:val="auto"/>
                <w:highlight w:val="none"/>
              </w:rPr>
              <w:t xml:space="preserve">5.文明施工及环境保护方案（</w:t>
            </w:r>
            <w:r>
              <w:rPr>
                <w:rFonts w:hint="eastAsia"/>
                <w:color w:val="auto"/>
                <w:highlight w:val="none"/>
                <w:lang w:val="en-US" w:eastAsia="zh-CN"/>
              </w:rPr>
              <w:t xml:space="preserve">10</w:t>
            </w:r>
            <w:r>
              <w:rPr>
                <w:rFonts w:hint="eastAsia"/>
                <w:color w:val="auto"/>
                <w:highlight w:val="none"/>
              </w:rPr>
              <w:t xml:space="preserve">分）</w:t>
            </w:r>
            <w:r/>
          </w:p>
          <w:p>
            <w:pPr>
              <w:ind w:firstLine="420"/>
              <w:jc w:val="left"/>
              <w:spacing w:line="360" w:lineRule="exact"/>
              <w:widowControl/>
              <w:rPr>
                <w:rFonts w:hint="eastAsia"/>
                <w:color w:val="auto"/>
                <w:highlight w:val="none"/>
              </w:rPr>
            </w:pPr>
            <w:r>
              <w:rPr>
                <w:rFonts w:hint="eastAsia"/>
                <w:color w:val="auto"/>
                <w:highlight w:val="none"/>
              </w:rPr>
              <w:t xml:space="preserve">供应商根据本项目第四章中“文明施工及环境保护方案”要求提供至少包含：</w:t>
            </w:r>
            <w:r>
              <w:rPr>
                <w:rFonts w:hint="eastAsia"/>
                <w:color w:val="auto"/>
                <w:highlight w:val="none"/>
              </w:rPr>
              <w:t xml:space="preserve">①文明施工方案；②环境保护方案等方面内容进行综合评定：优于项目需求的得10分；满足项目需求的得8分；不满足或无此项内容的本项不得分。</w:t>
            </w:r>
            <w:r>
              <w:rPr>
                <w:rFonts w:hint="eastAsia"/>
                <w:color w:val="auto"/>
                <w:highlight w:val="none"/>
              </w:rPr>
            </w:r>
            <w:r/>
          </w:p>
        </w:tc>
      </w:tr>
      <w:tr>
        <w:trPr>
          <w:cantSplit/>
          <w:jc w:val="center"/>
          <w:trHeight w:val="90"/>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1024"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8058" w:type="dxa"/>
            <w:vAlign w:val="center"/>
            <w:textDirection w:val="lrTb"/>
            <w:noWrap w:val="false"/>
          </w:tcPr>
          <w:p>
            <w:pPr>
              <w:ind w:firstLine="420"/>
              <w:jc w:val="left"/>
              <w:spacing w:line="360" w:lineRule="exact"/>
              <w:widowControl/>
              <w:rPr>
                <w:rFonts w:hint="eastAsia"/>
                <w:color w:val="auto"/>
                <w:highlight w:val="none"/>
              </w:rPr>
            </w:pPr>
            <w:r>
              <w:rPr>
                <w:rFonts w:hint="eastAsia"/>
                <w:color w:val="auto"/>
                <w:highlight w:val="none"/>
              </w:rPr>
              <w:t xml:space="preserve">6.售后服务方案（5</w:t>
            </w:r>
            <w:r>
              <w:rPr>
                <w:rFonts w:hint="eastAsia"/>
                <w:color w:val="auto"/>
                <w:highlight w:val="none"/>
              </w:rPr>
              <w:t xml:space="preserve">分）</w:t>
            </w:r>
            <w:r/>
          </w:p>
          <w:p>
            <w:pPr>
              <w:ind w:firstLine="420"/>
              <w:jc w:val="left"/>
              <w:spacing w:line="360" w:lineRule="exact"/>
              <w:widowControl/>
              <w:rPr>
                <w:rFonts w:hint="eastAsia"/>
                <w:color w:val="auto"/>
                <w:highlight w:val="none"/>
              </w:rPr>
            </w:pPr>
            <w:r>
              <w:rPr>
                <w:rFonts w:hint="eastAsia"/>
                <w:color w:val="auto"/>
                <w:highlight w:val="none"/>
              </w:rPr>
              <w:t xml:space="preserve">供应商根据本项目第四章中“售后服务方案”要求提供至少包含：</w:t>
            </w:r>
            <w:r>
              <w:rPr>
                <w:rFonts w:hint="eastAsia"/>
                <w:color w:val="auto"/>
                <w:highlight w:val="none"/>
              </w:rPr>
              <w:t xml:space="preserve">①服务内容；②响应机制；③问题处理流程；④保障措施相关内容进行综合评定；优于项目需求的得5分；满足项目需求的得3分；不满足或无此项内容的本项不得分。</w:t>
            </w:r>
            <w:r>
              <w:rPr>
                <w:rFonts w:hint="eastAsia"/>
                <w:color w:val="auto"/>
                <w:highlight w:val="none"/>
              </w:rPr>
            </w:r>
            <w:r/>
          </w:p>
        </w:tc>
      </w:tr>
      <w:tr>
        <w:trPr>
          <w:cantSplit/>
          <w:jc w:val="center"/>
          <w:trHeight w:val="90"/>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gridSpan w:val="2"/>
            <w:tcW w:w="9082" w:type="dxa"/>
            <w:vAlign w:val="center"/>
            <w:textDirection w:val="lrTb"/>
            <w:noWrap w:val="false"/>
          </w:tcPr>
          <w:p>
            <w:pPr>
              <w:ind w:firstLine="420"/>
              <w:jc w:val="left"/>
              <w:spacing w:line="360" w:lineRule="exact"/>
              <w:widowControl/>
              <w:rPr>
                <w:rFonts w:hint="eastAsia"/>
                <w:color w:val="auto"/>
                <w:highlight w:val="none"/>
              </w:rPr>
            </w:pPr>
            <w:r>
              <w:rPr>
                <w:rFonts w:hint="eastAsia" w:hAnsi="宋体" w:cs="宋体"/>
                <w:b/>
                <w:bCs/>
                <w:color w:val="auto"/>
                <w:highlight w:val="none"/>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hAnsi="宋体" w:cs="宋体"/>
                <w:b/>
                <w:bCs/>
                <w:color w:val="auto"/>
                <w:highlight w:val="none"/>
              </w:rPr>
              <w:t xml:space="preserve">施工方案应表述简洁，方案总页数不得超过100页，否则施工方案不得分。</w:t>
            </w:r>
            <w:r>
              <w:rPr>
                <w:rFonts w:hint="eastAsia" w:hAnsi="宋体" w:cs="宋体"/>
                <w:b/>
                <w:bCs/>
                <w:color w:val="auto"/>
                <w:highlight w:val="none"/>
              </w:rPr>
            </w:r>
            <w:r/>
          </w:p>
        </w:tc>
      </w:tr>
    </w:tbl>
    <w:p>
      <w:pPr>
        <w:pStyle w:val="776"/>
        <w:rPr>
          <w:rFonts w:ascii="宋体" w:hAnsi="宋体" w:cs="宋体"/>
          <w:color w:val="auto"/>
          <w:highlight w:val="none"/>
        </w:rPr>
      </w:pPr>
      <w:r>
        <w:rPr>
          <w:rFonts w:ascii="宋体" w:hAnsi="宋体" w:cs="宋体"/>
          <w:color w:val="auto"/>
          <w:highlight w:val="none"/>
        </w:rPr>
      </w:r>
      <w:r/>
    </w:p>
    <w:p>
      <w:pPr>
        <w:ind w:firstLine="300"/>
        <w:spacing w:line="360" w:lineRule="auto"/>
        <w:tabs>
          <w:tab w:val="left" w:pos="900" w:leader="none"/>
        </w:tabs>
        <w:rPr>
          <w:rFonts w:ascii="宋体" w:hAnsi="宋体" w:cs="宋体"/>
          <w:b/>
          <w:color w:val="auto"/>
          <w:szCs w:val="21"/>
          <w:highlight w:val="none"/>
        </w:rPr>
      </w:pPr>
      <w:r>
        <w:rPr>
          <w:rFonts w:hint="eastAsia" w:ascii="宋体" w:hAnsi="宋体"/>
          <w:color w:val="auto"/>
          <w:szCs w:val="21"/>
          <w:highlight w:val="none"/>
        </w:rPr>
        <w:t xml:space="preserve">注：</w:t>
      </w:r>
      <w:r>
        <w:rPr>
          <w:rFonts w:hint="eastAsia" w:ascii="宋体" w:hAnsi="宋体" w:cs="宋体"/>
          <w:b/>
          <w:color w:val="auto"/>
          <w:szCs w:val="21"/>
          <w:highlight w:val="none"/>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pStyle w:val="815"/>
        <w:rPr>
          <w:rFonts w:hint="eastAsia"/>
          <w:color w:val="auto"/>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sectPr>
      </w:pPr>
      <w:r/>
      <w:bookmarkStart w:id="758" w:name="_Toc203032712"/>
      <w:r/>
      <w:r/>
    </w:p>
    <w:p>
      <w:pPr>
        <w:pStyle w:val="815"/>
        <w:rPr>
          <w:color w:val="auto"/>
          <w:sz w:val="36"/>
          <w:szCs w:val="36"/>
          <w:highlight w:val="none"/>
        </w:rPr>
      </w:pPr>
      <w:r>
        <w:rPr>
          <w:rFonts w:hint="eastAsia"/>
          <w:color w:val="auto"/>
          <w:sz w:val="36"/>
          <w:szCs w:val="36"/>
          <w:highlight w:val="none"/>
        </w:rPr>
        <w:t xml:space="preserve">第六章  竞争性磋商响应文件格式</w:t>
      </w:r>
      <w:bookmarkEnd w:id="180"/>
      <w:r/>
      <w:bookmarkEnd w:id="181"/>
      <w:r/>
      <w:bookmarkEnd w:id="182"/>
      <w:r/>
      <w:bookmarkEnd w:id="758"/>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黑体" w:hAnsi="黑体" w:eastAsia="黑体"/>
          <w:b/>
          <w:color w:val="auto"/>
          <w:sz w:val="72"/>
          <w:szCs w:val="21"/>
          <w:highlight w:val="none"/>
        </w:rPr>
      </w:pPr>
      <w:r>
        <w:rPr>
          <w:rFonts w:hint="eastAsia" w:ascii="黑体" w:hAnsi="黑体" w:eastAsia="黑体"/>
          <w:b/>
          <w:color w:val="auto"/>
          <w:sz w:val="72"/>
          <w:szCs w:val="21"/>
          <w:highlight w:val="none"/>
        </w:rPr>
        <w:t xml:space="preserve"> 响 应 文 件</w:t>
      </w:r>
      <w:r/>
    </w:p>
    <w:p>
      <w:pPr>
        <w:pStyle w:val="1068"/>
        <w:ind w:firstLine="0"/>
        <w:jc w:val="center"/>
        <w:rPr>
          <w:rFonts w:ascii="黑体" w:hAnsi="黑体" w:eastAsia="黑体"/>
          <w:b/>
          <w:bCs/>
          <w:color w:val="auto"/>
          <w:sz w:val="32"/>
          <w:highlight w:val="none"/>
        </w:rPr>
      </w:pPr>
      <w:r>
        <w:rPr>
          <w:rFonts w:ascii="黑体" w:hAnsi="黑体" w:eastAsia="黑体"/>
          <w:b/>
          <w:bCs/>
          <w:color w:val="auto"/>
          <w:sz w:val="32"/>
          <w:highlight w:val="none"/>
        </w:rPr>
      </w:r>
      <w:r/>
    </w:p>
    <w:p>
      <w:pPr>
        <w:ind w:firstLine="1084"/>
        <w:rPr>
          <w:rFonts w:ascii="黑体" w:hAnsi="黑体" w:eastAsia="黑体"/>
          <w:b/>
          <w:color w:val="auto"/>
          <w:sz w:val="36"/>
          <w:szCs w:val="21"/>
          <w:highlight w:val="none"/>
        </w:rPr>
      </w:pPr>
      <w:r>
        <w:rPr>
          <w:rFonts w:hint="eastAsia" w:ascii="黑体" w:hAnsi="黑体" w:eastAsia="黑体"/>
          <w:b/>
          <w:color w:val="auto"/>
          <w:sz w:val="36"/>
          <w:szCs w:val="21"/>
          <w:highlight w:val="none"/>
        </w:rPr>
        <w:t xml:space="preserve">             </w:t>
      </w:r>
      <w:r/>
    </w:p>
    <w:p>
      <w:pPr>
        <w:ind w:firstLine="1084"/>
        <w:rPr>
          <w:rFonts w:ascii="黑体" w:hAnsi="黑体" w:eastAsia="黑体"/>
          <w:b/>
          <w:color w:val="auto"/>
          <w:sz w:val="36"/>
          <w:szCs w:val="21"/>
          <w:highlight w:val="none"/>
        </w:rPr>
      </w:pPr>
      <w:r>
        <w:rPr>
          <w:rFonts w:ascii="黑体" w:hAnsi="黑体" w:eastAsia="黑体"/>
          <w:b/>
          <w:color w:val="auto"/>
          <w:sz w:val="36"/>
          <w:szCs w:val="21"/>
          <w:highlight w:val="none"/>
        </w:rPr>
      </w:r>
      <w:r/>
    </w:p>
    <w:p>
      <w:pPr>
        <w:ind w:firstLine="1084"/>
        <w:rPr>
          <w:rFonts w:ascii="黑体" w:hAnsi="黑体" w:eastAsia="黑体"/>
          <w:b/>
          <w:color w:val="auto"/>
          <w:sz w:val="36"/>
          <w:szCs w:val="21"/>
          <w:highlight w:val="none"/>
        </w:rPr>
      </w:pPr>
      <w:r>
        <w:rPr>
          <w:rFonts w:ascii="黑体" w:hAnsi="黑体" w:eastAsia="黑体"/>
          <w:b/>
          <w:color w:val="auto"/>
          <w:sz w:val="36"/>
          <w:szCs w:val="21"/>
          <w:highlight w:val="none"/>
        </w:rPr>
      </w:r>
      <w:r/>
    </w:p>
    <w:p>
      <w:pPr>
        <w:ind w:firstLine="1084"/>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ind w:firstLine="1084"/>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供应商名称：</w:t>
      </w:r>
      <w:r>
        <w:rPr>
          <w:rFonts w:hint="eastAsia" w:ascii="宋体" w:hAnsi="宋体" w:cs="宋体"/>
          <w:b/>
          <w:color w:val="auto"/>
          <w:sz w:val="36"/>
          <w:highlight w:val="none"/>
          <w:u w:val="single"/>
        </w:rPr>
        <w:t xml:space="preserve">（加盖CA电子公章）</w:t>
      </w:r>
      <w:r/>
    </w:p>
    <w:p>
      <w:pPr>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pStyle w:val="1068"/>
        <w:ind w:firstLine="2464"/>
        <w:rPr>
          <w:rFonts w:ascii="宋体" w:hAnsi="宋体" w:cs="Times New Roman"/>
          <w:bCs/>
          <w:color w:val="auto"/>
          <w:sz w:val="32"/>
          <w:szCs w:val="32"/>
          <w:highlight w:val="none"/>
        </w:rPr>
      </w:pPr>
      <w:r>
        <w:rPr>
          <w:rFonts w:ascii="宋体" w:hAnsi="宋体" w:cs="Times New Roman"/>
          <w:bCs/>
          <w:color w:val="auto"/>
          <w:sz w:val="32"/>
          <w:szCs w:val="32"/>
          <w:highlight w:val="none"/>
        </w:rPr>
      </w:r>
      <w:r/>
    </w:p>
    <w:p>
      <w:pPr>
        <w:pStyle w:val="1068"/>
        <w:ind w:firstLine="0"/>
        <w:spacing w:before="0" w:after="0"/>
        <w:rPr>
          <w:rFonts w:ascii="宋体" w:hAnsi="宋体"/>
          <w:color w:val="auto"/>
          <w:highlight w:val="none"/>
        </w:rPr>
      </w:pPr>
      <w:r>
        <w:rPr>
          <w:rFonts w:ascii="宋体" w:hAnsi="宋体"/>
          <w:color w:val="auto"/>
          <w:highlight w:val="none"/>
        </w:rPr>
      </w:r>
      <w:r/>
    </w:p>
    <w:p>
      <w:pPr>
        <w:pStyle w:val="1068"/>
        <w:ind w:firstLine="0"/>
        <w:spacing w:before="0" w:after="0"/>
        <w:rPr>
          <w:rFonts w:ascii="宋体" w:hAnsi="宋体"/>
          <w:color w:val="auto"/>
          <w:highlight w:val="none"/>
        </w:rPr>
      </w:pPr>
      <w:r>
        <w:rPr>
          <w:rFonts w:ascii="宋体" w:hAnsi="宋体"/>
          <w:color w:val="auto"/>
          <w:highlight w:val="none"/>
        </w:rPr>
      </w:r>
      <w:r/>
    </w:p>
    <w:p>
      <w:pPr>
        <w:pStyle w:val="1068"/>
        <w:ind w:firstLine="0"/>
        <w:spacing w:before="0" w:after="0"/>
        <w:rPr>
          <w:rFonts w:ascii="宋体" w:hAnsi="宋体"/>
          <w:color w:val="auto"/>
          <w:highlight w:val="none"/>
        </w:rPr>
      </w:pPr>
      <w:r>
        <w:rPr>
          <w:rFonts w:ascii="宋体" w:hAnsi="宋体"/>
          <w:color w:val="auto"/>
          <w:highlight w:val="none"/>
        </w:rPr>
      </w:r>
      <w:r/>
    </w:p>
    <w:p>
      <w:pPr>
        <w:pStyle w:val="1068"/>
        <w:ind w:firstLine="0"/>
        <w:spacing w:before="0" w:after="0"/>
        <w:rPr>
          <w:rFonts w:ascii="宋体" w:hAnsi="宋体"/>
          <w:color w:val="auto"/>
          <w:highlight w:val="none"/>
        </w:rPr>
      </w:pPr>
      <w:r>
        <w:rPr>
          <w:rFonts w:ascii="宋体" w:hAnsi="宋体"/>
          <w:color w:val="auto"/>
          <w:highlight w:val="none"/>
        </w:rPr>
      </w:r>
      <w:r/>
    </w:p>
    <w:p>
      <w:pPr>
        <w:pStyle w:val="1068"/>
        <w:ind w:firstLine="0"/>
        <w:spacing w:before="0" w:after="0"/>
        <w:rPr>
          <w:rFonts w:ascii="宋体" w:hAnsi="宋体"/>
          <w:color w:val="auto"/>
          <w:highlight w:val="none"/>
        </w:rPr>
      </w:pPr>
      <w:r>
        <w:rPr>
          <w:rFonts w:ascii="宋体" w:hAnsi="宋体"/>
          <w:color w:val="auto"/>
          <w:highlight w:val="none"/>
        </w:rPr>
      </w:r>
      <w:r/>
    </w:p>
    <w:p>
      <w:pPr>
        <w:pStyle w:val="1068"/>
        <w:ind w:firstLine="0"/>
        <w:spacing w:before="0" w:after="0"/>
        <w:rPr>
          <w:rFonts w:ascii="宋体" w:hAnsi="宋体"/>
          <w:color w:val="auto"/>
          <w:highlight w:val="none"/>
        </w:rPr>
      </w:pPr>
      <w:r>
        <w:rPr>
          <w:rFonts w:ascii="宋体" w:hAnsi="宋体"/>
          <w:color w:val="auto"/>
          <w:highlight w:val="none"/>
        </w:rPr>
      </w:r>
      <w:r/>
    </w:p>
    <w:p>
      <w:pPr>
        <w:pStyle w:val="794"/>
        <w:jc w:val="center"/>
        <w:spacing w:line="360" w:lineRule="auto"/>
        <w:rPr>
          <w:rFonts w:ascii="宋体" w:hAnsi="宋体"/>
          <w:color w:val="auto"/>
          <w:sz w:val="32"/>
          <w:highlight w:val="none"/>
        </w:rPr>
      </w:pPr>
      <w:r>
        <w:rPr>
          <w:rFonts w:ascii="宋体" w:hAnsi="宋体"/>
          <w:color w:val="auto"/>
          <w:sz w:val="32"/>
          <w:highlight w:val="none"/>
        </w:rPr>
      </w:r>
      <w:r/>
    </w:p>
    <w:p>
      <w:pPr>
        <w:jc w:val="center"/>
        <w:rPr>
          <w:rFonts w:ascii="宋体" w:hAnsi="宋体" w:cs="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cs="宋体"/>
          <w:b/>
          <w:color w:val="auto"/>
          <w:sz w:val="32"/>
          <w:szCs w:val="32"/>
          <w:highlight w:val="none"/>
        </w:rPr>
        <w:t xml:space="preserve">响应文件目录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一、 法人或者其他组织的营业执照等证明文件，自然人的身份证明</w:t>
      </w:r>
      <w:r/>
    </w:p>
    <w:p>
      <w:pPr>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u w:val="single"/>
        </w:rPr>
        <w:t xml:space="preserve">二、</w:t>
      </w:r>
      <w:r>
        <w:rPr>
          <w:rFonts w:hint="eastAsia" w:ascii="宋体" w:hAnsi="宋体" w:cs="宋体"/>
          <w:color w:val="auto"/>
          <w:sz w:val="24"/>
          <w:highlight w:val="none"/>
          <w:u w:val="single"/>
        </w:rPr>
        <w:t xml:space="preserve"> 上一年度的财务状况报表（至少提供资产负债表、利润表、现金流量表，磋商供应商成立不满一年无需提供） </w:t>
      </w:r>
      <w:r/>
    </w:p>
    <w:p>
      <w:pPr>
        <w:ind w:firstLine="482"/>
        <w:spacing w:line="360" w:lineRule="auto"/>
        <w:rPr>
          <w:rFonts w:ascii="宋体" w:hAnsi="宋体" w:cs="宋体"/>
          <w:iCs/>
          <w:color w:val="auto"/>
          <w:sz w:val="24"/>
          <w:highlight w:val="none"/>
          <w:u w:val="single"/>
        </w:rPr>
      </w:pPr>
      <w:r>
        <w:rPr>
          <w:rFonts w:hint="eastAsia" w:ascii="宋体" w:hAnsi="宋体" w:cs="宋体"/>
          <w:b/>
          <w:iCs/>
          <w:color w:val="auto"/>
          <w:sz w:val="24"/>
          <w:highlight w:val="none"/>
          <w:u w:val="single"/>
        </w:rPr>
        <w:t xml:space="preserve">三、 </w:t>
      </w:r>
      <w:r>
        <w:rPr>
          <w:rFonts w:hint="eastAsia" w:ascii="宋体" w:hAnsi="宋体" w:cs="宋体"/>
          <w:color w:val="auto"/>
          <w:sz w:val="24"/>
          <w:highlight w:val="none"/>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四、 具备履行合同所必需的设备和专业技术能力的书面声明</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五、 参加政府采购活动前 3 年内在经营活动中没有重大违法记录的书面声明（原件彩色扫描件,格式见附表）</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六、特定资格要求的证明文件（如果本项目设置特定资格要求，则需要提供）</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文件1  营业执照原件彩色扫描件</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文件2  供应商施工资质证书、安全生产许可证、项目负责人建造师证书及安全生产考核合格证书（B类）（原件彩色扫描件）</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文件3 项目负责人养老保险证明彩色扫描件</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七、法人授权书</w:t>
      </w:r>
      <w:r/>
    </w:p>
    <w:p>
      <w:pPr>
        <w:ind w:firstLine="482"/>
        <w:spacing w:line="360" w:lineRule="auto"/>
        <w:rPr>
          <w:rFonts w:ascii="宋体" w:hAnsi="宋体" w:cs="宋体"/>
          <w:i/>
          <w:color w:val="auto"/>
          <w:highlight w:val="none"/>
          <w:u w:val="single"/>
        </w:rPr>
      </w:pPr>
      <w:r>
        <w:rPr>
          <w:rFonts w:hint="eastAsia" w:ascii="宋体" w:hAnsi="宋体" w:cs="宋体"/>
          <w:color w:val="auto"/>
          <w:sz w:val="24"/>
          <w:highlight w:val="none"/>
          <w:u w:val="single"/>
        </w:rPr>
        <w:t xml:space="preserve">八、磋商响应函</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九、中小企业声明函</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十、残疾人福利性单位声明函</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十一、磋商报价表</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十二、已标价的工程量清单报价表</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十三、技术要求响应及偏离表</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十四、商务要求响应及偏离表</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十五、实施方案</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十六、盐城市政府采购事前信用承诺书</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十七、供应商认为需要提供的其他证明材料</w:t>
      </w:r>
      <w:r/>
    </w:p>
    <w:p>
      <w:pPr>
        <w:spacing w:line="440" w:lineRule="exact"/>
        <w:rPr>
          <w:rFonts w:ascii="宋体" w:hAnsi="宋体"/>
          <w:color w:val="auto"/>
          <w:sz w:val="24"/>
          <w:highlight w:val="none"/>
        </w:rPr>
      </w:pPr>
      <w:r>
        <w:rPr>
          <w:rFonts w:ascii="宋体" w:hAnsi="宋体"/>
          <w:color w:val="auto"/>
          <w:sz w:val="24"/>
          <w:highlight w:val="none"/>
        </w:rPr>
      </w:r>
      <w:r/>
    </w:p>
    <w:p>
      <w:pPr>
        <w:ind w:firstLine="482"/>
        <w:spacing w:line="500" w:lineRule="exact"/>
        <w:rPr>
          <w:rFonts w:ascii="宋体" w:hAnsi="宋体" w:cs="宋体"/>
          <w:b/>
          <w:bCs/>
          <w:color w:val="auto"/>
          <w:sz w:val="24"/>
          <w:highlight w:val="none"/>
          <w:u w:val="single"/>
        </w:rPr>
      </w:pPr>
      <w:r>
        <w:rPr>
          <w:rFonts w:hint="eastAsia" w:ascii="宋体" w:hAnsi="宋体"/>
          <w:b/>
          <w:color w:val="auto"/>
          <w:sz w:val="32"/>
          <w:szCs w:val="32"/>
          <w:highlight w:val="none"/>
        </w:rPr>
        <w:br w:type="page" w:clear="all"/>
      </w:r>
      <w:r>
        <w:rPr>
          <w:rFonts w:hint="eastAsia" w:ascii="宋体" w:hAnsi="宋体" w:cs="宋体"/>
          <w:b/>
          <w:bCs/>
          <w:color w:val="auto"/>
          <w:sz w:val="24"/>
          <w:highlight w:val="none"/>
          <w:u w:val="single"/>
        </w:rPr>
        <w:t xml:space="preserve">一、法人或者其他组织的营业执照等证明文件，自然人的身份证明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二、上一年度的财务状况报表</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供应商成立不满一年不需提供</w:t>
      </w:r>
      <w:r/>
    </w:p>
    <w:p>
      <w:pP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ind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三、依法缴纳税收和社会保障资金的相关材料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ind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四、具备履行合同所必需的设备和专业技术能力的书面声明</w:t>
      </w:r>
      <w:r/>
    </w:p>
    <w:p>
      <w:pPr>
        <w:ind w:firstLine="49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9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p>
    <w:p>
      <w:pPr>
        <w:pStyle w:val="1157"/>
        <w:ind w:firstLine="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五、参加政府采购活动前 3 年内在经营活动中没有重大违法记录的书面声明</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声  明</w:t>
      </w:r>
      <w:r/>
    </w:p>
    <w:p>
      <w:pPr>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六、特定资格要求的证明文件</w:t>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七、法人授权书</w:t>
      </w:r>
      <w:r/>
    </w:p>
    <w:p>
      <w:pPr>
        <w:ind w:firstLine="482"/>
        <w:spacing w:line="6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本授权书声明：____________（供应商名称）授权________________（被授权人的姓名）为我方就</w:t>
      </w:r>
      <w:r>
        <w:rPr>
          <w:rFonts w:hint="eastAsia" w:ascii="宋体" w:hAnsi="宋体" w:cs="宋体"/>
          <w:color w:val="auto"/>
          <w:sz w:val="24"/>
          <w:highlight w:val="none"/>
          <w:u w:val="single"/>
          <w:lang w:eastAsia="zh-CN"/>
        </w:rPr>
        <w:t xml:space="preserve">盐渎实验学校教学楼屋顶渗漏维修工程</w:t>
      </w:r>
      <w:r>
        <w:rPr>
          <w:rFonts w:hint="eastAsia" w:ascii="宋体" w:hAnsi="宋体" w:cs="宋体"/>
          <w:color w:val="auto"/>
          <w:sz w:val="24"/>
          <w:highlight w:val="none"/>
        </w:rPr>
        <w:t xml:space="preserve">采购活动的合法代理人，以本公司名义全权处理一切与该项目采购有关的事务。</w:t>
      </w:r>
      <w:r/>
    </w:p>
    <w:p>
      <w:pPr>
        <w:ind w:firstLine="480"/>
        <w:spacing w:line="6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本授权书于______年____月____日起生效，特此声明。</w:t>
      </w:r>
      <w:r/>
    </w:p>
    <w:p>
      <w:pPr>
        <w:pStyle w:val="1104"/>
        <w:spacing w:line="600" w:lineRule="exact"/>
        <w:rPr>
          <w:rFonts w:ascii="宋体" w:hAnsi="宋体" w:cs="宋体"/>
          <w:color w:val="auto"/>
          <w:highlight w:val="none"/>
          <w:u w:val="single"/>
        </w:rPr>
      </w:pPr>
      <w:r>
        <w:rPr>
          <w:rFonts w:hint="eastAsia" w:ascii="宋体" w:hAnsi="宋体" w:cs="宋体"/>
          <w:color w:val="auto"/>
          <w:highlight w:val="none"/>
        </w:rPr>
        <w:t xml:space="preserve">         被授权人身份证号码：</w:t>
      </w:r>
      <w:r>
        <w:rPr>
          <w:rFonts w:hint="eastAsia" w:ascii="宋体" w:hAnsi="宋体" w:cs="宋体"/>
          <w:color w:val="auto"/>
          <w:highlight w:val="none"/>
          <w:u w:val="single"/>
        </w:rPr>
        <w:t xml:space="preserve">                              </w:t>
      </w:r>
      <w:r/>
    </w:p>
    <w:p>
      <w:pPr>
        <w:pStyle w:val="1104"/>
        <w:spacing w:line="600" w:lineRule="exact"/>
        <w:rPr>
          <w:rFonts w:ascii="宋体" w:hAnsi="宋体" w:cs="宋体"/>
          <w:color w:val="auto"/>
          <w:highlight w:val="none"/>
          <w:u w:val="single"/>
        </w:rPr>
      </w:pPr>
      <w:r>
        <w:rPr>
          <w:rFonts w:hint="eastAsia" w:ascii="宋体" w:hAnsi="宋体" w:cs="宋体"/>
          <w:color w:val="auto"/>
          <w:highlight w:val="none"/>
        </w:rPr>
        <w:t xml:space="preserve">          被授权人联系电话：（手机）</w:t>
      </w:r>
      <w:r>
        <w:rPr>
          <w:rFonts w:hint="eastAsia" w:ascii="宋体" w:hAnsi="宋体" w:cs="宋体"/>
          <w:color w:val="auto"/>
          <w:highlight w:val="none"/>
          <w:u w:val="single"/>
        </w:rPr>
        <w:t xml:space="preserve">                          </w:t>
      </w:r>
      <w:r/>
    </w:p>
    <w:p>
      <w:pPr>
        <w:pStyle w:val="1104"/>
        <w:ind w:firstLine="1200"/>
        <w:spacing w:line="600" w:lineRule="exact"/>
        <w:rPr>
          <w:rFonts w:ascii="宋体" w:hAnsi="宋体" w:cs="宋体"/>
          <w:color w:val="auto"/>
          <w:highlight w:val="none"/>
        </w:rPr>
      </w:pPr>
      <w:r>
        <w:rPr>
          <w:rFonts w:hint="eastAsia" w:ascii="宋体" w:hAnsi="宋体" w:cs="宋体"/>
          <w:color w:val="auto"/>
          <w:highlight w:val="none"/>
        </w:rPr>
        <w:t xml:space="preserve">授权单位名称：</w:t>
      </w:r>
      <w:r>
        <w:rPr>
          <w:rFonts w:hint="eastAsia" w:ascii="宋体" w:hAnsi="宋体" w:cs="宋体"/>
          <w:color w:val="auto"/>
          <w:highlight w:val="none"/>
          <w:u w:val="single"/>
        </w:rPr>
        <w:t xml:space="preserve">（加盖CA电子公章）</w:t>
      </w:r>
      <w:r/>
    </w:p>
    <w:p>
      <w:pPr>
        <w:pStyle w:val="1104"/>
        <w:ind w:firstLine="480"/>
        <w:spacing w:line="600" w:lineRule="exact"/>
        <w:rPr>
          <w:rFonts w:ascii="宋体" w:hAnsi="宋体" w:cs="宋体"/>
          <w:color w:val="auto"/>
          <w:highlight w:val="none"/>
          <w:u w:val="single"/>
        </w:rPr>
      </w:pPr>
      <w:r>
        <w:rPr>
          <w:rFonts w:hint="eastAsia" w:ascii="宋体" w:hAnsi="宋体" w:cs="宋体"/>
          <w:color w:val="auto"/>
          <w:highlight w:val="none"/>
        </w:rPr>
        <w:t xml:space="preserve">      单位地址：</w:t>
      </w:r>
      <w:r>
        <w:rPr>
          <w:rFonts w:hint="eastAsia" w:ascii="宋体" w:hAnsi="宋体" w:cs="宋体"/>
          <w:color w:val="auto"/>
          <w:highlight w:val="none"/>
          <w:u w:val="single"/>
        </w:rPr>
        <w:t xml:space="preserve">                                         </w:t>
      </w:r>
      <w:r/>
    </w:p>
    <w:p>
      <w:pPr>
        <w:pStyle w:val="1104"/>
        <w:ind w:firstLine="480"/>
        <w:spacing w:line="600" w:lineRule="exact"/>
        <w:rPr>
          <w:rFonts w:ascii="宋体" w:hAnsi="宋体" w:cs="宋体"/>
          <w:color w:val="auto"/>
          <w:highlight w:val="none"/>
        </w:rPr>
      </w:pPr>
      <w:r>
        <w:rPr>
          <w:rFonts w:hint="eastAsia" w:ascii="宋体" w:hAnsi="宋体" w:cs="宋体"/>
          <w:color w:val="auto"/>
          <w:highlight w:val="none"/>
        </w:rPr>
        <w:t xml:space="preserve">      日期：</w:t>
      </w:r>
      <w:r>
        <w:rPr>
          <w:rFonts w:hint="eastAsia" w:ascii="宋体" w:hAnsi="宋体" w:cs="宋体"/>
          <w:color w:val="auto"/>
          <w:highlight w:val="none"/>
          <w:u w:val="single"/>
        </w:rPr>
        <w:t xml:space="preserve">                                         </w:t>
      </w:r>
      <w:r/>
    </w:p>
    <w:p>
      <w:pPr>
        <w:spacing w:line="6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spacing w:line="600" w:lineRule="exact"/>
        <w:rPr>
          <w:rFonts w:ascii="宋体" w:hAnsi="宋体" w:cs="宋体"/>
          <w:color w:val="auto"/>
          <w:highlight w:val="none"/>
        </w:rPr>
      </w:pPr>
      <w:r/>
      <w:bookmarkStart w:id="759" w:name="_Hlt26955070"/>
      <w:r/>
      <w:bookmarkEnd w:id="759"/>
      <w:r/>
      <w:bookmarkStart w:id="760" w:name="_格式3__银行出具的资信证明"/>
      <w:r/>
      <w:bookmarkEnd w:id="760"/>
      <w:r/>
      <w:bookmarkStart w:id="761" w:name="_Hlt26671380"/>
      <w:r/>
      <w:bookmarkEnd w:id="761"/>
      <w:r>
        <w:rPr>
          <w:rFonts w:hint="eastAsia" w:ascii="宋体" w:hAnsi="宋体" w:cs="宋体"/>
          <w:color w:val="auto"/>
          <w:highlight w:val="none"/>
        </w:rPr>
        <w:t xml:space="preserve">法定代表人及被授权人身份证：</w:t>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2879"/>
        <w:rPr>
          <w:rFonts w:ascii="宋体" w:hAnsi="宋体"/>
          <w:color w:val="auto"/>
          <w:highlight w:val="none"/>
        </w:rPr>
      </w:pPr>
      <w:r>
        <w:rPr>
          <w:rFonts w:ascii="宋体" w:hAnsi="宋体"/>
          <w:color w:val="auto"/>
          <w:highlight w:val="none"/>
        </w:rPr>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八、磋商响应函</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   </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eastAsia="zh-CN"/>
        </w:rPr>
        <w:t xml:space="preserve">JSZC-320900-YCTX-C2026-0018</w:t>
      </w:r>
      <w:r>
        <w:rPr>
          <w:rFonts w:hint="eastAsia" w:ascii="宋体" w:hAnsi="宋体" w:cs="宋体"/>
          <w:color w:val="auto"/>
          <w:sz w:val="24"/>
          <w:highlight w:val="none"/>
          <w:u w:val="single"/>
        </w:rPr>
        <w:t xml:space="preserve">号</w:t>
      </w:r>
      <w:r>
        <w:rPr>
          <w:rFonts w:hint="eastAsia" w:ascii="宋体" w:hAnsi="宋体" w:cs="宋体"/>
          <w:color w:val="auto"/>
          <w:sz w:val="24"/>
          <w:highlight w:val="none"/>
        </w:rPr>
        <w:t xml:space="preserve">磋商文件，正式授权下述签字人_________ (姓名和职务)代表我方______________（供应商的名称），全权处理本次项目磋商采购的有关事宜。</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1.按磋商文件规定的各项要求，向买方提供所需服务。</w:t>
      </w:r>
      <w:r/>
    </w:p>
    <w:p>
      <w:pPr>
        <w:pStyle w:val="813"/>
        <w:ind w:firstLine="480"/>
        <w:spacing w:before="0" w:beforeAutospacing="0" w:after="0" w:afterAutospacing="0" w:line="360" w:lineRule="auto"/>
        <w:rPr>
          <w:color w:val="auto"/>
          <w:highlight w:val="none"/>
        </w:rPr>
      </w:pPr>
      <w:r>
        <w:rPr>
          <w:rFonts w:hint="eastAsia"/>
          <w:color w:val="auto"/>
          <w:highlight w:val="none"/>
        </w:rPr>
        <w:t xml:space="preserve">2.我们完全理解贵方不一定将合同授予最低报价的供应商。</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7.我方与本磋商有关的正式通讯地址为：</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供应商开户行：</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账 户： </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日 期：________年____月____日</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九、中小企业声明函（工程）</w:t>
      </w:r>
      <w:r/>
    </w:p>
    <w:p>
      <w:pPr>
        <w:spacing w:line="5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         （联合体）</w:t>
      </w:r>
      <w:r>
        <w:rPr>
          <w:rFonts w:hint="eastAsia" w:ascii="宋体" w:hAnsi="宋体" w:cs="宋体"/>
          <w:color w:val="auto"/>
          <w:sz w:val="24"/>
          <w:highlight w:val="none"/>
        </w:rPr>
        <w:t xml:space="preserve">郑重声明，根据《政府采购促进中小企业发展管理办法》（财库﹝2020﹞46 号）的规定，本公司</w:t>
      </w:r>
      <w:r>
        <w:rPr>
          <w:rFonts w:hint="eastAsia" w:ascii="宋体" w:hAnsi="宋体" w:cs="宋体"/>
          <w:color w:val="auto"/>
          <w:sz w:val="24"/>
          <w:highlight w:val="none"/>
          <w:u w:val="single"/>
        </w:rPr>
        <w:t xml:space="preserve">   （联合体）</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lang w:eastAsia="zh-CN"/>
        </w:rPr>
        <w:t xml:space="preserve">盐城市盐渎实验学校</w:t>
      </w:r>
      <w:r>
        <w:rPr>
          <w:rFonts w:hint="eastAsia" w:ascii="宋体" w:hAnsi="宋体" w:cs="宋体"/>
          <w:color w:val="auto"/>
          <w:sz w:val="24"/>
          <w:highlight w:val="none"/>
        </w:rPr>
        <w:t xml:space="preserve">的采购编号为</w:t>
      </w:r>
      <w:r>
        <w:rPr>
          <w:rFonts w:hint="eastAsia" w:ascii="宋体" w:hAnsi="宋体" w:cs="宋体"/>
          <w:color w:val="auto"/>
          <w:sz w:val="24"/>
          <w:highlight w:val="none"/>
          <w:u w:val="single"/>
          <w:lang w:eastAsia="zh-CN"/>
        </w:rPr>
        <w:t xml:space="preserve">JSZC-320900-YCTX-C2026-0018</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盐渎实验学校教学楼屋顶渗漏维修工程</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i/>
          <w:iCs/>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numPr>
          <w:ilvl w:val="0"/>
          <w:numId w:val="3"/>
        </w:numPr>
        <w:ind w:firstLine="480"/>
        <w:spacing w:line="600" w:lineRule="exact"/>
        <w:rPr>
          <w:rFonts w:ascii="宋体" w:hAnsi="宋体" w:cs="宋体"/>
          <w:color w:val="auto"/>
          <w:sz w:val="24"/>
          <w:highlight w:val="none"/>
        </w:rPr>
      </w:pPr>
      <w:r>
        <w:rPr>
          <w:rFonts w:hint="eastAsia" w:ascii="宋体" w:hAnsi="宋体" w:cs="宋体"/>
          <w:i/>
          <w:iCs/>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0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企业名称（</w:t>
      </w:r>
      <w:r>
        <w:rPr>
          <w:rFonts w:hint="eastAsia" w:ascii="宋体" w:hAnsi="宋体" w:cs="宋体"/>
          <w:color w:val="auto"/>
          <w:highlight w:val="none"/>
        </w:rPr>
        <w:t xml:space="preserve">加盖CA电子公章</w:t>
      </w:r>
      <w:r>
        <w:rPr>
          <w:rFonts w:hint="eastAsia" w:ascii="宋体" w:hAnsi="宋体" w:cs="宋体"/>
          <w:color w:val="auto"/>
          <w:sz w:val="24"/>
          <w:highlight w:val="none"/>
        </w:rPr>
        <w:t xml:space="preserve">）：</w:t>
      </w:r>
      <w:r/>
    </w:p>
    <w:p>
      <w:pPr>
        <w:ind w:firstLine="4080"/>
        <w:spacing w:line="600" w:lineRule="exact"/>
        <w:rPr>
          <w:rFonts w:ascii="宋体" w:hAnsi="宋体" w:cs="宋体"/>
          <w:color w:val="auto"/>
          <w:sz w:val="24"/>
          <w:highlight w:val="none"/>
        </w:rPr>
      </w:pPr>
      <w:r>
        <w:rPr>
          <w:rFonts w:hint="eastAsia" w:ascii="宋体" w:hAnsi="宋体" w:cs="宋体"/>
          <w:color w:val="auto"/>
          <w:sz w:val="24"/>
          <w:highlight w:val="none"/>
        </w:rPr>
        <w:t xml:space="preserve">日期：</w:t>
      </w:r>
      <w:r/>
    </w:p>
    <w:p>
      <w:pPr>
        <w:ind w:firstLine="480"/>
        <w:spacing w:line="0" w:lineRule="atLeast"/>
        <w:rPr>
          <w:rFonts w:ascii="Calibri" w:hAnsi="Calibri"/>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spacing w:line="0" w:lineRule="atLeast"/>
        <w:rPr>
          <w:rFonts w:ascii="Calibri" w:hAnsi="Calibri"/>
          <w:color w:val="auto"/>
          <w:sz w:val="24"/>
          <w:highlight w:val="none"/>
        </w:rPr>
      </w:pPr>
      <w:r>
        <w:rPr>
          <w:rFonts w:hint="eastAsia" w:ascii="宋体" w:hAnsi="宋体" w:cs="宋体"/>
          <w:color w:val="auto"/>
          <w:sz w:val="24"/>
          <w:highlight w:val="none"/>
        </w:rPr>
        <w:t xml:space="preserve">备注2：供应商如不提供此声明函，价格将不做相应扣除（如项目全面面向中小企业，则资格审查不通过）。</w:t>
      </w:r>
      <w:r/>
    </w:p>
    <w:p>
      <w:pPr>
        <w:jc w:val="center"/>
        <w:spacing w:line="560" w:lineRule="exact"/>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十、残疾人福利性单位声明函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项目采购活动由本单位提供服务。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（备注：中标供应商为残疾人福利单位的，此声明函将随中标结果同时公告，接受社会监督）</w:t>
      </w:r>
      <w:r/>
    </w:p>
    <w:p>
      <w:pPr>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ind w:right="1560" w:firstLine="624"/>
        <w:jc w:val="center"/>
        <w:spacing w:line="360" w:lineRule="auto"/>
        <w:tabs>
          <w:tab w:val="left" w:pos="4860" w:leader="none"/>
        </w:tabs>
        <w:rPr>
          <w:rFonts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          供应商全称（加盖CA电子公章）：</w:t>
      </w:r>
      <w:r/>
    </w:p>
    <w:p>
      <w:pPr>
        <w:ind w:right="1560" w:firstLine="480"/>
        <w:jc w:val="center"/>
        <w:spacing w:line="360" w:lineRule="auto"/>
        <w:tabs>
          <w:tab w:val="left" w:pos="4860" w:leader="none"/>
        </w:tabs>
        <w:rPr>
          <w:rFonts w:ascii="宋体" w:hAnsi="宋体" w:cs="宋体"/>
          <w:color w:val="auto"/>
          <w:sz w:val="24"/>
          <w:highlight w:val="none"/>
        </w:rPr>
      </w:pPr>
      <w:r>
        <w:rPr>
          <w:rFonts w:hint="eastAsia" w:ascii="宋体" w:hAnsi="宋体" w:cs="宋体"/>
          <w:color w:val="auto"/>
          <w:sz w:val="24"/>
          <w:highlight w:val="none"/>
        </w:rPr>
        <w:t xml:space="preserve">        日  期：</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sectPr>
          <w:footnotePr/>
          <w:endnotePr/>
          <w:type w:val="nextPage"/>
          <w:pgSz w:w="11906" w:h="16838" w:orient="portrait"/>
          <w:pgMar w:top="1015" w:right="1196" w:bottom="868" w:left="1259" w:header="851" w:footer="907" w:gutter="0"/>
          <w:cols w:num="1" w:sep="0" w:space="720" w:equalWidth="1"/>
          <w:docGrid w:linePitch="360"/>
        </w:sect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十一、磋商报价表</w:t>
      </w:r>
      <w:r/>
    </w:p>
    <w:p>
      <w:pPr>
        <w:ind w:firstLine="482"/>
        <w:spacing w:line="276" w:lineRule="auto"/>
        <w:rPr>
          <w:rFonts w:ascii="宋体" w:hAnsi="宋体" w:cs="宋体"/>
          <w:b/>
          <w:color w:val="auto"/>
          <w:sz w:val="22"/>
          <w:szCs w:val="22"/>
          <w:highlight w:val="none"/>
        </w:rPr>
      </w:pPr>
      <w:r>
        <w:rPr>
          <w:rFonts w:hint="eastAsia" w:ascii="宋体" w:hAnsi="宋体" w:cs="宋体"/>
          <w:b/>
          <w:color w:val="auto"/>
          <w:sz w:val="22"/>
          <w:szCs w:val="22"/>
          <w:highlight w:val="none"/>
        </w:rPr>
        <w:t xml:space="preserve">货币单位：人民币元</w:t>
      </w:r>
      <w:r/>
    </w:p>
    <w:p>
      <w:pPr>
        <w:ind w:firstLine="482"/>
        <w:spacing w:line="276" w:lineRule="auto"/>
        <w:rPr>
          <w:rFonts w:hint="eastAsia" w:ascii="宋体" w:hAnsi="宋体" w:eastAsia="宋体" w:cs="宋体"/>
          <w:b/>
          <w:color w:val="auto"/>
          <w:sz w:val="22"/>
          <w:szCs w:val="22"/>
          <w:highlight w:val="none"/>
          <w:lang w:eastAsia="zh-CN"/>
        </w:rPr>
      </w:pPr>
      <w:r>
        <w:rPr>
          <w:rFonts w:hint="eastAsia" w:ascii="宋体" w:hAnsi="宋体" w:cs="宋体"/>
          <w:b/>
          <w:color w:val="auto"/>
          <w:sz w:val="22"/>
          <w:szCs w:val="22"/>
          <w:highlight w:val="none"/>
        </w:rPr>
        <w:t xml:space="preserve">项目编号：</w:t>
      </w:r>
      <w:r>
        <w:rPr>
          <w:rFonts w:hint="eastAsia" w:ascii="宋体" w:hAnsi="宋体" w:cs="宋体"/>
          <w:b/>
          <w:color w:val="auto"/>
          <w:sz w:val="22"/>
          <w:szCs w:val="22"/>
          <w:highlight w:val="none"/>
          <w:lang w:eastAsia="zh-CN"/>
        </w:rPr>
        <w:t xml:space="preserve">JSZC-320900-YCTX-C2026-0018</w:t>
      </w:r>
      <w:r/>
    </w:p>
    <w:p>
      <w:pPr>
        <w:ind w:firstLine="482"/>
        <w:spacing w:line="276" w:lineRule="auto"/>
        <w:rPr>
          <w:rFonts w:ascii="宋体" w:hAnsi="宋体" w:cs="宋体"/>
          <w:b/>
          <w:color w:val="auto"/>
          <w:sz w:val="22"/>
          <w:szCs w:val="22"/>
          <w:highlight w:val="none"/>
        </w:rPr>
      </w:pPr>
      <w:r>
        <w:rPr>
          <w:rFonts w:ascii="宋体" w:hAnsi="宋体" w:cs="宋体"/>
          <w:b/>
          <w:color w:val="auto"/>
          <w:sz w:val="22"/>
          <w:szCs w:val="22"/>
          <w:highlight w:val="none"/>
        </w:rPr>
      </w:r>
      <w:r/>
    </w:p>
    <w:tbl>
      <w:tblPr>
        <w:tblStyle w:val="818"/>
        <w:tblW w:w="94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0"/>
        <w:gridCol w:w="1968"/>
        <w:gridCol w:w="3154"/>
      </w:tblGrid>
      <w:tr>
        <w:trPr>
          <w:trHeight w:val="1146"/>
        </w:trPr>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lang w:eastAsia="zh-CN"/>
              </w:rPr>
              <w:t xml:space="preserve">盐渎实验学校教学楼屋顶渗漏维修工程</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hAnsi="宋体" w:cs="宋体"/>
                <w:color w:val="auto"/>
                <w:sz w:val="24"/>
                <w:szCs w:val="22"/>
                <w:highlight w:val="none"/>
                <w:lang w:eastAsia="en-US"/>
              </w:rPr>
            </w:pPr>
            <w:r>
              <w:rPr>
                <w:rFonts w:hint="eastAsia" w:ascii="宋体" w:hAnsi="宋体" w:cs="宋体"/>
                <w:color w:val="auto"/>
                <w:sz w:val="24"/>
                <w:szCs w:val="22"/>
                <w:highlight w:val="none"/>
                <w:lang w:eastAsia="en-US"/>
              </w:rPr>
              <w:t xml:space="preserve">详见</w:t>
            </w:r>
            <w:r>
              <w:rPr>
                <w:rFonts w:hint="eastAsia" w:ascii="宋体" w:hAnsi="宋体" w:cs="宋体"/>
                <w:color w:val="auto"/>
                <w:sz w:val="24"/>
                <w:szCs w:val="22"/>
                <w:highlight w:val="none"/>
              </w:rPr>
              <w:t xml:space="preserve">响应</w:t>
            </w:r>
            <w:r>
              <w:rPr>
                <w:rFonts w:hint="eastAsia" w:ascii="宋体" w:hAnsi="宋体" w:cs="宋体"/>
                <w:color w:val="auto"/>
                <w:sz w:val="24"/>
                <w:szCs w:val="22"/>
                <w:highlight w:val="none"/>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color w:val="auto"/>
                <w:sz w:val="24"/>
                <w:szCs w:val="22"/>
                <w:highlight w:val="none"/>
                <w:lang w:eastAsia="en-US"/>
              </w:rPr>
            </w:pPr>
            <w:r>
              <w:rPr>
                <w:rFonts w:hint="eastAsia" w:ascii="宋体" w:hAnsi="宋体" w:cs="宋体"/>
                <w:color w:val="auto"/>
                <w:sz w:val="24"/>
                <w:szCs w:val="22"/>
                <w:highlight w:val="none"/>
              </w:rPr>
              <w:t xml:space="preserve">           </w:t>
            </w:r>
            <w:r>
              <w:rPr>
                <w:rFonts w:hint="eastAsia" w:ascii="宋体" w:hAnsi="宋体" w:cs="宋体"/>
                <w:color w:val="auto"/>
                <w:sz w:val="24"/>
                <w:szCs w:val="22"/>
                <w:highlight w:val="none"/>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rPr>
                <w:rFonts w:ascii="宋体" w:hAnsi="宋体" w:cs="宋体"/>
                <w:color w:val="auto"/>
                <w:sz w:val="24"/>
                <w:szCs w:val="22"/>
                <w:highlight w:val="none"/>
                <w:lang w:eastAsia="en-US"/>
              </w:rPr>
            </w:pPr>
            <w:r>
              <w:rPr>
                <w:rFonts w:hint="eastAsia" w:ascii="宋体" w:hAnsi="宋体" w:cs="宋体"/>
                <w:color w:val="auto"/>
                <w:sz w:val="24"/>
                <w:szCs w:val="22"/>
                <w:highlight w:val="none"/>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center"/>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r>
    </w:tbl>
    <w:p>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 xml:space="preserve">报价说明：</w:t>
      </w:r>
      <w:r/>
    </w:p>
    <w:p>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 xml:space="preserve">1、报价包括完成项目的所有费用。采购人不再支付报价以外的任何费用。</w:t>
      </w:r>
      <w:r/>
    </w:p>
    <w:p>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 最初报价）* 各项最初报价的单价。</w:t>
      </w:r>
      <w:r/>
    </w:p>
    <w:p>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 xml:space="preserve">供应商（加盖CA电子公章）：</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cs="宋体"/>
          <w:b/>
          <w:color w:val="auto"/>
          <w:sz w:val="24"/>
          <w:highlight w:val="none"/>
        </w:rPr>
        <w:t xml:space="preserve">十二、</w:t>
      </w:r>
      <w:r>
        <w:rPr>
          <w:rFonts w:hint="eastAsia" w:ascii="宋体" w:hAnsi="宋体" w:cs="宋体"/>
          <w:b/>
          <w:bCs/>
          <w:color w:val="auto"/>
          <w:sz w:val="24"/>
          <w:highlight w:val="none"/>
        </w:rPr>
        <w:t xml:space="preserve">已标价的工程量清单报价表</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应附：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计价表、采购人提供材料和工程设备一览表、供应商提供主要材料和工程设备一览表等内容。已标价工程量清单的格式由磋商供应商根据软件格式填入。</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分部分项工程和单价措施项目清单与计价表中列明的所有需要填写的单价和合价，磋商供应商均应填写，未填写单价和合价，视为此项费用已包含在工程量清单的其他单价和合价中。</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价格构成或报价要求：</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1、该报价非本次磋商中的最后报价。</w:t>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十三、技术要求响应及偏离表</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证明</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 行数不够，可自行添加。</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75"/>
        <w:rPr>
          <w:rFonts w:eastAsiaTheme="minorEastAsia"/>
          <w:color w:val="auto"/>
          <w:highlight w:val="none"/>
        </w:rPr>
      </w:pPr>
      <w:r>
        <w:rPr>
          <w:rFonts w:eastAsiaTheme="minorEastAsia"/>
          <w:color w:val="auto"/>
          <w:highlight w:val="none"/>
        </w:rPr>
      </w:r>
      <w:r/>
    </w:p>
    <w:p>
      <w:pPr>
        <w:pStyle w:val="775"/>
        <w:rPr>
          <w:rFonts w:eastAsiaTheme="minorEastAsia"/>
          <w:color w:val="auto"/>
          <w:highlight w:val="none"/>
        </w:rPr>
      </w:pPr>
      <w:r>
        <w:rPr>
          <w:rFonts w:eastAsiaTheme="minorEastAsia"/>
          <w:color w:val="auto"/>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rPr>
      </w:pPr>
      <w:r/>
      <w:bookmarkStart w:id="762" w:name="_Hlt26955054"/>
      <w:r/>
      <w:bookmarkEnd w:id="762"/>
      <w:r>
        <w:rPr>
          <w:rFonts w:hint="eastAsia" w:ascii="宋体" w:hAnsi="宋体" w:cs="宋体"/>
          <w:b/>
          <w:color w:val="auto"/>
          <w:sz w:val="24"/>
          <w:highlight w:val="none"/>
        </w:rPr>
        <w:t xml:space="preserve">十四、商务要求响应及偏离表</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s="宋体"/>
                <w:color w:val="auto"/>
                <w:sz w:val="24"/>
                <w:highlight w:val="none"/>
              </w:rPr>
            </w:pPr>
            <w:r/>
            <w:bookmarkStart w:id="763" w:name="_Hlt26955064"/>
            <w:r/>
            <w:bookmarkEnd w:id="763"/>
            <w:r/>
            <w:bookmarkStart w:id="764" w:name="_Hlt26671343"/>
            <w:r/>
            <w:bookmarkEnd w:id="764"/>
            <w:r/>
            <w:bookmarkStart w:id="765" w:name="_Hlt26671372"/>
            <w:r/>
            <w:bookmarkEnd w:id="765"/>
            <w:r/>
            <w:bookmarkStart w:id="766" w:name="_Hlt26782999"/>
            <w:r/>
            <w:bookmarkEnd w:id="766"/>
            <w:r/>
            <w:bookmarkStart w:id="767" w:name="_Hlt26955056"/>
            <w:r/>
            <w:bookmarkEnd w:id="767"/>
            <w:r/>
            <w:bookmarkStart w:id="768" w:name="_Hlt26580838"/>
            <w:r/>
            <w:bookmarkEnd w:id="768"/>
            <w:r/>
            <w:bookmarkStart w:id="769" w:name="_Hlt24879081"/>
            <w:r/>
            <w:bookmarkEnd w:id="769"/>
            <w:r/>
            <w:bookmarkStart w:id="770" w:name="_Hlt26609391"/>
            <w:r/>
            <w:bookmarkEnd w:id="770"/>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证明</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bCs/>
                <w:color w:val="auto"/>
                <w:sz w:val="24"/>
                <w:highlight w:val="none"/>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bCs/>
                <w:color w:val="auto"/>
                <w:sz w:val="24"/>
                <w:highlight w:val="none"/>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 行数不够，可自行添加。</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32"/>
          <w:szCs w:val="32"/>
          <w:highlight w:val="none"/>
        </w:rPr>
      </w:pPr>
      <w:r>
        <w:rPr>
          <w:rFonts w:hint="eastAsia" w:ascii="宋体" w:hAnsi="宋体" w:cs="宋体"/>
          <w:b/>
          <w:bCs/>
          <w:color w:val="auto"/>
          <w:sz w:val="24"/>
          <w:highlight w:val="none"/>
        </w:rPr>
        <w:br w:type="page" w:clear="all"/>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十五、实施方案</w:t>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十六、盐城市政府采购事前信用承诺书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为营造我市公开、公平、公正、诚实守信的政府采购交易环境，树立诚信守法的供应商形象，本人代表本单位作出以下承诺：</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法定代表人（签字或盖章）：</w:t>
      </w:r>
      <w:r/>
    </w:p>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单位名称（盖章）：</w:t>
      </w:r>
      <w:r/>
    </w:p>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b/>
          <w:color w:val="auto"/>
          <w:sz w:val="32"/>
          <w:szCs w:val="32"/>
          <w:highlight w:val="none"/>
        </w:rPr>
      </w:pPr>
      <w:r>
        <w:rPr>
          <w:b/>
          <w:color w:val="auto"/>
          <w:sz w:val="32"/>
          <w:szCs w:val="32"/>
          <w:highlight w:val="none"/>
        </w:rPr>
        <w:br w:type="page" w:clear="all"/>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十七、供应商认为需要提供的其他证明材料</w:t>
      </w:r>
      <w:r/>
    </w:p>
    <w:p>
      <w:pPr>
        <w:jc w:val="left"/>
        <w:widowControl/>
        <w:rPr>
          <w:rFonts w:ascii="宋体" w:hAnsi="宋体" w:cs="宋体"/>
          <w:b/>
          <w:color w:val="auto"/>
          <w:sz w:val="32"/>
          <w:szCs w:val="32"/>
          <w:highlight w:val="none"/>
        </w:rPr>
      </w:pPr>
      <w:r>
        <w:rPr>
          <w:b/>
          <w:color w:val="auto"/>
          <w:sz w:val="32"/>
          <w:szCs w:val="32"/>
          <w:highlight w:val="none"/>
        </w:rPr>
        <w:br w:type="page" w:clear="all"/>
      </w:r>
      <w:r/>
    </w:p>
    <w:p>
      <w:pPr>
        <w:pStyle w:val="813"/>
        <w:jc w:val="center"/>
        <w:rPr>
          <w:b/>
          <w:color w:val="auto"/>
          <w:sz w:val="32"/>
          <w:szCs w:val="32"/>
          <w:highlight w:val="none"/>
        </w:rPr>
      </w:pPr>
      <w:r>
        <w:rPr>
          <w:rFonts w:hint="eastAsia"/>
          <w:b/>
          <w:color w:val="auto"/>
          <w:sz w:val="32"/>
          <w:szCs w:val="32"/>
          <w:highlight w:val="none"/>
        </w:rPr>
        <w:t xml:space="preserve">质疑函范本</w:t>
      </w:r>
      <w:r/>
    </w:p>
    <w:p>
      <w:pPr>
        <w:pStyle w:val="813"/>
        <w:jc w:val="both"/>
        <w:spacing w:before="290" w:beforeAutospacing="0" w:line="360" w:lineRule="auto"/>
        <w:rPr>
          <w:color w:val="auto"/>
          <w:highlight w:val="none"/>
        </w:rPr>
      </w:pPr>
      <w:r>
        <w:rPr>
          <w:rFonts w:hint="eastAsia"/>
          <w:color w:val="auto"/>
          <w:highlight w:val="none"/>
        </w:rPr>
        <w:t xml:space="preserve">一、质疑供应商基本信息</w:t>
      </w:r>
      <w:r/>
    </w:p>
    <w:p>
      <w:pPr>
        <w:pStyle w:val="813"/>
        <w:jc w:val="both"/>
        <w:spacing w:line="360" w:lineRule="auto"/>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13"/>
        <w:jc w:val="both"/>
        <w:spacing w:line="360" w:lineRule="auto"/>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13"/>
        <w:jc w:val="both"/>
        <w:spacing w:line="360" w:lineRule="auto"/>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13"/>
        <w:jc w:val="both"/>
        <w:spacing w:line="360" w:lineRule="auto"/>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二、质疑项目基本情况</w:t>
      </w:r>
      <w:r/>
    </w:p>
    <w:p>
      <w:pPr>
        <w:pStyle w:val="813"/>
        <w:jc w:val="both"/>
        <w:spacing w:line="360" w:lineRule="auto"/>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13"/>
        <w:jc w:val="both"/>
        <w:spacing w:line="360" w:lineRule="auto"/>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三、质疑事项具体内容</w:t>
      </w:r>
      <w:r/>
    </w:p>
    <w:p>
      <w:pPr>
        <w:pStyle w:val="813"/>
        <w:jc w:val="both"/>
        <w:spacing w:line="360" w:lineRule="auto"/>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13"/>
        <w:spacing w:line="360" w:lineRule="auto"/>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13"/>
        <w:jc w:val="both"/>
        <w:spacing w:line="360" w:lineRule="auto"/>
        <w:rPr>
          <w:color w:val="auto"/>
          <w:highlight w:val="none"/>
        </w:rPr>
      </w:pPr>
      <w:r>
        <w:rPr>
          <w:rFonts w:hint="eastAsia"/>
          <w:color w:val="auto"/>
          <w:highlight w:val="none"/>
        </w:rPr>
        <w:t xml:space="preserve">质疑事项2</w:t>
      </w:r>
      <w:r/>
    </w:p>
    <w:p>
      <w:pPr>
        <w:pStyle w:val="813"/>
        <w:jc w:val="both"/>
        <w:spacing w:line="360" w:lineRule="auto"/>
        <w:rPr>
          <w:color w:val="auto"/>
          <w:highlight w:val="none"/>
        </w:rPr>
      </w:pPr>
      <w:r>
        <w:rPr>
          <w:rFonts w:hint="eastAsia"/>
          <w:color w:val="auto"/>
          <w:highlight w:val="none"/>
        </w:rPr>
        <w:t xml:space="preserve">……</w:t>
      </w:r>
      <w:r/>
    </w:p>
    <w:p>
      <w:pPr>
        <w:pStyle w:val="813"/>
        <w:jc w:val="both"/>
        <w:spacing w:line="360" w:lineRule="auto"/>
        <w:rPr>
          <w:color w:val="auto"/>
          <w:highlight w:val="none"/>
        </w:rPr>
      </w:pPr>
      <w:r>
        <w:rPr>
          <w:rFonts w:hint="eastAsia"/>
          <w:color w:val="auto"/>
          <w:highlight w:val="none"/>
        </w:rPr>
        <w:t xml:space="preserve">四、与质疑事项相关的质疑请求</w:t>
      </w:r>
      <w:r/>
    </w:p>
    <w:p>
      <w:pPr>
        <w:pStyle w:val="813"/>
        <w:jc w:val="both"/>
        <w:spacing w:line="360" w:lineRule="auto"/>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13"/>
        <w:jc w:val="both"/>
        <w:rPr>
          <w:color w:val="auto"/>
          <w:highlight w:val="none"/>
        </w:rPr>
      </w:pPr>
      <w:r>
        <w:rPr>
          <w:rFonts w:hint="eastAsia"/>
          <w:color w:val="auto"/>
          <w:highlight w:val="none"/>
        </w:rPr>
        <w:t xml:space="preserve">签字(签章)：                 公章：               日期：    </w:t>
      </w:r>
      <w:r/>
    </w:p>
    <w:p>
      <w:pPr>
        <w:pStyle w:val="813"/>
        <w:jc w:val="both"/>
        <w:spacing w:line="0" w:lineRule="atLeast"/>
        <w:rPr>
          <w:color w:val="auto"/>
          <w:highlight w:val="none"/>
        </w:rPr>
      </w:pPr>
      <w:r>
        <w:rPr>
          <w:rFonts w:hint="eastAsia"/>
          <w:b/>
          <w:color w:val="auto"/>
          <w:highlight w:val="none"/>
        </w:rPr>
        <w:t xml:space="preserve">质疑函制作说明：</w:t>
      </w:r>
      <w:r/>
    </w:p>
    <w:p>
      <w:pPr>
        <w:pStyle w:val="813"/>
        <w:ind w:firstLine="480"/>
        <w:spacing w:line="0" w:lineRule="atLeast"/>
        <w:rPr>
          <w:color w:val="auto"/>
          <w:highlight w:val="none"/>
        </w:rPr>
      </w:pPr>
      <w:r>
        <w:rPr>
          <w:rFonts w:hint="eastAsia"/>
          <w:color w:val="auto"/>
          <w:highlight w:val="none"/>
        </w:rPr>
        <w:t xml:space="preserve">1.供应商提出质疑时，应提交质疑函和必要的证明材料。</w:t>
      </w:r>
      <w:r/>
    </w:p>
    <w:p>
      <w:pPr>
        <w:pStyle w:val="813"/>
        <w:ind w:firstLine="480"/>
        <w:spacing w:line="0" w:lineRule="atLeas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3"/>
        <w:ind w:firstLine="480"/>
        <w:spacing w:line="0" w:lineRule="atLeast"/>
        <w:rPr>
          <w:color w:val="auto"/>
          <w:highlight w:val="none"/>
        </w:rPr>
      </w:pPr>
      <w:r>
        <w:rPr>
          <w:rFonts w:hint="eastAsia"/>
          <w:color w:val="auto"/>
          <w:highlight w:val="none"/>
        </w:rPr>
        <w:t xml:space="preserve">3.质疑供应商若对项目的某一分包进行质疑，质疑函中应列明具体分包号。</w:t>
      </w:r>
      <w:r/>
    </w:p>
    <w:p>
      <w:pPr>
        <w:pStyle w:val="813"/>
        <w:ind w:firstLine="480"/>
        <w:spacing w:line="0" w:lineRule="atLeast"/>
        <w:rPr>
          <w:color w:val="auto"/>
          <w:highlight w:val="none"/>
        </w:rPr>
      </w:pPr>
      <w:r>
        <w:rPr>
          <w:rFonts w:hint="eastAsia"/>
          <w:color w:val="auto"/>
          <w:highlight w:val="none"/>
        </w:rPr>
        <w:t xml:space="preserve">4.质疑函的质疑事项应具体、明确，并有必要的事实依据和法律依据。</w:t>
      </w:r>
      <w:r/>
    </w:p>
    <w:p>
      <w:pPr>
        <w:pStyle w:val="813"/>
        <w:ind w:firstLine="480"/>
        <w:spacing w:line="0" w:lineRule="atLeast"/>
        <w:rPr>
          <w:color w:val="auto"/>
          <w:highlight w:val="none"/>
        </w:rPr>
      </w:pPr>
      <w:r>
        <w:rPr>
          <w:rFonts w:hint="eastAsia"/>
          <w:color w:val="auto"/>
          <w:highlight w:val="none"/>
        </w:rPr>
        <w:t xml:space="preserve">5.质疑函的质疑请求应与质疑事项相关。</w:t>
      </w:r>
      <w:r/>
    </w:p>
    <w:p>
      <w:pPr>
        <w:pStyle w:val="813"/>
        <w:ind w:firstLine="480"/>
        <w:spacing w:line="0" w:lineRule="atLeast"/>
        <w:rPr>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ascii="宋体" w:hAnsi="宋体" w:cs="宋体"/>
          <w:color w:val="auto"/>
          <w:sz w:val="24"/>
          <w:highlight w:val="none"/>
        </w:rPr>
      </w:pPr>
      <w:r>
        <w:rPr>
          <w:rFonts w:ascii="宋体" w:hAnsi="宋体" w:cs="宋体"/>
          <w:color w:val="auto"/>
          <w:sz w:val="24"/>
          <w:highlight w:val="none"/>
        </w:rPr>
      </w:r>
      <w:r/>
    </w:p>
    <w:p>
      <w:pPr>
        <w:jc w:val="center"/>
        <w:rPr>
          <w:color w:val="auto"/>
          <w:highlight w:val="none"/>
        </w:rPr>
      </w:pPr>
      <w:r>
        <w:rPr>
          <w:color w:val="auto"/>
          <w:highlight w:val="none"/>
        </w:rPr>
      </w:r>
      <w:r/>
    </w:p>
    <w:sectPr>
      <w:footerReference w:type="first" r:id="rId12"/>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新宋体">
    <w:panose1 w:val="02010609030101010101"/>
  </w:font>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ÐÂËÎÌå">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MingLiU_HKSCS">
    <w:panose1 w:val="02020500000000000000"/>
  </w:font>
  <w:font w:name="方正姚体">
    <w:panose1 w:val="02010601030101010101"/>
  </w:font>
  <w:font w:name="仿宋_GB2312">
    <w:panose1 w:val="02010609060101010101"/>
  </w:font>
  <w:font w:name="幼圆">
    <w:panose1 w:val="02010509060101010101"/>
  </w:font>
  <w:font w:name="黑体">
    <w:panose1 w:val="02010609060101010101"/>
  </w:font>
  <w:font w:name="MS PGothic">
    <w:panose1 w:val="020B0600070205080204"/>
  </w:font>
  <w:font w:name="Microsoft YaHei UI">
    <w:panose1 w:val="020B0503020204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
  </w:p>
  <w:p>
    <w:pPr>
      <w:pStyle w:val="7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10"/>
      <w:isLgl w:val="false"/>
      <w:suff w:val="tab"/>
      <w:lvlText w:val="第%1章"/>
      <w:lvlJc w:val="left"/>
      <w:pPr>
        <w:ind w:left="9351" w:hanging="420"/>
      </w:pPr>
      <w:rPr>
        <w:rFonts w:hint="eastAsia" w:ascii="黑体" w:eastAsia="黑体"/>
        <w:b w:val="0"/>
        <w:sz w:val="36"/>
        <w:lang w:val="en-US"/>
      </w:rPr>
    </w:lvl>
    <w:lvl w:ilvl="1">
      <w:start w:val="1"/>
      <w:numFmt w:val="decimal"/>
      <w:pStyle w:val="1111"/>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12"/>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25"/>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2"/>
  </w:num>
  <w:num w:numId="2">
    <w:abstractNumId w:val="1"/>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name w:val="Heading 1"/>
    <w:basedOn w:val="763"/>
    <w:next w:val="763"/>
    <w:link w:val="852"/>
    <w:uiPriority w:val="0"/>
    <w:qFormat/>
    <w:pPr>
      <w:keepNext/>
      <w:outlineLvl w:val="0"/>
    </w:pPr>
    <w:rPr>
      <w:rFonts w:ascii="楷体_GB2312" w:eastAsia="楷体_GB2312"/>
      <w:sz w:val="28"/>
      <w:szCs w:val="20"/>
    </w:rPr>
  </w:style>
  <w:style w:type="paragraph" w:styleId="765">
    <w:name w:val="Heading 2"/>
    <w:basedOn w:val="763"/>
    <w:next w:val="776"/>
    <w:link w:val="853"/>
    <w:uiPriority w:val="0"/>
    <w:qFormat/>
    <w:pPr>
      <w:jc w:val="center"/>
      <w:keepLines/>
      <w:keepNext/>
      <w:spacing w:before="260" w:after="260" w:line="416" w:lineRule="auto"/>
      <w:outlineLvl w:val="1"/>
    </w:pPr>
    <w:rPr>
      <w:rFonts w:ascii="Arial" w:hAnsi="Arial" w:eastAsia="幼圆"/>
      <w:b/>
      <w:sz w:val="44"/>
      <w:szCs w:val="20"/>
    </w:rPr>
  </w:style>
  <w:style w:type="paragraph" w:styleId="766">
    <w:name w:val="Heading 3"/>
    <w:basedOn w:val="763"/>
    <w:next w:val="763"/>
    <w:link w:val="854"/>
    <w:uiPriority w:val="0"/>
    <w:qFormat/>
    <w:pPr>
      <w:keepLines/>
      <w:keepNext/>
      <w:spacing w:before="260" w:after="260" w:line="416" w:lineRule="auto"/>
      <w:outlineLvl w:val="2"/>
    </w:pPr>
    <w:rPr>
      <w:b/>
      <w:sz w:val="32"/>
      <w:szCs w:val="20"/>
    </w:rPr>
  </w:style>
  <w:style w:type="paragraph" w:styleId="767">
    <w:name w:val="Heading 4"/>
    <w:basedOn w:val="768"/>
    <w:next w:val="763"/>
    <w:link w:val="855"/>
    <w:uiPriority w:val="0"/>
    <w:qFormat/>
    <w:pPr>
      <w:keepLines/>
      <w:spacing w:before="280" w:after="290" w:line="376" w:lineRule="auto"/>
      <w:outlineLvl w:val="3"/>
    </w:pPr>
    <w:rPr>
      <w:rFonts w:ascii="Arial" w:hAnsi="Arial" w:eastAsia="黑体"/>
      <w:b w:val="0"/>
      <w:bCs w:val="0"/>
      <w:sz w:val="28"/>
      <w:szCs w:val="28"/>
    </w:rPr>
  </w:style>
  <w:style w:type="paragraph" w:styleId="768">
    <w:name w:val="Heading 5"/>
    <w:basedOn w:val="763"/>
    <w:next w:val="763"/>
    <w:link w:val="856"/>
    <w:uiPriority w:val="0"/>
    <w:qFormat/>
    <w:pPr>
      <w:keepNext/>
      <w:outlineLvl w:val="4"/>
    </w:pPr>
    <w:rPr>
      <w:rFonts w:ascii="宋体" w:hAnsi="宋体"/>
      <w:b/>
      <w:bCs/>
    </w:rPr>
  </w:style>
  <w:style w:type="paragraph" w:styleId="769">
    <w:name w:val="Heading 6"/>
    <w:basedOn w:val="763"/>
    <w:next w:val="763"/>
    <w:link w:val="857"/>
    <w:uiPriority w:val="0"/>
    <w:qFormat/>
    <w:pPr>
      <w:keepLines/>
      <w:keepNext/>
      <w:spacing w:before="240" w:after="64" w:line="317" w:lineRule="auto"/>
      <w:outlineLvl w:val="5"/>
    </w:pPr>
    <w:rPr>
      <w:rFonts w:ascii="Cambria" w:hAnsi="Cambria"/>
      <w:b/>
      <w:bCs/>
      <w:sz w:val="24"/>
    </w:rPr>
  </w:style>
  <w:style w:type="paragraph" w:styleId="770">
    <w:name w:val="Heading 7"/>
    <w:basedOn w:val="763"/>
    <w:next w:val="763"/>
    <w:link w:val="858"/>
    <w:uiPriority w:val="0"/>
    <w:qFormat/>
    <w:pPr>
      <w:keepLines/>
      <w:keepNext/>
      <w:spacing w:before="240" w:after="64" w:line="320" w:lineRule="auto"/>
      <w:outlineLvl w:val="6"/>
    </w:pPr>
    <w:rPr>
      <w:b/>
      <w:bCs/>
      <w:sz w:val="24"/>
    </w:rPr>
  </w:style>
  <w:style w:type="paragraph" w:styleId="771">
    <w:name w:val="Heading 8"/>
    <w:basedOn w:val="763"/>
    <w:next w:val="763"/>
    <w:link w:val="859"/>
    <w:uiPriority w:val="0"/>
    <w:qFormat/>
    <w:pPr>
      <w:keepLines/>
      <w:keepNext/>
      <w:spacing w:before="240" w:after="64" w:line="317" w:lineRule="auto"/>
      <w:outlineLvl w:val="7"/>
    </w:pPr>
    <w:rPr>
      <w:rFonts w:ascii="Cambria" w:hAnsi="Cambria"/>
      <w:sz w:val="24"/>
    </w:rPr>
  </w:style>
  <w:style w:type="paragraph" w:styleId="772">
    <w:name w:val="Heading 9"/>
    <w:basedOn w:val="763"/>
    <w:next w:val="763"/>
    <w:link w:val="860"/>
    <w:uiPriority w:val="0"/>
    <w:qFormat/>
    <w:pPr>
      <w:keepLines/>
      <w:keepNext/>
      <w:spacing w:before="240" w:after="64" w:line="317" w:lineRule="auto"/>
      <w:outlineLvl w:val="8"/>
    </w:pPr>
    <w:rPr>
      <w:rFonts w:ascii="Cambria" w:hAnsi="Cambria"/>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76">
    <w:name w:val="Normal Indent"/>
    <w:basedOn w:val="763"/>
    <w:link w:val="1027"/>
    <w:uiPriority w:val="0"/>
    <w:qFormat/>
    <w:pPr>
      <w:ind w:firstLine="420"/>
    </w:pPr>
    <w:rPr>
      <w:szCs w:val="20"/>
    </w:rPr>
  </w:style>
  <w:style w:type="paragraph" w:styleId="777">
    <w:name w:val="toc 7"/>
    <w:basedOn w:val="763"/>
    <w:next w:val="763"/>
    <w:uiPriority w:val="39"/>
    <w:unhideWhenUsed/>
    <w:qFormat/>
    <w:pPr>
      <w:ind w:left="1701"/>
      <w:spacing w:after="57"/>
    </w:pPr>
  </w:style>
  <w:style w:type="paragraph" w:styleId="778">
    <w:name w:val="Note Heading"/>
    <w:basedOn w:val="763"/>
    <w:next w:val="763"/>
    <w:link w:val="861"/>
    <w:uiPriority w:val="0"/>
    <w:qFormat/>
    <w:pPr>
      <w:jc w:val="center"/>
    </w:pPr>
    <w:rPr>
      <w:sz w:val="24"/>
      <w:szCs w:val="20"/>
    </w:rPr>
  </w:style>
  <w:style w:type="paragraph" w:styleId="779">
    <w:name w:val="Caption"/>
    <w:basedOn w:val="763"/>
    <w:next w:val="763"/>
    <w:uiPriority w:val="0"/>
    <w:qFormat/>
    <w:rPr>
      <w:rFonts w:ascii="Cambria" w:hAnsi="Cambria" w:eastAsia="黑体"/>
      <w:sz w:val="20"/>
      <w:szCs w:val="20"/>
    </w:rPr>
  </w:style>
  <w:style w:type="paragraph" w:styleId="780">
    <w:name w:val="Document Map"/>
    <w:basedOn w:val="763"/>
    <w:link w:val="862"/>
    <w:uiPriority w:val="99"/>
    <w:qFormat/>
    <w:pPr>
      <w:shd w:val="clear" w:color="auto" w:fill="000080"/>
    </w:pPr>
  </w:style>
  <w:style w:type="paragraph" w:styleId="781">
    <w:name w:val="annotation text"/>
    <w:basedOn w:val="763"/>
    <w:link w:val="863"/>
    <w:uiPriority w:val="0"/>
    <w:qFormat/>
    <w:pPr>
      <w:jc w:val="left"/>
    </w:pPr>
  </w:style>
  <w:style w:type="paragraph" w:styleId="782">
    <w:name w:val="Body Text 3"/>
    <w:basedOn w:val="763"/>
    <w:link w:val="864"/>
    <w:uiPriority w:val="0"/>
    <w:qFormat/>
    <w:rPr>
      <w:rFonts w:ascii="仿宋_GB2312" w:hAnsi="Arial" w:eastAsia="仿宋_GB2312"/>
      <w:sz w:val="32"/>
      <w:szCs w:val="20"/>
    </w:rPr>
  </w:style>
  <w:style w:type="paragraph" w:styleId="783">
    <w:name w:val="Body Text"/>
    <w:basedOn w:val="763"/>
    <w:next w:val="784"/>
    <w:link w:val="865"/>
    <w:uiPriority w:val="0"/>
    <w:qFormat/>
    <w:rPr>
      <w:rFonts w:ascii="楷体_GB2312" w:hAnsi="Arial" w:eastAsia="楷体_GB2312"/>
      <w:sz w:val="28"/>
      <w:szCs w:val="20"/>
    </w:rPr>
  </w:style>
  <w:style w:type="paragraph" w:styleId="784" w:customStyle="1">
    <w:name w:val="一级条标题"/>
    <w:basedOn w:val="785"/>
    <w:next w:val="786"/>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5" w:customStyle="1">
    <w:name w:val="章标题"/>
    <w:next w:val="763"/>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6" w:customStyle="1">
    <w:name w:val="段"/>
    <w:next w:val="763"/>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87">
    <w:name w:val="Body Text Indent"/>
    <w:basedOn w:val="763"/>
    <w:link w:val="848"/>
    <w:uiPriority w:val="0"/>
    <w:unhideWhenUsed/>
    <w:qFormat/>
    <w:pPr>
      <w:ind w:left="420"/>
      <w:spacing w:after="120"/>
    </w:pPr>
  </w:style>
  <w:style w:type="paragraph" w:styleId="788">
    <w:name w:val="Block Text"/>
    <w:basedOn w:val="763"/>
    <w:uiPriority w:val="99"/>
    <w:qFormat/>
    <w:pPr>
      <w:ind w:left="1440" w:right="1440"/>
      <w:spacing w:after="120"/>
      <w:tabs>
        <w:tab w:val="left" w:pos="9000" w:leader="none"/>
      </w:tabs>
    </w:pPr>
  </w:style>
  <w:style w:type="paragraph" w:styleId="789">
    <w:name w:val="index 4"/>
    <w:basedOn w:val="763"/>
    <w:next w:val="763"/>
    <w:uiPriority w:val="0"/>
    <w:qFormat/>
    <w:pPr>
      <w:ind w:left="600"/>
    </w:pPr>
  </w:style>
  <w:style w:type="paragraph" w:styleId="790">
    <w:name w:val="toc 5"/>
    <w:basedOn w:val="763"/>
    <w:next w:val="763"/>
    <w:uiPriority w:val="39"/>
    <w:unhideWhenUsed/>
    <w:qFormat/>
    <w:pPr>
      <w:ind w:left="1134"/>
      <w:spacing w:after="57"/>
    </w:pPr>
  </w:style>
  <w:style w:type="paragraph" w:styleId="791">
    <w:name w:val="toc 3"/>
    <w:basedOn w:val="763"/>
    <w:next w:val="763"/>
    <w:uiPriority w:val="39"/>
    <w:unhideWhenUsed/>
    <w:qFormat/>
    <w:pPr>
      <w:ind w:left="567"/>
      <w:spacing w:after="57"/>
    </w:pPr>
  </w:style>
  <w:style w:type="paragraph" w:styleId="792">
    <w:name w:val="Plain Text"/>
    <w:basedOn w:val="763"/>
    <w:link w:val="866"/>
    <w:uiPriority w:val="0"/>
    <w:qFormat/>
    <w:rPr>
      <w:rFonts w:ascii="宋体" w:hAnsi="Courier New"/>
      <w:sz w:val="28"/>
    </w:rPr>
  </w:style>
  <w:style w:type="paragraph" w:styleId="793">
    <w:name w:val="toc 8"/>
    <w:basedOn w:val="763"/>
    <w:next w:val="763"/>
    <w:uiPriority w:val="39"/>
    <w:unhideWhenUsed/>
    <w:qFormat/>
    <w:pPr>
      <w:ind w:left="1984"/>
      <w:spacing w:after="57"/>
    </w:pPr>
  </w:style>
  <w:style w:type="paragraph" w:styleId="794">
    <w:name w:val="Date"/>
    <w:basedOn w:val="763"/>
    <w:next w:val="763"/>
    <w:link w:val="867"/>
    <w:uiPriority w:val="0"/>
    <w:qFormat/>
    <w:rPr>
      <w:sz w:val="24"/>
      <w:szCs w:val="20"/>
    </w:rPr>
  </w:style>
  <w:style w:type="paragraph" w:styleId="795">
    <w:name w:val="Body Text Indent 2"/>
    <w:basedOn w:val="763"/>
    <w:link w:val="868"/>
    <w:uiPriority w:val="0"/>
    <w:qFormat/>
    <w:pPr>
      <w:ind w:firstLine="560"/>
    </w:pPr>
    <w:rPr>
      <w:rFonts w:ascii="宋体" w:hAnsi="宋体"/>
      <w:sz w:val="28"/>
    </w:rPr>
  </w:style>
  <w:style w:type="paragraph" w:styleId="796">
    <w:name w:val="endnote text"/>
    <w:basedOn w:val="763"/>
    <w:link w:val="869"/>
    <w:uiPriority w:val="99"/>
    <w:semiHidden/>
    <w:unhideWhenUsed/>
    <w:qFormat/>
    <w:rPr>
      <w:sz w:val="20"/>
    </w:rPr>
  </w:style>
  <w:style w:type="paragraph" w:styleId="797">
    <w:name w:val="Balloon Text"/>
    <w:basedOn w:val="763"/>
    <w:link w:val="870"/>
    <w:uiPriority w:val="99"/>
    <w:qFormat/>
    <w:rPr>
      <w:sz w:val="18"/>
      <w:szCs w:val="18"/>
    </w:rPr>
  </w:style>
  <w:style w:type="paragraph" w:styleId="798">
    <w:name w:val="Footer"/>
    <w:basedOn w:val="763"/>
    <w:link w:val="851"/>
    <w:uiPriority w:val="99"/>
    <w:unhideWhenUsed/>
    <w:qFormat/>
    <w:pPr>
      <w:jc w:val="left"/>
      <w:tabs>
        <w:tab w:val="center" w:pos="4153" w:leader="none"/>
        <w:tab w:val="right" w:pos="8306" w:leader="none"/>
      </w:tabs>
    </w:pPr>
    <w:rPr>
      <w:sz w:val="18"/>
      <w:szCs w:val="18"/>
    </w:rPr>
  </w:style>
  <w:style w:type="paragraph" w:styleId="799">
    <w:name w:val="envelope return"/>
    <w:basedOn w:val="763"/>
    <w:uiPriority w:val="0"/>
    <w:unhideWhenUsed/>
    <w:qFormat/>
    <w:rPr>
      <w:rFonts w:ascii="Arial" w:hAnsi="Arial"/>
    </w:rPr>
  </w:style>
  <w:style w:type="paragraph" w:styleId="800">
    <w:name w:val="Header"/>
    <w:basedOn w:val="763"/>
    <w:link w:val="850"/>
    <w:uiPriority w:val="99"/>
    <w:unhideWhenUsed/>
    <w:qFormat/>
    <w:pPr>
      <w:jc w:val="center"/>
      <w:tabs>
        <w:tab w:val="center" w:pos="4153" w:leader="none"/>
        <w:tab w:val="right" w:pos="8306" w:leader="none"/>
      </w:tabs>
    </w:pPr>
    <w:rPr>
      <w:sz w:val="18"/>
      <w:szCs w:val="18"/>
    </w:rPr>
  </w:style>
  <w:style w:type="paragraph" w:styleId="801">
    <w:name w:val="toc 1"/>
    <w:basedOn w:val="763"/>
    <w:next w:val="763"/>
    <w:uiPriority w:val="39"/>
    <w:unhideWhenUsed/>
    <w:qFormat/>
    <w:pPr>
      <w:spacing w:after="57"/>
    </w:pPr>
  </w:style>
  <w:style w:type="paragraph" w:styleId="802">
    <w:name w:val="toc 4"/>
    <w:basedOn w:val="763"/>
    <w:next w:val="763"/>
    <w:uiPriority w:val="39"/>
    <w:unhideWhenUsed/>
    <w:qFormat/>
    <w:pPr>
      <w:ind w:left="850"/>
      <w:spacing w:after="57"/>
    </w:pPr>
  </w:style>
  <w:style w:type="paragraph" w:styleId="803">
    <w:name w:val="Subtitle"/>
    <w:basedOn w:val="763"/>
    <w:next w:val="763"/>
    <w:link w:val="871"/>
    <w:uiPriority w:val="0"/>
    <w:qFormat/>
    <w:pPr>
      <w:jc w:val="center"/>
      <w:spacing w:before="240" w:after="60" w:line="312" w:lineRule="auto"/>
      <w:outlineLvl w:val="1"/>
    </w:pPr>
    <w:rPr>
      <w:rFonts w:ascii="Cambria" w:hAnsi="Cambria"/>
      <w:b/>
      <w:bCs/>
      <w:sz w:val="32"/>
      <w:szCs w:val="32"/>
    </w:rPr>
  </w:style>
  <w:style w:type="paragraph" w:styleId="804">
    <w:name w:val="footnote text"/>
    <w:basedOn w:val="763"/>
    <w:next w:val="805"/>
    <w:link w:val="872"/>
    <w:uiPriority w:val="0"/>
    <w:qFormat/>
    <w:pPr>
      <w:jc w:val="left"/>
    </w:pPr>
    <w:rPr>
      <w:sz w:val="18"/>
      <w:szCs w:val="18"/>
    </w:rPr>
  </w:style>
  <w:style w:type="paragraph" w:styleId="805" w:customStyle="1">
    <w:name w:val="index 51"/>
    <w:basedOn w:val="763"/>
    <w:next w:val="763"/>
    <w:uiPriority w:val="0"/>
    <w:qFormat/>
    <w:pPr>
      <w:ind w:left="798"/>
      <w:jc w:val="left"/>
    </w:pPr>
    <w:rPr>
      <w:rFonts w:ascii="Calibri" w:hAnsi="Calibri"/>
    </w:rPr>
  </w:style>
  <w:style w:type="paragraph" w:styleId="806">
    <w:name w:val="toc 6"/>
    <w:basedOn w:val="763"/>
    <w:next w:val="763"/>
    <w:uiPriority w:val="39"/>
    <w:unhideWhenUsed/>
    <w:qFormat/>
    <w:pPr>
      <w:ind w:left="1417"/>
      <w:spacing w:after="57"/>
    </w:pPr>
  </w:style>
  <w:style w:type="paragraph" w:styleId="807">
    <w:name w:val="Body Text Indent 3"/>
    <w:basedOn w:val="763"/>
    <w:link w:val="873"/>
    <w:uiPriority w:val="0"/>
    <w:qFormat/>
    <w:pPr>
      <w:ind w:firstLine="523"/>
    </w:pPr>
    <w:rPr>
      <w:rFonts w:ascii="仿宋_GB2312" w:hAnsi="宋体" w:eastAsia="仿宋_GB2312"/>
      <w:sz w:val="24"/>
    </w:rPr>
  </w:style>
  <w:style w:type="paragraph" w:styleId="808">
    <w:name w:val="table of figures"/>
    <w:basedOn w:val="763"/>
    <w:next w:val="763"/>
    <w:uiPriority w:val="99"/>
    <w:unhideWhenUsed/>
    <w:qFormat/>
  </w:style>
  <w:style w:type="paragraph" w:styleId="809">
    <w:name w:val="toc 2"/>
    <w:basedOn w:val="763"/>
    <w:next w:val="763"/>
    <w:uiPriority w:val="39"/>
    <w:unhideWhenUsed/>
    <w:qFormat/>
    <w:pPr>
      <w:ind w:left="283"/>
      <w:spacing w:after="57"/>
    </w:pPr>
  </w:style>
  <w:style w:type="paragraph" w:styleId="810">
    <w:name w:val="toc 9"/>
    <w:basedOn w:val="763"/>
    <w:next w:val="763"/>
    <w:uiPriority w:val="39"/>
    <w:unhideWhenUsed/>
    <w:qFormat/>
    <w:pPr>
      <w:ind w:left="2268"/>
      <w:spacing w:after="57"/>
    </w:pPr>
  </w:style>
  <w:style w:type="paragraph" w:styleId="811">
    <w:name w:val="Body Text 2"/>
    <w:basedOn w:val="763"/>
    <w:link w:val="874"/>
    <w:uiPriority w:val="0"/>
    <w:qFormat/>
    <w:pPr>
      <w:jc w:val="center"/>
    </w:pPr>
    <w:rPr>
      <w:rFonts w:ascii="仿宋_GB2312" w:eastAsia="仿宋_GB2312"/>
      <w:sz w:val="44"/>
    </w:rPr>
  </w:style>
  <w:style w:type="paragraph" w:styleId="812">
    <w:name w:val="HTML Preformatted"/>
    <w:basedOn w:val="763"/>
    <w:link w:val="8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3">
    <w:name w:val="Normal (Web)"/>
    <w:basedOn w:val="763"/>
    <w:uiPriority w:val="0"/>
    <w:unhideWhenUsed/>
    <w:qFormat/>
    <w:pPr>
      <w:jc w:val="left"/>
      <w:spacing w:before="100" w:beforeAutospacing="1" w:after="100" w:afterAutospacing="1"/>
      <w:widowControl/>
    </w:pPr>
    <w:rPr>
      <w:rFonts w:ascii="宋体" w:hAnsi="宋体" w:cs="宋体"/>
      <w:sz w:val="24"/>
    </w:rPr>
  </w:style>
  <w:style w:type="paragraph" w:styleId="814">
    <w:name w:val="index 1"/>
    <w:basedOn w:val="763"/>
    <w:next w:val="763"/>
    <w:uiPriority w:val="0"/>
    <w:semiHidden/>
    <w:qFormat/>
    <w:rPr>
      <w:rFonts w:ascii="宋体" w:hAnsi="宋体"/>
      <w:szCs w:val="18"/>
    </w:rPr>
  </w:style>
  <w:style w:type="paragraph" w:styleId="815">
    <w:name w:val="Title"/>
    <w:basedOn w:val="763"/>
    <w:next w:val="763"/>
    <w:link w:val="876"/>
    <w:uiPriority w:val="0"/>
    <w:qFormat/>
    <w:pPr>
      <w:jc w:val="center"/>
      <w:spacing w:before="240" w:after="60"/>
      <w:outlineLvl w:val="0"/>
    </w:pPr>
    <w:rPr>
      <w:rFonts w:ascii="Cambria" w:hAnsi="Cambria"/>
      <w:b/>
      <w:bCs/>
      <w:sz w:val="32"/>
      <w:szCs w:val="32"/>
    </w:rPr>
  </w:style>
  <w:style w:type="paragraph" w:styleId="816">
    <w:name w:val="annotation subject"/>
    <w:basedOn w:val="781"/>
    <w:next w:val="781"/>
    <w:link w:val="877"/>
    <w:uiPriority w:val="0"/>
    <w:qFormat/>
    <w:rPr>
      <w:b/>
      <w:bCs/>
    </w:rPr>
  </w:style>
  <w:style w:type="paragraph" w:styleId="817">
    <w:name w:val="Body Text First Indent 2"/>
    <w:basedOn w:val="787"/>
    <w:link w:val="849"/>
    <w:uiPriority w:val="99"/>
    <w:semiHidden/>
    <w:unhideWhenUsed/>
    <w:qFormat/>
    <w:pPr>
      <w:ind w:firstLine="420"/>
    </w:pPr>
  </w:style>
  <w:style w:type="table" w:styleId="818">
    <w:name w:val="Table Grid"/>
    <w:basedOn w:val="7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uiPriority w:val="22"/>
    <w:qFormat/>
    <w:rPr>
      <w:b/>
      <w:bCs/>
    </w:rPr>
  </w:style>
  <w:style w:type="character" w:styleId="820">
    <w:name w:val="endnote reference"/>
    <w:uiPriority w:val="99"/>
    <w:semiHidden/>
    <w:unhideWhenUsed/>
    <w:qFormat/>
    <w:rPr>
      <w:vertAlign w:val="superscript"/>
    </w:rPr>
  </w:style>
  <w:style w:type="character" w:styleId="821">
    <w:name w:val="page number"/>
    <w:uiPriority w:val="0"/>
    <w:qFormat/>
  </w:style>
  <w:style w:type="character" w:styleId="822">
    <w:name w:val="FollowedHyperlink"/>
    <w:uiPriority w:val="0"/>
    <w:qFormat/>
    <w:rPr>
      <w:color w:val="800080"/>
      <w:u w:val="single"/>
    </w:rPr>
  </w:style>
  <w:style w:type="character" w:styleId="823">
    <w:name w:val="Emphasis"/>
    <w:uiPriority w:val="0"/>
    <w:qFormat/>
    <w:rPr>
      <w:i/>
      <w:iCs/>
    </w:rPr>
  </w:style>
  <w:style w:type="character" w:styleId="824">
    <w:name w:val="Hyperlink"/>
    <w:uiPriority w:val="99"/>
    <w:qFormat/>
    <w:rPr>
      <w:color w:val="0000ff"/>
      <w:u w:val="single"/>
    </w:rPr>
  </w:style>
  <w:style w:type="character" w:styleId="825">
    <w:name w:val="annotation reference"/>
    <w:uiPriority w:val="0"/>
    <w:qFormat/>
    <w:rPr>
      <w:sz w:val="21"/>
      <w:szCs w:val="21"/>
    </w:rPr>
  </w:style>
  <w:style w:type="character" w:styleId="826">
    <w:name w:val="footnote reference"/>
    <w:uiPriority w:val="99"/>
    <w:unhideWhenUsed/>
    <w:qFormat/>
    <w:rPr>
      <w:vertAlign w:val="superscript"/>
    </w:rPr>
  </w:style>
  <w:style w:type="table" w:styleId="827" w:customStyle="1">
    <w:name w:val="Plain Table 1"/>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Endnote Text Char"/>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character" w:styleId="848" w:customStyle="1">
    <w:name w:val="正文文本缩进 字符"/>
    <w:basedOn w:val="773"/>
    <w:link w:val="787"/>
    <w:uiPriority w:val="0"/>
    <w:qFormat/>
    <w:rPr>
      <w:rFonts w:ascii="Times New Roman" w:hAnsi="Times New Roman" w:eastAsia="宋体" w:cs="Times New Roman"/>
      <w:szCs w:val="24"/>
    </w:rPr>
  </w:style>
  <w:style w:type="character" w:styleId="849" w:customStyle="1">
    <w:name w:val="正文文本首行缩进 2 字符"/>
    <w:basedOn w:val="848"/>
    <w:link w:val="817"/>
    <w:uiPriority w:val="99"/>
    <w:semiHidden/>
    <w:qFormat/>
    <w:rPr>
      <w:rFonts w:ascii="Times New Roman" w:hAnsi="Times New Roman" w:eastAsia="宋体" w:cs="Times New Roman"/>
      <w:szCs w:val="24"/>
    </w:rPr>
  </w:style>
  <w:style w:type="character" w:styleId="850" w:customStyle="1">
    <w:name w:val="页眉 字符"/>
    <w:basedOn w:val="773"/>
    <w:link w:val="800"/>
    <w:uiPriority w:val="99"/>
    <w:qFormat/>
    <w:rPr>
      <w:rFonts w:ascii="Times New Roman" w:hAnsi="Times New Roman" w:eastAsia="宋体" w:cs="Times New Roman"/>
      <w:sz w:val="18"/>
      <w:szCs w:val="18"/>
    </w:rPr>
  </w:style>
  <w:style w:type="character" w:styleId="851" w:customStyle="1">
    <w:name w:val="页脚 字符"/>
    <w:basedOn w:val="773"/>
    <w:link w:val="798"/>
    <w:uiPriority w:val="99"/>
    <w:qFormat/>
    <w:rPr>
      <w:rFonts w:ascii="Times New Roman" w:hAnsi="Times New Roman" w:eastAsia="宋体" w:cs="Times New Roman"/>
      <w:sz w:val="18"/>
      <w:szCs w:val="18"/>
    </w:rPr>
  </w:style>
  <w:style w:type="character" w:styleId="852" w:customStyle="1">
    <w:name w:val="标题 1 字符"/>
    <w:basedOn w:val="773"/>
    <w:link w:val="764"/>
    <w:uiPriority w:val="0"/>
    <w:qFormat/>
    <w:rPr>
      <w:rFonts w:ascii="楷体_GB2312" w:hAnsi="Times New Roman" w:eastAsia="楷体_GB2312" w:cs="Times New Roman"/>
      <w:sz w:val="28"/>
      <w:szCs w:val="20"/>
    </w:rPr>
  </w:style>
  <w:style w:type="character" w:styleId="853" w:customStyle="1">
    <w:name w:val="标题 2 字符"/>
    <w:basedOn w:val="773"/>
    <w:link w:val="765"/>
    <w:uiPriority w:val="0"/>
    <w:qFormat/>
    <w:rPr>
      <w:rFonts w:ascii="Arial" w:hAnsi="Arial" w:eastAsia="幼圆" w:cs="Times New Roman"/>
      <w:b/>
      <w:sz w:val="44"/>
      <w:szCs w:val="20"/>
    </w:rPr>
  </w:style>
  <w:style w:type="character" w:styleId="854" w:customStyle="1">
    <w:name w:val="标题 3 字符"/>
    <w:basedOn w:val="773"/>
    <w:link w:val="766"/>
    <w:uiPriority w:val="0"/>
    <w:qFormat/>
    <w:rPr>
      <w:rFonts w:ascii="Times New Roman" w:hAnsi="Times New Roman" w:eastAsia="宋体" w:cs="Times New Roman"/>
      <w:b/>
      <w:sz w:val="32"/>
      <w:szCs w:val="20"/>
    </w:rPr>
  </w:style>
  <w:style w:type="character" w:styleId="855" w:customStyle="1">
    <w:name w:val="标题 4 字符"/>
    <w:basedOn w:val="773"/>
    <w:link w:val="767"/>
    <w:uiPriority w:val="0"/>
    <w:qFormat/>
    <w:rPr>
      <w:rFonts w:ascii="Arial" w:hAnsi="Arial" w:eastAsia="黑体" w:cs="Times New Roman"/>
      <w:sz w:val="28"/>
      <w:szCs w:val="28"/>
    </w:rPr>
  </w:style>
  <w:style w:type="character" w:styleId="856" w:customStyle="1">
    <w:name w:val="标题 5 字符"/>
    <w:basedOn w:val="773"/>
    <w:link w:val="768"/>
    <w:uiPriority w:val="0"/>
    <w:qFormat/>
    <w:rPr>
      <w:rFonts w:ascii="宋体" w:hAnsi="宋体" w:eastAsia="宋体" w:cs="Times New Roman"/>
      <w:b/>
      <w:bCs/>
      <w:szCs w:val="24"/>
    </w:rPr>
  </w:style>
  <w:style w:type="character" w:styleId="857" w:customStyle="1">
    <w:name w:val="标题 6 字符"/>
    <w:basedOn w:val="773"/>
    <w:link w:val="769"/>
    <w:uiPriority w:val="0"/>
    <w:qFormat/>
    <w:rPr>
      <w:rFonts w:ascii="Cambria" w:hAnsi="Cambria" w:eastAsia="宋体" w:cs="Times New Roman"/>
      <w:b/>
      <w:bCs/>
      <w:sz w:val="24"/>
      <w:szCs w:val="24"/>
    </w:rPr>
  </w:style>
  <w:style w:type="character" w:styleId="858" w:customStyle="1">
    <w:name w:val="标题 7 字符"/>
    <w:basedOn w:val="773"/>
    <w:link w:val="770"/>
    <w:uiPriority w:val="0"/>
    <w:qFormat/>
    <w:rPr>
      <w:rFonts w:ascii="Times New Roman" w:hAnsi="Times New Roman" w:eastAsia="宋体" w:cs="Times New Roman"/>
      <w:b/>
      <w:bCs/>
      <w:sz w:val="24"/>
      <w:szCs w:val="24"/>
    </w:rPr>
  </w:style>
  <w:style w:type="character" w:styleId="859" w:customStyle="1">
    <w:name w:val="标题 8 字符"/>
    <w:basedOn w:val="773"/>
    <w:link w:val="771"/>
    <w:uiPriority w:val="0"/>
    <w:qFormat/>
    <w:rPr>
      <w:rFonts w:ascii="Cambria" w:hAnsi="Cambria" w:eastAsia="宋体" w:cs="Times New Roman"/>
      <w:sz w:val="24"/>
      <w:szCs w:val="24"/>
    </w:rPr>
  </w:style>
  <w:style w:type="character" w:styleId="860" w:customStyle="1">
    <w:name w:val="标题 9 字符"/>
    <w:basedOn w:val="773"/>
    <w:link w:val="772"/>
    <w:uiPriority w:val="0"/>
    <w:qFormat/>
    <w:rPr>
      <w:rFonts w:ascii="Cambria" w:hAnsi="Cambria" w:eastAsia="宋体" w:cs="Times New Roman"/>
      <w:szCs w:val="21"/>
    </w:rPr>
  </w:style>
  <w:style w:type="character" w:styleId="861" w:customStyle="1">
    <w:name w:val="注释标题 字符"/>
    <w:basedOn w:val="773"/>
    <w:link w:val="778"/>
    <w:uiPriority w:val="0"/>
    <w:qFormat/>
    <w:rPr>
      <w:rFonts w:ascii="Times New Roman" w:hAnsi="Times New Roman" w:eastAsia="宋体" w:cs="Times New Roman"/>
      <w:sz w:val="24"/>
      <w:szCs w:val="20"/>
    </w:rPr>
  </w:style>
  <w:style w:type="character" w:styleId="862" w:customStyle="1">
    <w:name w:val="文档结构图 字符"/>
    <w:basedOn w:val="773"/>
    <w:link w:val="780"/>
    <w:uiPriority w:val="99"/>
    <w:qFormat/>
    <w:rPr>
      <w:rFonts w:ascii="Times New Roman" w:hAnsi="Times New Roman" w:eastAsia="宋体" w:cs="Times New Roman"/>
      <w:szCs w:val="24"/>
      <w:shd w:val="clear" w:color="auto" w:fill="000080"/>
    </w:rPr>
  </w:style>
  <w:style w:type="character" w:styleId="863" w:customStyle="1">
    <w:name w:val="批注文字 字符"/>
    <w:basedOn w:val="773"/>
    <w:link w:val="781"/>
    <w:uiPriority w:val="0"/>
    <w:qFormat/>
    <w:rPr>
      <w:rFonts w:ascii="Times New Roman" w:hAnsi="Times New Roman" w:eastAsia="宋体" w:cs="Times New Roman"/>
      <w:szCs w:val="24"/>
    </w:rPr>
  </w:style>
  <w:style w:type="character" w:styleId="864" w:customStyle="1">
    <w:name w:val="正文文本 3 字符"/>
    <w:basedOn w:val="773"/>
    <w:link w:val="782"/>
    <w:uiPriority w:val="0"/>
    <w:qFormat/>
    <w:rPr>
      <w:rFonts w:ascii="仿宋_GB2312" w:hAnsi="Arial" w:eastAsia="仿宋_GB2312" w:cs="Times New Roman"/>
      <w:sz w:val="32"/>
      <w:szCs w:val="20"/>
    </w:rPr>
  </w:style>
  <w:style w:type="character" w:styleId="865" w:customStyle="1">
    <w:name w:val="正文文本 字符"/>
    <w:basedOn w:val="773"/>
    <w:link w:val="783"/>
    <w:uiPriority w:val="0"/>
    <w:qFormat/>
    <w:rPr>
      <w:rFonts w:ascii="楷体_GB2312" w:hAnsi="Arial" w:eastAsia="楷体_GB2312" w:cs="Times New Roman"/>
      <w:sz w:val="28"/>
      <w:szCs w:val="20"/>
    </w:rPr>
  </w:style>
  <w:style w:type="character" w:styleId="866" w:customStyle="1">
    <w:name w:val="纯文本 字符"/>
    <w:basedOn w:val="773"/>
    <w:link w:val="792"/>
    <w:uiPriority w:val="0"/>
    <w:qFormat/>
    <w:rPr>
      <w:rFonts w:ascii="宋体" w:hAnsi="Courier New" w:eastAsia="宋体" w:cs="Times New Roman"/>
      <w:sz w:val="28"/>
      <w:szCs w:val="24"/>
    </w:rPr>
  </w:style>
  <w:style w:type="character" w:styleId="867" w:customStyle="1">
    <w:name w:val="日期 字符"/>
    <w:basedOn w:val="773"/>
    <w:link w:val="794"/>
    <w:uiPriority w:val="0"/>
    <w:qFormat/>
    <w:rPr>
      <w:rFonts w:ascii="Times New Roman" w:hAnsi="Times New Roman" w:eastAsia="宋体" w:cs="Times New Roman"/>
      <w:sz w:val="24"/>
      <w:szCs w:val="20"/>
    </w:rPr>
  </w:style>
  <w:style w:type="character" w:styleId="868" w:customStyle="1">
    <w:name w:val="正文文本缩进 2 字符"/>
    <w:basedOn w:val="773"/>
    <w:link w:val="795"/>
    <w:uiPriority w:val="0"/>
    <w:qFormat/>
    <w:rPr>
      <w:rFonts w:ascii="宋体" w:hAnsi="宋体" w:eastAsia="宋体" w:cs="Times New Roman"/>
      <w:sz w:val="28"/>
      <w:szCs w:val="24"/>
    </w:rPr>
  </w:style>
  <w:style w:type="character" w:styleId="869" w:customStyle="1">
    <w:name w:val="尾注文本 字符"/>
    <w:basedOn w:val="773"/>
    <w:link w:val="796"/>
    <w:uiPriority w:val="99"/>
    <w:semiHidden/>
    <w:qFormat/>
    <w:rPr>
      <w:rFonts w:ascii="Times New Roman" w:hAnsi="Times New Roman" w:eastAsia="宋体" w:cs="Times New Roman"/>
      <w:sz w:val="20"/>
      <w:szCs w:val="24"/>
    </w:rPr>
  </w:style>
  <w:style w:type="character" w:styleId="870" w:customStyle="1">
    <w:name w:val="批注框文本 字符"/>
    <w:basedOn w:val="773"/>
    <w:link w:val="797"/>
    <w:uiPriority w:val="99"/>
    <w:qFormat/>
    <w:rPr>
      <w:rFonts w:ascii="Times New Roman" w:hAnsi="Times New Roman" w:eastAsia="宋体" w:cs="Times New Roman"/>
      <w:sz w:val="18"/>
      <w:szCs w:val="18"/>
    </w:rPr>
  </w:style>
  <w:style w:type="character" w:styleId="871" w:customStyle="1">
    <w:name w:val="副标题 字符"/>
    <w:basedOn w:val="773"/>
    <w:link w:val="803"/>
    <w:uiPriority w:val="0"/>
    <w:qFormat/>
    <w:rPr>
      <w:rFonts w:ascii="Cambria" w:hAnsi="Cambria" w:eastAsia="宋体" w:cs="Times New Roman"/>
      <w:b/>
      <w:bCs/>
      <w:sz w:val="32"/>
      <w:szCs w:val="32"/>
    </w:rPr>
  </w:style>
  <w:style w:type="character" w:styleId="872" w:customStyle="1">
    <w:name w:val="脚注文本 字符"/>
    <w:basedOn w:val="773"/>
    <w:link w:val="804"/>
    <w:uiPriority w:val="0"/>
    <w:qFormat/>
    <w:rPr>
      <w:rFonts w:ascii="Times New Roman" w:hAnsi="Times New Roman" w:eastAsia="宋体" w:cs="Times New Roman"/>
      <w:sz w:val="18"/>
      <w:szCs w:val="18"/>
    </w:rPr>
  </w:style>
  <w:style w:type="character" w:styleId="873" w:customStyle="1">
    <w:name w:val="正文文本缩进 3 字符"/>
    <w:basedOn w:val="773"/>
    <w:link w:val="807"/>
    <w:uiPriority w:val="0"/>
    <w:qFormat/>
    <w:rPr>
      <w:rFonts w:ascii="仿宋_GB2312" w:hAnsi="宋体" w:eastAsia="仿宋_GB2312" w:cs="Times New Roman"/>
      <w:sz w:val="24"/>
      <w:szCs w:val="24"/>
    </w:rPr>
  </w:style>
  <w:style w:type="character" w:styleId="874" w:customStyle="1">
    <w:name w:val="正文文本 2 字符"/>
    <w:basedOn w:val="773"/>
    <w:link w:val="811"/>
    <w:uiPriority w:val="0"/>
    <w:qFormat/>
    <w:rPr>
      <w:rFonts w:ascii="仿宋_GB2312" w:hAnsi="Times New Roman" w:eastAsia="仿宋_GB2312" w:cs="Times New Roman"/>
      <w:sz w:val="44"/>
      <w:szCs w:val="24"/>
    </w:rPr>
  </w:style>
  <w:style w:type="character" w:styleId="875" w:customStyle="1">
    <w:name w:val="HTML 预设格式 字符"/>
    <w:basedOn w:val="773"/>
    <w:link w:val="812"/>
    <w:uiPriority w:val="0"/>
    <w:qFormat/>
    <w:rPr>
      <w:rFonts w:ascii="黑体" w:hAnsi="Courier New" w:eastAsia="黑体" w:cs="Times New Roman"/>
      <w:sz w:val="20"/>
      <w:szCs w:val="20"/>
    </w:rPr>
  </w:style>
  <w:style w:type="character" w:styleId="876" w:customStyle="1">
    <w:name w:val="标题 字符"/>
    <w:basedOn w:val="773"/>
    <w:link w:val="815"/>
    <w:uiPriority w:val="0"/>
    <w:qFormat/>
    <w:rPr>
      <w:rFonts w:ascii="Cambria" w:hAnsi="Cambria" w:eastAsia="宋体" w:cs="Times New Roman"/>
      <w:b/>
      <w:bCs/>
      <w:sz w:val="32"/>
      <w:szCs w:val="32"/>
    </w:rPr>
  </w:style>
  <w:style w:type="character" w:styleId="877" w:customStyle="1">
    <w:name w:val="批注主题 字符"/>
    <w:basedOn w:val="863"/>
    <w:link w:val="816"/>
    <w:uiPriority w:val="0"/>
    <w:qFormat/>
    <w:rPr>
      <w:rFonts w:ascii="Times New Roman" w:hAnsi="Times New Roman" w:eastAsia="宋体" w:cs="Times New Roman"/>
      <w:b/>
      <w:bCs/>
      <w:szCs w:val="24"/>
    </w:rPr>
  </w:style>
  <w:style w:type="character" w:styleId="878" w:customStyle="1">
    <w:name w:val="Heading 1 Char"/>
    <w:link w:val="879"/>
    <w:uiPriority w:val="9"/>
    <w:qFormat/>
    <w:rPr>
      <w:rFonts w:ascii="Arial" w:hAnsi="Arial" w:eastAsia="Arial" w:cs="Arial"/>
      <w:sz w:val="40"/>
      <w:szCs w:val="40"/>
    </w:rPr>
  </w:style>
  <w:style w:type="paragraph" w:styleId="879" w:customStyle="1">
    <w:name w:val="标题 11"/>
    <w:basedOn w:val="763"/>
    <w:next w:val="763"/>
    <w:link w:val="878"/>
    <w:uiPriority w:val="9"/>
    <w:qFormat/>
    <w:pPr>
      <w:keepLines/>
      <w:keepNext/>
      <w:spacing w:before="480" w:after="200"/>
      <w:outlineLvl w:val="0"/>
    </w:pPr>
    <w:rPr>
      <w:rFonts w:ascii="Arial" w:hAnsi="Arial" w:eastAsia="Arial" w:cs="Arial"/>
      <w:sz w:val="40"/>
      <w:szCs w:val="40"/>
    </w:rPr>
  </w:style>
  <w:style w:type="character" w:styleId="880" w:customStyle="1">
    <w:name w:val="Heading 2 Char"/>
    <w:uiPriority w:val="9"/>
    <w:qFormat/>
    <w:rPr>
      <w:rFonts w:ascii="Arial" w:hAnsi="Arial" w:eastAsia="Arial" w:cs="Arial"/>
      <w:sz w:val="34"/>
    </w:rPr>
  </w:style>
  <w:style w:type="character" w:styleId="881" w:customStyle="1">
    <w:name w:val="Heading 3 Char"/>
    <w:uiPriority w:val="9"/>
    <w:qFormat/>
    <w:rPr>
      <w:rFonts w:ascii="Arial" w:hAnsi="Arial" w:eastAsia="Arial" w:cs="Arial"/>
      <w:sz w:val="30"/>
      <w:szCs w:val="30"/>
    </w:rPr>
  </w:style>
  <w:style w:type="character" w:styleId="882" w:customStyle="1">
    <w:name w:val="Heading 4 Char"/>
    <w:uiPriority w:val="9"/>
    <w:qFormat/>
    <w:rPr>
      <w:rFonts w:ascii="Arial" w:hAnsi="Arial" w:eastAsia="Arial" w:cs="Arial"/>
      <w:b/>
      <w:bCs/>
      <w:sz w:val="26"/>
      <w:szCs w:val="26"/>
    </w:rPr>
  </w:style>
  <w:style w:type="character" w:styleId="883" w:customStyle="1">
    <w:name w:val="Heading 5 Char"/>
    <w:uiPriority w:val="9"/>
    <w:qFormat/>
    <w:rPr>
      <w:rFonts w:ascii="Arial" w:hAnsi="Arial" w:eastAsia="Arial" w:cs="Arial"/>
      <w:b/>
      <w:bCs/>
      <w:sz w:val="24"/>
      <w:szCs w:val="24"/>
    </w:rPr>
  </w:style>
  <w:style w:type="character" w:styleId="884" w:customStyle="1">
    <w:name w:val="Heading 6 Char"/>
    <w:uiPriority w:val="9"/>
    <w:qFormat/>
    <w:rPr>
      <w:rFonts w:ascii="Arial" w:hAnsi="Arial" w:eastAsia="Arial" w:cs="Arial"/>
      <w:b/>
      <w:bCs/>
      <w:sz w:val="22"/>
      <w:szCs w:val="22"/>
    </w:rPr>
  </w:style>
  <w:style w:type="character" w:styleId="885" w:customStyle="1">
    <w:name w:val="Heading 7 Char"/>
    <w:uiPriority w:val="9"/>
    <w:qFormat/>
    <w:rPr>
      <w:rFonts w:ascii="Arial" w:hAnsi="Arial" w:eastAsia="Arial" w:cs="Arial"/>
      <w:b/>
      <w:bCs/>
      <w:i/>
      <w:iCs/>
      <w:sz w:val="22"/>
      <w:szCs w:val="22"/>
    </w:rPr>
  </w:style>
  <w:style w:type="character" w:styleId="886" w:customStyle="1">
    <w:name w:val="Heading 8 Char"/>
    <w:uiPriority w:val="9"/>
    <w:qFormat/>
    <w:rPr>
      <w:rFonts w:ascii="Arial" w:hAnsi="Arial" w:eastAsia="Arial" w:cs="Arial"/>
      <w:i/>
      <w:iCs/>
      <w:sz w:val="22"/>
      <w:szCs w:val="22"/>
    </w:rPr>
  </w:style>
  <w:style w:type="character" w:styleId="887" w:customStyle="1">
    <w:name w:val="Heading 9 Char"/>
    <w:uiPriority w:val="9"/>
    <w:qFormat/>
    <w:rPr>
      <w:rFonts w:ascii="Arial" w:hAnsi="Arial" w:eastAsia="Arial" w:cs="Arial"/>
      <w:i/>
      <w:iCs/>
      <w:sz w:val="21"/>
      <w:szCs w:val="21"/>
    </w:rPr>
  </w:style>
  <w:style w:type="paragraph" w:styleId="888">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889" w:customStyle="1">
    <w:name w:val="Title Char"/>
    <w:uiPriority w:val="10"/>
    <w:qFormat/>
    <w:rPr>
      <w:sz w:val="48"/>
      <w:szCs w:val="48"/>
    </w:rPr>
  </w:style>
  <w:style w:type="character" w:styleId="890" w:customStyle="1">
    <w:name w:val="Subtitle Char"/>
    <w:uiPriority w:val="11"/>
    <w:qFormat/>
    <w:rPr>
      <w:sz w:val="24"/>
      <w:szCs w:val="24"/>
    </w:rPr>
  </w:style>
  <w:style w:type="paragraph" w:styleId="891">
    <w:name w:val="Quote"/>
    <w:basedOn w:val="763"/>
    <w:next w:val="763"/>
    <w:link w:val="892"/>
    <w:uiPriority w:val="99"/>
    <w:qFormat/>
    <w:rPr>
      <w:i/>
      <w:iCs/>
      <w:color w:val="000000"/>
    </w:rPr>
  </w:style>
  <w:style w:type="character" w:styleId="892" w:customStyle="1">
    <w:name w:val="引用 字符"/>
    <w:basedOn w:val="773"/>
    <w:link w:val="891"/>
    <w:uiPriority w:val="99"/>
    <w:qFormat/>
    <w:rPr>
      <w:rFonts w:ascii="Times New Roman" w:hAnsi="Times New Roman" w:eastAsia="宋体" w:cs="Times New Roman"/>
      <w:i/>
      <w:iCs/>
      <w:color w:val="000000"/>
      <w:szCs w:val="24"/>
    </w:rPr>
  </w:style>
  <w:style w:type="character" w:styleId="893" w:customStyle="1">
    <w:name w:val="Quote Char"/>
    <w:uiPriority w:val="29"/>
    <w:qFormat/>
    <w:rPr>
      <w:i/>
    </w:rPr>
  </w:style>
  <w:style w:type="paragraph" w:styleId="894">
    <w:name w:val="Intense Quote"/>
    <w:basedOn w:val="763"/>
    <w:next w:val="763"/>
    <w:link w:val="895"/>
    <w:uiPriority w:val="99"/>
    <w:qFormat/>
    <w:pPr>
      <w:ind w:left="936" w:right="936"/>
      <w:spacing w:before="200" w:after="280"/>
      <w:pBdr>
        <w:bottom w:val="single" w:color="4F81BD" w:sz="4" w:space="4"/>
      </w:pBdr>
    </w:pPr>
    <w:rPr>
      <w:b/>
      <w:bCs/>
      <w:i/>
      <w:iCs/>
      <w:color w:val="4f81bd"/>
    </w:rPr>
  </w:style>
  <w:style w:type="character" w:styleId="895" w:customStyle="1">
    <w:name w:val="明显引用 字符"/>
    <w:basedOn w:val="773"/>
    <w:link w:val="894"/>
    <w:uiPriority w:val="99"/>
    <w:qFormat/>
    <w:rPr>
      <w:rFonts w:ascii="Times New Roman" w:hAnsi="Times New Roman" w:eastAsia="宋体" w:cs="Times New Roman"/>
      <w:b/>
      <w:bCs/>
      <w:i/>
      <w:iCs/>
      <w:color w:val="4f81bd"/>
      <w:szCs w:val="24"/>
    </w:rPr>
  </w:style>
  <w:style w:type="character" w:styleId="896" w:customStyle="1">
    <w:name w:val="Intense Quote Char"/>
    <w:uiPriority w:val="30"/>
    <w:qFormat/>
    <w:rPr>
      <w:i/>
    </w:rPr>
  </w:style>
  <w:style w:type="character" w:styleId="897" w:customStyle="1">
    <w:name w:val="Header Char"/>
    <w:uiPriority w:val="99"/>
    <w:qFormat/>
  </w:style>
  <w:style w:type="character" w:styleId="898" w:customStyle="1">
    <w:name w:val="Footer Char"/>
    <w:uiPriority w:val="99"/>
    <w:qFormat/>
  </w:style>
  <w:style w:type="character" w:styleId="899" w:customStyle="1">
    <w:name w:val="Caption Char"/>
    <w:uiPriority w:val="99"/>
    <w:qFormat/>
  </w:style>
  <w:style w:type="table" w:styleId="9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3" w:customStyle="1">
    <w:name w:val="无格式表格 31"/>
    <w:uiPriority w:val="99"/>
    <w:qFormat/>
    <w:tblPr>
      <w:tblCellMar>
        <w:left w:w="0" w:type="dxa"/>
        <w:top w:w="0" w:type="dxa"/>
        <w:right w:w="0" w:type="dxa"/>
        <w:bottom w:w="0" w:type="dxa"/>
      </w:tblCellMar>
    </w:tblPr>
  </w:style>
  <w:style w:type="table" w:styleId="904" w:customStyle="1">
    <w:name w:val="无格式表格 41"/>
    <w:uiPriority w:val="99"/>
    <w:qFormat/>
    <w:tblPr>
      <w:tblCellMar>
        <w:left w:w="0" w:type="dxa"/>
        <w:top w:w="0" w:type="dxa"/>
        <w:right w:w="0" w:type="dxa"/>
        <w:bottom w:w="0" w:type="dxa"/>
      </w:tblCellMar>
    </w:tblPr>
  </w:style>
  <w:style w:type="table" w:styleId="905" w:customStyle="1">
    <w:name w:val="无格式表格 51"/>
    <w:uiPriority w:val="99"/>
    <w:qFormat/>
    <w:tblPr>
      <w:tblCellMar>
        <w:left w:w="0" w:type="dxa"/>
        <w:top w:w="0" w:type="dxa"/>
        <w:right w:w="0" w:type="dxa"/>
        <w:bottom w:w="0" w:type="dxa"/>
      </w:tblCellMar>
    </w:tblPr>
  </w:style>
  <w:style w:type="table" w:styleId="90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5" w:customStyle="1">
    <w:name w:val="清单表 1 浅色1"/>
    <w:uiPriority w:val="99"/>
    <w:qFormat/>
    <w:tblPr>
      <w:tblCellMar>
        <w:left w:w="0" w:type="dxa"/>
        <w:top w:w="0" w:type="dxa"/>
        <w:right w:w="0" w:type="dxa"/>
        <w:bottom w:w="0" w:type="dxa"/>
      </w:tblCellMar>
    </w:tblPr>
  </w:style>
  <w:style w:type="table" w:styleId="956" w:customStyle="1">
    <w:name w:val="List Table 1 Light - Accent 1"/>
    <w:uiPriority w:val="99"/>
    <w:qFormat/>
    <w:tblPr>
      <w:tblCellMar>
        <w:left w:w="0" w:type="dxa"/>
        <w:top w:w="0" w:type="dxa"/>
        <w:right w:w="0" w:type="dxa"/>
        <w:bottom w:w="0" w:type="dxa"/>
      </w:tblCellMar>
    </w:tblPr>
  </w:style>
  <w:style w:type="table" w:styleId="957" w:customStyle="1">
    <w:name w:val="List Table 1 Light - Accent 2"/>
    <w:uiPriority w:val="99"/>
    <w:qFormat/>
    <w:tblPr>
      <w:tblCellMar>
        <w:left w:w="0" w:type="dxa"/>
        <w:top w:w="0" w:type="dxa"/>
        <w:right w:w="0" w:type="dxa"/>
        <w:bottom w:w="0" w:type="dxa"/>
      </w:tblCellMar>
    </w:tblPr>
  </w:style>
  <w:style w:type="table" w:styleId="958" w:customStyle="1">
    <w:name w:val="List Table 1 Light - Accent 3"/>
    <w:uiPriority w:val="99"/>
    <w:qFormat/>
    <w:tblPr>
      <w:tblCellMar>
        <w:left w:w="0" w:type="dxa"/>
        <w:top w:w="0" w:type="dxa"/>
        <w:right w:w="0" w:type="dxa"/>
        <w:bottom w:w="0" w:type="dxa"/>
      </w:tblCellMar>
    </w:tblPr>
  </w:style>
  <w:style w:type="table" w:styleId="959" w:customStyle="1">
    <w:name w:val="List Table 1 Light - Accent 4"/>
    <w:uiPriority w:val="99"/>
    <w:qFormat/>
    <w:tblPr>
      <w:tblCellMar>
        <w:left w:w="0" w:type="dxa"/>
        <w:top w:w="0" w:type="dxa"/>
        <w:right w:w="0" w:type="dxa"/>
        <w:bottom w:w="0" w:type="dxa"/>
      </w:tblCellMar>
    </w:tblPr>
  </w:style>
  <w:style w:type="table" w:styleId="960" w:customStyle="1">
    <w:name w:val="List Table 1 Light - Accent 5"/>
    <w:uiPriority w:val="99"/>
    <w:qFormat/>
    <w:tblPr>
      <w:tblCellMar>
        <w:left w:w="0" w:type="dxa"/>
        <w:top w:w="0" w:type="dxa"/>
        <w:right w:w="0" w:type="dxa"/>
        <w:bottom w:w="0" w:type="dxa"/>
      </w:tblCellMar>
    </w:tblPr>
  </w:style>
  <w:style w:type="table" w:styleId="961" w:customStyle="1">
    <w:name w:val="List Table 1 Light - Accent 6"/>
    <w:uiPriority w:val="99"/>
    <w:qFormat/>
    <w:tblPr>
      <w:tblCellMar>
        <w:left w:w="0" w:type="dxa"/>
        <w:top w:w="0" w:type="dxa"/>
        <w:right w:w="0" w:type="dxa"/>
        <w:bottom w:w="0" w:type="dxa"/>
      </w:tblCellMar>
    </w:tblPr>
  </w:style>
  <w:style w:type="table" w:styleId="96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4" w:customStyle="1">
    <w:name w:val="Lined - Accent"/>
    <w:uiPriority w:val="99"/>
    <w:qFormat/>
    <w:rPr>
      <w:color w:val="404040"/>
    </w:rPr>
    <w:tblPr>
      <w:tblCellMar>
        <w:left w:w="0" w:type="dxa"/>
        <w:top w:w="0" w:type="dxa"/>
        <w:right w:w="0" w:type="dxa"/>
        <w:bottom w:w="0" w:type="dxa"/>
      </w:tblCellMar>
    </w:tblPr>
  </w:style>
  <w:style w:type="table" w:styleId="1005" w:customStyle="1">
    <w:name w:val="Lined - Accent 1"/>
    <w:uiPriority w:val="99"/>
    <w:qFormat/>
    <w:rPr>
      <w:color w:val="404040"/>
    </w:rPr>
    <w:tblPr>
      <w:tblCellMar>
        <w:left w:w="0" w:type="dxa"/>
        <w:top w:w="0" w:type="dxa"/>
        <w:right w:w="0" w:type="dxa"/>
        <w:bottom w:w="0" w:type="dxa"/>
      </w:tblCellMar>
    </w:tblPr>
  </w:style>
  <w:style w:type="table" w:styleId="1006" w:customStyle="1">
    <w:name w:val="Lined - Accent 2"/>
    <w:uiPriority w:val="99"/>
    <w:qFormat/>
    <w:rPr>
      <w:color w:val="404040"/>
    </w:rPr>
    <w:tblPr>
      <w:tblCellMar>
        <w:left w:w="0" w:type="dxa"/>
        <w:top w:w="0" w:type="dxa"/>
        <w:right w:w="0" w:type="dxa"/>
        <w:bottom w:w="0" w:type="dxa"/>
      </w:tblCellMar>
    </w:tblPr>
  </w:style>
  <w:style w:type="table" w:styleId="1007" w:customStyle="1">
    <w:name w:val="Lined - Accent 3"/>
    <w:uiPriority w:val="99"/>
    <w:qFormat/>
    <w:rPr>
      <w:color w:val="404040"/>
    </w:rPr>
    <w:tblPr>
      <w:tblCellMar>
        <w:left w:w="0" w:type="dxa"/>
        <w:top w:w="0" w:type="dxa"/>
        <w:right w:w="0" w:type="dxa"/>
        <w:bottom w:w="0" w:type="dxa"/>
      </w:tblCellMar>
    </w:tblPr>
  </w:style>
  <w:style w:type="table" w:styleId="1008" w:customStyle="1">
    <w:name w:val="Lined - Accent 4"/>
    <w:uiPriority w:val="99"/>
    <w:qFormat/>
    <w:rPr>
      <w:color w:val="404040"/>
    </w:rPr>
    <w:tblPr>
      <w:tblCellMar>
        <w:left w:w="0" w:type="dxa"/>
        <w:top w:w="0" w:type="dxa"/>
        <w:right w:w="0" w:type="dxa"/>
        <w:bottom w:w="0" w:type="dxa"/>
      </w:tblCellMar>
    </w:tblPr>
  </w:style>
  <w:style w:type="table" w:styleId="1009" w:customStyle="1">
    <w:name w:val="Lined - Accent 5"/>
    <w:uiPriority w:val="99"/>
    <w:qFormat/>
    <w:rPr>
      <w:color w:val="404040"/>
    </w:rPr>
    <w:tblPr>
      <w:tblCellMar>
        <w:left w:w="0" w:type="dxa"/>
        <w:top w:w="0" w:type="dxa"/>
        <w:right w:w="0" w:type="dxa"/>
        <w:bottom w:w="0" w:type="dxa"/>
      </w:tblCellMar>
    </w:tblPr>
  </w:style>
  <w:style w:type="table" w:styleId="1010" w:customStyle="1">
    <w:name w:val="Lined - Accent 6"/>
    <w:uiPriority w:val="99"/>
    <w:qFormat/>
    <w:rPr>
      <w:color w:val="404040"/>
    </w:rPr>
    <w:tblPr>
      <w:tblCellMar>
        <w:left w:w="0" w:type="dxa"/>
        <w:top w:w="0" w:type="dxa"/>
        <w:right w:w="0" w:type="dxa"/>
        <w:bottom w:w="0" w:type="dxa"/>
      </w:tblCellMar>
    </w:tblPr>
  </w:style>
  <w:style w:type="table" w:styleId="101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5" w:customStyle="1">
    <w:name w:val="Footnote Text Char"/>
    <w:uiPriority w:val="99"/>
    <w:qFormat/>
    <w:rPr>
      <w:sz w:val="18"/>
    </w:rPr>
  </w:style>
  <w:style w:type="paragraph" w:styleId="1026" w:customStyle="1">
    <w:name w:val="TOC 标题1"/>
    <w:uiPriority w:val="39"/>
    <w:unhideWhenUsed/>
    <w:qFormat/>
    <w:rPr>
      <w:rFonts w:hint="default" w:ascii="Times New Roman" w:hAnsi="Times New Roman" w:eastAsia="宋体" w:cs="Times New Roman"/>
      <w:lang w:val="en-US" w:eastAsia="zh-CN" w:bidi="ar-SA"/>
    </w:rPr>
  </w:style>
  <w:style w:type="character" w:styleId="1027" w:customStyle="1">
    <w:name w:val="正文缩进 字符"/>
    <w:link w:val="776"/>
    <w:uiPriority w:val="0"/>
    <w:qFormat/>
    <w:rPr>
      <w:rFonts w:ascii="Times New Roman" w:hAnsi="Times New Roman" w:eastAsia="宋体" w:cs="Times New Roman"/>
      <w:szCs w:val="20"/>
    </w:rPr>
  </w:style>
  <w:style w:type="paragraph" w:styleId="1028" w:customStyle="1">
    <w:name w:val="目录 71"/>
    <w:basedOn w:val="763"/>
    <w:next w:val="763"/>
    <w:uiPriority w:val="0"/>
    <w:qFormat/>
    <w:pPr>
      <w:ind w:left="2520"/>
    </w:pPr>
  </w:style>
  <w:style w:type="paragraph" w:styleId="1029" w:customStyle="1">
    <w:name w:val="目录 51"/>
    <w:basedOn w:val="763"/>
    <w:next w:val="763"/>
    <w:uiPriority w:val="0"/>
    <w:qFormat/>
    <w:pPr>
      <w:ind w:left="1680"/>
    </w:pPr>
  </w:style>
  <w:style w:type="paragraph" w:styleId="1030" w:customStyle="1">
    <w:name w:val="目录 31"/>
    <w:basedOn w:val="763"/>
    <w:next w:val="763"/>
    <w:uiPriority w:val="39"/>
    <w:qFormat/>
    <w:pPr>
      <w:ind w:left="539"/>
      <w:jc w:val="left"/>
      <w:spacing w:line="240" w:lineRule="exact"/>
      <w:tabs>
        <w:tab w:val="right" w:pos="9440" w:leader="dot"/>
      </w:tabs>
    </w:pPr>
    <w:rPr>
      <w:rFonts w:ascii="黑体" w:hAnsi="宋体" w:eastAsia="黑体"/>
      <w:bCs/>
      <w:iCs/>
      <w:sz w:val="18"/>
      <w:szCs w:val="32"/>
    </w:rPr>
  </w:style>
  <w:style w:type="paragraph" w:styleId="1031" w:customStyle="1">
    <w:name w:val="目录 81"/>
    <w:basedOn w:val="763"/>
    <w:next w:val="763"/>
    <w:uiPriority w:val="0"/>
    <w:qFormat/>
    <w:pPr>
      <w:ind w:left="2940"/>
    </w:pPr>
  </w:style>
  <w:style w:type="paragraph" w:styleId="1032" w:customStyle="1">
    <w:name w:val="目录 11"/>
    <w:basedOn w:val="763"/>
    <w:next w:val="763"/>
    <w:uiPriority w:val="39"/>
    <w:qFormat/>
    <w:pPr>
      <w:jc w:val="left"/>
      <w:spacing w:before="120" w:after="120" w:line="300" w:lineRule="exact"/>
      <w:tabs>
        <w:tab w:val="right" w:pos="9440" w:leader="dot"/>
      </w:tabs>
    </w:pPr>
    <w:rPr>
      <w:rFonts w:ascii="黑体" w:eastAsia="黑体"/>
      <w:b/>
      <w:caps/>
      <w:sz w:val="18"/>
      <w:szCs w:val="28"/>
    </w:rPr>
  </w:style>
  <w:style w:type="paragraph" w:styleId="1033" w:customStyle="1">
    <w:name w:val="目录 41"/>
    <w:basedOn w:val="763"/>
    <w:next w:val="763"/>
    <w:uiPriority w:val="0"/>
    <w:qFormat/>
    <w:pPr>
      <w:ind w:left="1260"/>
    </w:pPr>
  </w:style>
  <w:style w:type="paragraph" w:styleId="1034" w:customStyle="1">
    <w:name w:val="目录 61"/>
    <w:basedOn w:val="763"/>
    <w:next w:val="763"/>
    <w:uiPriority w:val="0"/>
    <w:qFormat/>
    <w:pPr>
      <w:ind w:left="2100"/>
    </w:pPr>
  </w:style>
  <w:style w:type="paragraph" w:styleId="1035" w:customStyle="1">
    <w:name w:val="目录 21"/>
    <w:basedOn w:val="763"/>
    <w:next w:val="763"/>
    <w:uiPriority w:val="39"/>
    <w:qFormat/>
    <w:pPr>
      <w:jc w:val="left"/>
      <w:spacing w:line="260" w:lineRule="exact"/>
      <w:tabs>
        <w:tab w:val="right" w:pos="9440" w:leader="dot"/>
      </w:tabs>
    </w:pPr>
    <w:rPr>
      <w:rFonts w:ascii="黑体" w:eastAsia="黑体"/>
      <w:b/>
      <w:bCs/>
      <w:smallCaps/>
      <w:sz w:val="18"/>
      <w:szCs w:val="44"/>
    </w:rPr>
  </w:style>
  <w:style w:type="paragraph" w:styleId="1036" w:customStyle="1">
    <w:name w:val="目录 91"/>
    <w:basedOn w:val="763"/>
    <w:next w:val="763"/>
    <w:uiPriority w:val="0"/>
    <w:qFormat/>
    <w:pPr>
      <w:ind w:left="3360"/>
    </w:pPr>
  </w:style>
  <w:style w:type="paragraph" w:styleId="1037" w:customStyle="1">
    <w:name w:val="正文首行缩进1"/>
    <w:basedOn w:val="783"/>
    <w:next w:val="778"/>
    <w:uiPriority w:val="99"/>
    <w:qFormat/>
    <w:pPr>
      <w:ind w:firstLine="200"/>
      <w:spacing w:line="360" w:lineRule="auto"/>
    </w:pPr>
    <w:rPr>
      <w:rFonts w:ascii="仿宋_GB2312" w:hAnsi="Times New Roman" w:eastAsia="仿宋_GB2312"/>
      <w:sz w:val="30"/>
      <w:szCs w:val="30"/>
    </w:rPr>
  </w:style>
  <w:style w:type="paragraph" w:styleId="1038" w:customStyle="1">
    <w:name w:val="正文首行缩进 211"/>
    <w:basedOn w:val="787"/>
    <w:next w:val="776"/>
    <w:uiPriority w:val="0"/>
    <w:qFormat/>
    <w:pPr>
      <w:ind w:left="0" w:firstLine="420"/>
      <w:spacing w:after="0" w:line="360" w:lineRule="auto"/>
    </w:pPr>
    <w:rPr>
      <w:rFonts w:ascii="宋体" w:hAnsi="宋体"/>
      <w:szCs w:val="20"/>
    </w:rPr>
  </w:style>
  <w:style w:type="paragraph" w:styleId="1039" w:customStyle="1">
    <w:name w:val="BodyText1I21"/>
    <w:basedOn w:val="1040"/>
    <w:uiPriority w:val="0"/>
    <w:qFormat/>
    <w:pPr>
      <w:ind w:left="420" w:firstLine="420"/>
      <w:spacing w:after="120" w:line="240" w:lineRule="auto"/>
    </w:pPr>
  </w:style>
  <w:style w:type="paragraph" w:styleId="1040" w:customStyle="1">
    <w:name w:val="BodyTextIndent1"/>
    <w:basedOn w:val="763"/>
    <w:uiPriority w:val="0"/>
    <w:qFormat/>
    <w:pPr>
      <w:ind w:firstLine="552"/>
      <w:spacing w:before="240" w:line="360" w:lineRule="auto"/>
    </w:pPr>
  </w:style>
  <w:style w:type="character" w:styleId="1041" w:customStyle="1">
    <w:name w:val="批注文字 字符1"/>
    <w:uiPriority w:val="99"/>
    <w:semiHidden/>
    <w:qFormat/>
    <w:rPr>
      <w:rFonts w:ascii="Times New Roman" w:hAnsi="Times New Roman" w:eastAsia="宋体" w:cs="Times New Roman"/>
      <w:szCs w:val="24"/>
    </w:rPr>
  </w:style>
  <w:style w:type="character" w:styleId="1042" w:customStyle="1">
    <w:name w:val="引用 Char"/>
    <w:uiPriority w:val="0"/>
    <w:qFormat/>
    <w:rPr>
      <w:i/>
      <w:iCs/>
      <w:color w:val="000000"/>
      <w:sz w:val="21"/>
      <w:szCs w:val="22"/>
    </w:rPr>
  </w:style>
  <w:style w:type="character" w:styleId="1043" w:customStyle="1">
    <w:name w:val="jj1"/>
    <w:uiPriority w:val="0"/>
    <w:qFormat/>
    <w:rPr>
      <w:sz w:val="20"/>
      <w:szCs w:val="20"/>
      <w:u w:val="none"/>
    </w:rPr>
  </w:style>
  <w:style w:type="character" w:styleId="1044" w:customStyle="1">
    <w:name w:val="textcontents"/>
    <w:uiPriority w:val="0"/>
    <w:qFormat/>
    <w:rPr>
      <w:rFonts w:cs="Times New Roman"/>
    </w:rPr>
  </w:style>
  <w:style w:type="character" w:styleId="1045" w:customStyle="1">
    <w:name w:val="fontstyle01"/>
    <w:uiPriority w:val="0"/>
    <w:qFormat/>
    <w:rPr>
      <w:rFonts w:hint="eastAsia" w:ascii="宋体" w:hAnsi="宋体" w:eastAsia="宋体"/>
      <w:color w:val="000000"/>
      <w:sz w:val="22"/>
      <w:szCs w:val="22"/>
    </w:rPr>
  </w:style>
  <w:style w:type="character" w:styleId="1046" w:customStyle="1">
    <w:name w:val="Char Char7"/>
    <w:uiPriority w:val="0"/>
    <w:qFormat/>
    <w:rPr>
      <w:rFonts w:ascii="Arial" w:hAnsi="Arial" w:eastAsia="黑体"/>
      <w:b/>
      <w:bCs/>
      <w:sz w:val="32"/>
      <w:szCs w:val="32"/>
    </w:rPr>
  </w:style>
  <w:style w:type="character" w:styleId="1047" w:customStyle="1">
    <w:name w:val="标题2 Char"/>
    <w:uiPriority w:val="0"/>
    <w:qFormat/>
    <w:rPr>
      <w:rFonts w:ascii="方正楷体_GBK" w:hAnsi="Book Antiqua" w:eastAsia="方正楷体_GBK"/>
      <w:sz w:val="32"/>
      <w:lang w:val="en-US" w:eastAsia="zh-CN" w:bidi="ar-SA"/>
    </w:rPr>
  </w:style>
  <w:style w:type="character" w:styleId="1048" w:customStyle="1">
    <w:name w:val="标题5 Char Char"/>
    <w:link w:val="1049"/>
    <w:uiPriority w:val="0"/>
    <w:qFormat/>
    <w:rPr>
      <w:rFonts w:ascii="Arial" w:hAnsi="Arial"/>
      <w:b/>
      <w:bCs/>
      <w:sz w:val="24"/>
      <w:szCs w:val="32"/>
    </w:rPr>
  </w:style>
  <w:style w:type="paragraph" w:styleId="1049" w:customStyle="1">
    <w:name w:val="标题5"/>
    <w:basedOn w:val="766"/>
    <w:link w:val="1048"/>
    <w:uiPriority w:val="0"/>
    <w:qFormat/>
    <w:pPr>
      <w:spacing w:line="413" w:lineRule="auto"/>
    </w:pPr>
    <w:rPr>
      <w:rFonts w:ascii="Arial" w:hAnsi="Arial" w:eastAsiaTheme="minorEastAsia" w:cstheme="minorBidi"/>
      <w:bCs/>
      <w:sz w:val="24"/>
      <w:szCs w:val="32"/>
    </w:rPr>
  </w:style>
  <w:style w:type="character" w:styleId="1050" w:customStyle="1">
    <w:name w:val="_Style 138"/>
    <w:uiPriority w:val="0"/>
    <w:qFormat/>
    <w:rPr>
      <w:b/>
      <w:bCs/>
      <w:smallCaps/>
      <w:spacing w:val="5"/>
    </w:rPr>
  </w:style>
  <w:style w:type="character" w:styleId="1051" w:customStyle="1">
    <w:name w:val="明显引用 Char"/>
    <w:uiPriority w:val="0"/>
    <w:qFormat/>
    <w:rPr>
      <w:b/>
      <w:bCs/>
      <w:i/>
      <w:iCs/>
      <w:color w:val="4f81bd"/>
      <w:sz w:val="21"/>
      <w:szCs w:val="22"/>
    </w:rPr>
  </w:style>
  <w:style w:type="character" w:styleId="1052" w:customStyle="1">
    <w:name w:val="Char Char71"/>
    <w:uiPriority w:val="0"/>
    <w:qFormat/>
    <w:rPr>
      <w:rFonts w:ascii="Arial" w:hAnsi="Arial" w:eastAsia="黑体"/>
      <w:b/>
      <w:bCs/>
      <w:sz w:val="32"/>
      <w:szCs w:val="32"/>
    </w:rPr>
  </w:style>
  <w:style w:type="character" w:styleId="1053" w:customStyle="1">
    <w:name w:val="_Style 132"/>
    <w:uiPriority w:val="0"/>
    <w:qFormat/>
    <w:rPr>
      <w:i/>
      <w:iCs/>
      <w:color w:val="808080"/>
    </w:rPr>
  </w:style>
  <w:style w:type="character" w:styleId="1054" w:customStyle="1">
    <w:name w:val="批注主题 Char2"/>
    <w:uiPriority w:val="0"/>
    <w:qFormat/>
  </w:style>
  <w:style w:type="character" w:styleId="1055" w:customStyle="1">
    <w:name w:val="_Style 147"/>
    <w:uiPriority w:val="0"/>
    <w:qFormat/>
    <w:rPr>
      <w:smallCaps/>
      <w:color w:val="c0504d"/>
      <w:u w:val="single"/>
    </w:rPr>
  </w:style>
  <w:style w:type="character" w:styleId="1056" w:customStyle="1">
    <w:name w:val="批注框文本 Char1"/>
    <w:uiPriority w:val="0"/>
    <w:qFormat/>
    <w:rPr>
      <w:sz w:val="18"/>
      <w:szCs w:val="18"/>
    </w:rPr>
  </w:style>
  <w:style w:type="character" w:styleId="1057" w:customStyle="1">
    <w:name w:val="日期 Char1"/>
    <w:uiPriority w:val="0"/>
    <w:qFormat/>
    <w:rPr>
      <w:sz w:val="21"/>
      <w:szCs w:val="22"/>
    </w:rPr>
  </w:style>
  <w:style w:type="character" w:styleId="1058" w:customStyle="1">
    <w:name w:val="列出段落 Char"/>
    <w:link w:val="1059"/>
    <w:uiPriority w:val="0"/>
    <w:qFormat/>
    <w:rPr>
      <w:rFonts w:ascii="Calibri" w:hAnsi="Calibri"/>
      <w:sz w:val="24"/>
      <w:szCs w:val="24"/>
      <w:lang w:eastAsia="en-US" w:bidi="en-US"/>
    </w:rPr>
  </w:style>
  <w:style w:type="paragraph" w:styleId="1059" w:customStyle="1">
    <w:name w:val="列出段落1"/>
    <w:basedOn w:val="763"/>
    <w:link w:val="1058"/>
    <w:uiPriority w:val="0"/>
    <w:qFormat/>
    <w:pPr>
      <w:contextualSpacing/>
      <w:ind w:left="720"/>
      <w:jc w:val="left"/>
      <w:widowControl/>
    </w:pPr>
    <w:rPr>
      <w:rFonts w:ascii="Calibri" w:hAnsi="Calibri" w:eastAsiaTheme="minorEastAsia" w:cstheme="minorBidi"/>
      <w:sz w:val="24"/>
      <w:lang w:eastAsia="en-US" w:bidi="en-US"/>
    </w:rPr>
  </w:style>
  <w:style w:type="character" w:styleId="1060" w:customStyle="1">
    <w:name w:val="Char Char19"/>
    <w:uiPriority w:val="0"/>
    <w:qFormat/>
    <w:rPr>
      <w:rFonts w:ascii="Arial" w:hAnsi="Arial" w:eastAsia="黑体"/>
      <w:b/>
      <w:bCs/>
      <w:sz w:val="32"/>
      <w:szCs w:val="32"/>
      <w:lang w:val="en-US" w:eastAsia="zh-CN" w:bidi="ar-SA"/>
    </w:rPr>
  </w:style>
  <w:style w:type="character" w:styleId="1061" w:customStyle="1">
    <w:name w:val="标题4 Char Char"/>
    <w:link w:val="1062"/>
    <w:uiPriority w:val="0"/>
    <w:qFormat/>
    <w:rPr>
      <w:rFonts w:ascii="Arial" w:hAnsi="Arial"/>
      <w:b/>
      <w:bCs/>
      <w:sz w:val="24"/>
      <w:szCs w:val="32"/>
    </w:rPr>
  </w:style>
  <w:style w:type="paragraph" w:styleId="1062" w:customStyle="1">
    <w:name w:val="标题4"/>
    <w:basedOn w:val="765"/>
    <w:next w:val="789"/>
    <w:link w:val="1061"/>
    <w:uiPriority w:val="0"/>
    <w:qFormat/>
    <w:pPr>
      <w:jc w:val="both"/>
      <w:spacing w:line="413" w:lineRule="auto"/>
    </w:pPr>
    <w:rPr>
      <w:rFonts w:eastAsiaTheme="minorEastAsia" w:cstheme="minorBidi"/>
      <w:bCs/>
      <w:sz w:val="24"/>
      <w:szCs w:val="32"/>
    </w:rPr>
  </w:style>
  <w:style w:type="character" w:styleId="1063" w:customStyle="1">
    <w:name w:val="_Style 137"/>
    <w:uiPriority w:val="0"/>
    <w:qFormat/>
    <w:rPr>
      <w:b/>
      <w:bCs/>
      <w:smallCaps/>
      <w:color w:val="c0504d"/>
      <w:spacing w:val="5"/>
      <w:u w:val="single"/>
    </w:rPr>
  </w:style>
  <w:style w:type="character" w:styleId="1064" w:customStyle="1">
    <w:name w:val="批注主题 Char1"/>
    <w:uiPriority w:val="0"/>
    <w:qFormat/>
    <w:rPr>
      <w:b/>
      <w:bCs/>
      <w:sz w:val="21"/>
      <w:szCs w:val="22"/>
    </w:rPr>
  </w:style>
  <w:style w:type="character" w:styleId="1065" w:customStyle="1">
    <w:name w:val="批注主题 字符1"/>
    <w:uiPriority w:val="99"/>
    <w:semiHidden/>
    <w:qFormat/>
    <w:rPr>
      <w:rFonts w:ascii="Times New Roman" w:hAnsi="Times New Roman" w:eastAsia="宋体" w:cs="Times New Roman"/>
      <w:b/>
      <w:bCs/>
      <w:szCs w:val="24"/>
    </w:rPr>
  </w:style>
  <w:style w:type="character" w:styleId="1066" w:customStyle="1">
    <w:name w:val="notprint"/>
    <w:uiPriority w:val="0"/>
    <w:qFormat/>
  </w:style>
  <w:style w:type="character" w:styleId="1067" w:customStyle="1">
    <w:name w:val="普通正文 Char"/>
    <w:link w:val="1068"/>
    <w:uiPriority w:val="0"/>
    <w:qFormat/>
    <w:rPr>
      <w:rFonts w:ascii="Arial" w:hAnsi="Arial"/>
      <w:sz w:val="24"/>
      <w:szCs w:val="24"/>
    </w:rPr>
  </w:style>
  <w:style w:type="paragraph" w:styleId="1068" w:customStyle="1">
    <w:name w:val="普通正文"/>
    <w:basedOn w:val="763"/>
    <w:link w:val="1067"/>
    <w:uiPriority w:val="0"/>
    <w:qFormat/>
    <w:pPr>
      <w:ind w:firstLine="480"/>
      <w:jc w:val="left"/>
      <w:spacing w:before="120" w:after="120" w:line="360" w:lineRule="auto"/>
    </w:pPr>
    <w:rPr>
      <w:rFonts w:ascii="Arial" w:hAnsi="Arial" w:eastAsiaTheme="minorEastAsia" w:cstheme="minorBidi"/>
      <w:sz w:val="24"/>
    </w:rPr>
  </w:style>
  <w:style w:type="character" w:styleId="1069" w:customStyle="1">
    <w:name w:val="标题 2 Char_1_0"/>
    <w:link w:val="1070"/>
    <w:uiPriority w:val="99"/>
    <w:qFormat/>
    <w:rPr>
      <w:rFonts w:ascii="Cambria" w:hAnsi="Cambria"/>
      <w:b/>
      <w:bCs/>
      <w:sz w:val="32"/>
      <w:szCs w:val="32"/>
    </w:rPr>
  </w:style>
  <w:style w:type="paragraph" w:styleId="1070" w:customStyle="1">
    <w:name w:val="标题 2_1_0"/>
    <w:basedOn w:val="1071"/>
    <w:next w:val="1071"/>
    <w:link w:val="1069"/>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07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72" w:customStyle="1">
    <w:name w:val="文档结构图 字符1"/>
    <w:uiPriority w:val="99"/>
    <w:semiHidden/>
    <w:qFormat/>
    <w:rPr>
      <w:rFonts w:ascii="Microsoft YaHei UI" w:hAnsi="Times New Roman" w:eastAsia="Microsoft YaHei UI" w:cs="Times New Roman"/>
      <w:sz w:val="18"/>
      <w:szCs w:val="18"/>
    </w:rPr>
  </w:style>
  <w:style w:type="character" w:styleId="1073" w:customStyle="1">
    <w:name w:val="页眉 字符1"/>
    <w:uiPriority w:val="99"/>
    <w:semiHidden/>
    <w:qFormat/>
    <w:rPr>
      <w:rFonts w:ascii="Times New Roman" w:hAnsi="Times New Roman" w:eastAsia="宋体" w:cs="Times New Roman"/>
      <w:sz w:val="18"/>
      <w:szCs w:val="18"/>
    </w:rPr>
  </w:style>
  <w:style w:type="character" w:styleId="1074" w:customStyle="1">
    <w:name w:val="文档结构图 Char1"/>
    <w:uiPriority w:val="0"/>
    <w:qFormat/>
    <w:rPr>
      <w:rFonts w:ascii="宋体"/>
      <w:sz w:val="18"/>
      <w:szCs w:val="18"/>
    </w:rPr>
  </w:style>
  <w:style w:type="character" w:styleId="1075" w:customStyle="1">
    <w:name w:val="Char Char191"/>
    <w:uiPriority w:val="0"/>
    <w:qFormat/>
    <w:rPr>
      <w:rFonts w:ascii="Arial" w:hAnsi="Arial" w:eastAsia="黑体"/>
      <w:b/>
      <w:bCs/>
      <w:sz w:val="32"/>
      <w:szCs w:val="32"/>
      <w:lang w:val="en-US" w:eastAsia="zh-CN" w:bidi="ar-SA"/>
    </w:rPr>
  </w:style>
  <w:style w:type="character" w:styleId="1076" w:customStyle="1">
    <w:name w:val="正文文本 字符1"/>
    <w:uiPriority w:val="99"/>
    <w:semiHidden/>
    <w:qFormat/>
    <w:rPr>
      <w:rFonts w:ascii="Times New Roman" w:hAnsi="Times New Roman" w:eastAsia="宋体" w:cs="Times New Roman"/>
      <w:szCs w:val="24"/>
    </w:rPr>
  </w:style>
  <w:style w:type="character" w:styleId="1077" w:customStyle="1">
    <w:name w:val="批注文字 Char Char"/>
    <w:uiPriority w:val="0"/>
    <w:qFormat/>
    <w:rPr>
      <w:rFonts w:ascii="宋体" w:hAnsi="Times New Roman" w:eastAsia="宋体" w:cs="Times New Roman"/>
      <w:sz w:val="28"/>
      <w:szCs w:val="20"/>
    </w:rPr>
  </w:style>
  <w:style w:type="character" w:styleId="1078" w:customStyle="1">
    <w:name w:val="_Style 145"/>
    <w:uiPriority w:val="0"/>
    <w:qFormat/>
    <w:rPr>
      <w:b/>
      <w:bCs/>
      <w:i/>
      <w:iCs/>
      <w:color w:val="4f81bd"/>
    </w:rPr>
  </w:style>
  <w:style w:type="character" w:styleId="1079" w:customStyle="1">
    <w:name w:val="批注框文本 字符1"/>
    <w:uiPriority w:val="99"/>
    <w:semiHidden/>
    <w:qFormat/>
    <w:rPr>
      <w:rFonts w:ascii="Times New Roman" w:hAnsi="Times New Roman" w:eastAsia="宋体" w:cs="Times New Roman"/>
      <w:sz w:val="18"/>
      <w:szCs w:val="18"/>
    </w:rPr>
  </w:style>
  <w:style w:type="character" w:styleId="1080" w:customStyle="1">
    <w:name w:val="font31"/>
    <w:uiPriority w:val="0"/>
    <w:qFormat/>
    <w:rPr>
      <w:rFonts w:hint="eastAsia" w:ascii="宋体" w:hAnsi="宋体" w:eastAsia="宋体" w:cs="宋体"/>
      <w:color w:val="000000"/>
      <w:sz w:val="24"/>
      <w:szCs w:val="24"/>
      <w:u w:val="none"/>
    </w:rPr>
  </w:style>
  <w:style w:type="character" w:styleId="1081" w:customStyle="1">
    <w:name w:val="正文文本 Char1"/>
    <w:uiPriority w:val="0"/>
    <w:qFormat/>
    <w:rPr>
      <w:sz w:val="21"/>
      <w:szCs w:val="22"/>
    </w:rPr>
  </w:style>
  <w:style w:type="character" w:styleId="1082" w:customStyle="1">
    <w:name w:val="副标题 Char1"/>
    <w:uiPriority w:val="0"/>
    <w:qFormat/>
    <w:rPr>
      <w:rFonts w:ascii="Cambria" w:hAnsi="Cambria" w:cs="Times New Roman"/>
      <w:b/>
      <w:bCs/>
      <w:sz w:val="32"/>
      <w:szCs w:val="32"/>
    </w:rPr>
  </w:style>
  <w:style w:type="character" w:styleId="1083" w:customStyle="1">
    <w:name w:val="Char Char21"/>
    <w:uiPriority w:val="0"/>
    <w:qFormat/>
    <w:rPr>
      <w:rFonts w:ascii="黑体" w:hAnsi="宋体" w:eastAsia="黑体"/>
      <w:bCs/>
      <w:sz w:val="28"/>
      <w:szCs w:val="28"/>
    </w:rPr>
  </w:style>
  <w:style w:type="character" w:styleId="1084" w:customStyle="1">
    <w:name w:val="批注文字 Char2"/>
    <w:uiPriority w:val="0"/>
    <w:qFormat/>
    <w:rPr>
      <w:rFonts w:eastAsia="宋体"/>
      <w:sz w:val="21"/>
      <w:szCs w:val="24"/>
      <w:lang w:val="en-US" w:eastAsia="zh-CN" w:bidi="ar-SA"/>
    </w:rPr>
  </w:style>
  <w:style w:type="character" w:styleId="1085" w:customStyle="1">
    <w:name w:val="批注文字 Char1"/>
    <w:uiPriority w:val="0"/>
    <w:qFormat/>
    <w:rPr>
      <w:sz w:val="21"/>
      <w:szCs w:val="24"/>
    </w:rPr>
  </w:style>
  <w:style w:type="character" w:styleId="1086" w:customStyle="1">
    <w:name w:val="Char Char20"/>
    <w:uiPriority w:val="0"/>
    <w:qFormat/>
    <w:rPr>
      <w:rFonts w:eastAsia="宋体"/>
      <w:b/>
      <w:bCs/>
      <w:sz w:val="44"/>
      <w:szCs w:val="44"/>
      <w:lang w:val="en-US" w:eastAsia="zh-CN" w:bidi="ar-SA"/>
    </w:rPr>
  </w:style>
  <w:style w:type="character" w:styleId="1087" w:customStyle="1">
    <w:name w:val="标题 Char1"/>
    <w:uiPriority w:val="0"/>
    <w:qFormat/>
    <w:rPr>
      <w:rFonts w:ascii="Cambria" w:hAnsi="Cambria" w:cs="Times New Roman"/>
      <w:b/>
      <w:bCs/>
      <w:sz w:val="32"/>
      <w:szCs w:val="32"/>
    </w:rPr>
  </w:style>
  <w:style w:type="character" w:styleId="1088" w:customStyle="1">
    <w:name w:val="标题 3 Char1"/>
    <w:uiPriority w:val="0"/>
    <w:qFormat/>
    <w:rPr>
      <w:rFonts w:ascii="黑体" w:hAnsi="宋体" w:eastAsia="黑体"/>
      <w:bCs/>
      <w:sz w:val="28"/>
      <w:szCs w:val="28"/>
    </w:rPr>
  </w:style>
  <w:style w:type="character" w:styleId="1089" w:customStyle="1">
    <w:name w:val="页脚 字符1"/>
    <w:uiPriority w:val="99"/>
    <w:semiHidden/>
    <w:qFormat/>
    <w:rPr>
      <w:rFonts w:ascii="Times New Roman" w:hAnsi="Times New Roman" w:eastAsia="宋体" w:cs="Times New Roman"/>
      <w:sz w:val="18"/>
      <w:szCs w:val="18"/>
    </w:rPr>
  </w:style>
  <w:style w:type="character" w:styleId="1090" w:customStyle="1">
    <w:name w:val="页脚 Char1"/>
    <w:uiPriority w:val="99"/>
    <w:qFormat/>
    <w:rPr>
      <w:sz w:val="18"/>
      <w:szCs w:val="24"/>
    </w:rPr>
  </w:style>
  <w:style w:type="character" w:styleId="1091" w:customStyle="1">
    <w:name w:val="页眉 Char1"/>
    <w:uiPriority w:val="99"/>
    <w:qFormat/>
    <w:rPr>
      <w:sz w:val="18"/>
      <w:szCs w:val="24"/>
    </w:rPr>
  </w:style>
  <w:style w:type="character" w:styleId="1092" w:customStyle="1">
    <w:name w:val="Char Char211"/>
    <w:uiPriority w:val="0"/>
    <w:qFormat/>
    <w:rPr>
      <w:rFonts w:ascii="黑体" w:hAnsi="宋体" w:eastAsia="黑体"/>
      <w:bCs/>
      <w:sz w:val="28"/>
      <w:szCs w:val="28"/>
    </w:rPr>
  </w:style>
  <w:style w:type="character" w:styleId="1093" w:customStyle="1">
    <w:name w:val="Char Char201"/>
    <w:uiPriority w:val="0"/>
    <w:qFormat/>
    <w:rPr>
      <w:rFonts w:eastAsia="宋体"/>
      <w:b/>
      <w:bCs/>
      <w:sz w:val="44"/>
      <w:szCs w:val="44"/>
      <w:lang w:val="en-US" w:eastAsia="zh-CN" w:bidi="ar-SA"/>
    </w:rPr>
  </w:style>
  <w:style w:type="paragraph" w:styleId="1094" w:customStyle="1">
    <w:name w:val="样式 标题 2 + Times New Roman 四号 非加粗 段前: 5 磅 段后: 0 磅 行距: 固定值 20..."/>
    <w:basedOn w:val="765"/>
    <w:uiPriority w:val="0"/>
    <w:qFormat/>
    <w:pPr>
      <w:jc w:val="both"/>
      <w:spacing w:before="100" w:after="0" w:line="400" w:lineRule="exact"/>
    </w:pPr>
    <w:rPr>
      <w:rFonts w:ascii="Times New Roman" w:hAnsi="Times New Roman" w:eastAsia="黑体" w:cs="宋体"/>
      <w:b w:val="0"/>
      <w:sz w:val="28"/>
    </w:rPr>
  </w:style>
  <w:style w:type="paragraph" w:styleId="1095" w:customStyle="1">
    <w:name w:val="_Style 110"/>
    <w:uiPriority w:val="0"/>
    <w:qFormat/>
    <w:rPr>
      <w:rFonts w:hint="default" w:ascii="Times New Roman" w:hAnsi="Times New Roman" w:eastAsia="宋体" w:cs="Times New Roman"/>
      <w:sz w:val="21"/>
      <w:szCs w:val="24"/>
      <w:lang w:val="en-US" w:eastAsia="zh-CN" w:bidi="ar-SA"/>
    </w:rPr>
  </w:style>
  <w:style w:type="paragraph" w:styleId="1096" w:customStyle="1">
    <w:name w:val="Heading 71"/>
    <w:basedOn w:val="763"/>
    <w:uiPriority w:val="0"/>
    <w:qFormat/>
    <w:pPr>
      <w:jc w:val="left"/>
      <w:outlineLvl w:val="7"/>
    </w:pPr>
    <w:rPr>
      <w:rFonts w:ascii="宋体" w:hAnsi="宋体" w:cs="宋体"/>
      <w:sz w:val="28"/>
      <w:szCs w:val="28"/>
      <w:lang w:eastAsia="en-US"/>
    </w:rPr>
  </w:style>
  <w:style w:type="paragraph" w:styleId="1097" w:customStyle="1">
    <w:name w:val="Char Char Char Char"/>
    <w:basedOn w:val="780"/>
    <w:uiPriority w:val="0"/>
    <w:qFormat/>
    <w:pPr>
      <w:spacing w:line="360" w:lineRule="auto"/>
    </w:pPr>
    <w:rPr>
      <w:rFonts w:ascii="Tahoma" w:hAnsi="Tahoma"/>
      <w:sz w:val="24"/>
    </w:rPr>
  </w:style>
  <w:style w:type="paragraph" w:styleId="109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99" w:customStyle="1">
    <w:name w:val="标题 2_0"/>
    <w:basedOn w:val="763"/>
    <w:next w:val="763"/>
    <w:uiPriority w:val="9"/>
    <w:qFormat/>
    <w:pPr>
      <w:keepLines/>
      <w:keepNext/>
      <w:spacing w:before="260" w:after="260" w:line="416" w:lineRule="auto"/>
      <w:outlineLvl w:val="1"/>
    </w:pPr>
    <w:rPr>
      <w:rFonts w:ascii="Arial" w:hAnsi="Arial" w:eastAsia="黑体"/>
      <w:b/>
      <w:bCs/>
      <w:sz w:val="32"/>
      <w:szCs w:val="32"/>
    </w:rPr>
  </w:style>
  <w:style w:type="paragraph" w:styleId="1100" w:customStyle="1">
    <w:name w:val="标题2"/>
    <w:basedOn w:val="763"/>
    <w:next w:val="763"/>
    <w:uiPriority w:val="0"/>
    <w:qFormat/>
    <w:pPr>
      <w:jc w:val="center"/>
    </w:pPr>
    <w:rPr>
      <w:rFonts w:eastAsia="方正楷体_GBK"/>
    </w:rPr>
  </w:style>
  <w:style w:type="paragraph" w:styleId="1101" w:customStyle="1">
    <w:name w:val="列出段落2"/>
    <w:basedOn w:val="763"/>
    <w:uiPriority w:val="0"/>
    <w:qFormat/>
    <w:pPr>
      <w:ind w:firstLine="420"/>
    </w:pPr>
  </w:style>
  <w:style w:type="paragraph" w:styleId="1102" w:customStyle="1">
    <w:name w:val="表格正文"/>
    <w:basedOn w:val="763"/>
    <w:uiPriority w:val="0"/>
    <w:qFormat/>
    <w:rPr>
      <w:rFonts w:ascii="宋体" w:hAnsi="宋体"/>
      <w:szCs w:val="21"/>
    </w:rPr>
  </w:style>
  <w:style w:type="paragraph" w:styleId="1103" w:customStyle="1">
    <w:name w:val="Coms Alinea"/>
    <w:uiPriority w:val="0"/>
    <w:qFormat/>
    <w:pPr>
      <w:widowControl w:val="off"/>
    </w:pPr>
    <w:rPr>
      <w:rFonts w:hint="default" w:ascii="Arial" w:hAnsi="Arial" w:eastAsia="宋体" w:cs="Arial"/>
      <w:lang w:val="en-US" w:eastAsia="zh-CN" w:bidi="ar-SA"/>
    </w:rPr>
  </w:style>
  <w:style w:type="paragraph" w:styleId="1104" w:customStyle="1">
    <w:name w:val="Char"/>
    <w:basedOn w:val="763"/>
    <w:uiPriority w:val="0"/>
    <w:qFormat/>
    <w:pPr>
      <w:tabs>
        <w:tab w:val="left" w:pos="360" w:leader="none"/>
      </w:tabs>
    </w:pPr>
    <w:rPr>
      <w:sz w:val="24"/>
    </w:rPr>
  </w:style>
  <w:style w:type="paragraph" w:styleId="1105" w:customStyle="1">
    <w:name w:val="标题3"/>
    <w:basedOn w:val="763"/>
    <w:next w:val="763"/>
    <w:uiPriority w:val="0"/>
    <w:qFormat/>
    <w:rPr>
      <w:rFonts w:eastAsia="方正黑体_GBK"/>
    </w:rPr>
  </w:style>
  <w:style w:type="paragraph" w:styleId="110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07" w:customStyle="1">
    <w:name w:val="BioQuote Tekst"/>
    <w:basedOn w:val="763"/>
    <w:uiPriority w:val="0"/>
    <w:qFormat/>
    <w:pPr>
      <w:ind w:right="-1"/>
    </w:pPr>
    <w:rPr>
      <w:rFonts w:ascii="Arial" w:hAnsi="Arial"/>
      <w:sz w:val="22"/>
      <w:szCs w:val="20"/>
      <w:lang w:eastAsia="en-US"/>
    </w:rPr>
  </w:style>
  <w:style w:type="paragraph" w:styleId="1108" w:customStyle="1">
    <w:name w:val="HTML 预先格式化"/>
    <w:basedOn w:val="7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09" w:customStyle="1">
    <w:name w:val="Heading11"/>
    <w:basedOn w:val="763"/>
    <w:next w:val="763"/>
    <w:uiPriority w:val="0"/>
    <w:qFormat/>
    <w:pPr>
      <w:keepNext/>
    </w:pPr>
    <w:rPr>
      <w:rFonts w:ascii="等线 Light" w:eastAsia="等线 Light"/>
      <w:sz w:val="28"/>
      <w:szCs w:val="20"/>
    </w:rPr>
  </w:style>
  <w:style w:type="paragraph" w:styleId="1110" w:customStyle="1">
    <w:name w:val="正文 第一章"/>
    <w:basedOn w:val="763"/>
    <w:next w:val="1111"/>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11" w:customStyle="1">
    <w:name w:val="正文 1.1"/>
    <w:basedOn w:val="763"/>
    <w:next w:val="1112"/>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12" w:customStyle="1">
    <w:name w:val="正文 1.1.1"/>
    <w:basedOn w:val="763"/>
    <w:next w:val="763"/>
    <w:uiPriority w:val="0"/>
    <w:qFormat/>
    <w:pPr>
      <w:numPr>
        <w:ilvl w:val="2"/>
        <w:numId w:val="1"/>
      </w:numPr>
      <w:spacing w:line="360" w:lineRule="auto"/>
      <w:outlineLvl w:val="2"/>
    </w:pPr>
    <w:rPr>
      <w:rFonts w:ascii="宋体" w:hAnsi="宋体"/>
      <w:color w:val="000000"/>
      <w:sz w:val="28"/>
      <w:szCs w:val="21"/>
    </w:rPr>
  </w:style>
  <w:style w:type="paragraph" w:styleId="1113" w:customStyle="1">
    <w:name w:val="Char Char Char Char1 Char Char Char"/>
    <w:basedOn w:val="780"/>
    <w:uiPriority w:val="0"/>
    <w:qFormat/>
    <w:pPr>
      <w:spacing w:line="360" w:lineRule="auto"/>
    </w:pPr>
    <w:rPr>
      <w:rFonts w:ascii="Tahoma" w:hAnsi="Tahoma"/>
      <w:sz w:val="24"/>
    </w:rPr>
  </w:style>
  <w:style w:type="paragraph" w:styleId="1114" w:customStyle="1">
    <w:name w:val="p0"/>
    <w:basedOn w:val="763"/>
    <w:uiPriority w:val="0"/>
    <w:qFormat/>
    <w:pPr>
      <w:jc w:val="left"/>
      <w:spacing w:before="100" w:beforeAutospacing="1" w:after="100" w:afterAutospacing="1"/>
      <w:widowControl/>
    </w:pPr>
    <w:rPr>
      <w:rFonts w:ascii="宋体" w:hAnsi="宋体" w:cs="宋体"/>
    </w:rPr>
  </w:style>
  <w:style w:type="paragraph" w:styleId="1115" w:customStyle="1">
    <w:name w:val="正文空2格  1."/>
    <w:basedOn w:val="763"/>
    <w:uiPriority w:val="0"/>
    <w:qFormat/>
    <w:pPr>
      <w:ind w:firstLine="480"/>
      <w:spacing w:line="360" w:lineRule="auto"/>
    </w:pPr>
    <w:rPr>
      <w:rFonts w:ascii="宋体" w:eastAsia="仿宋" w:cs="宋体"/>
      <w:sz w:val="28"/>
      <w:szCs w:val="20"/>
    </w:rPr>
  </w:style>
  <w:style w:type="paragraph" w:styleId="1116" w:customStyle="1">
    <w:name w:val="Char Char Char Char1 Char Char"/>
    <w:basedOn w:val="763"/>
    <w:uiPriority w:val="0"/>
    <w:qFormat/>
    <w:pPr>
      <w:tabs>
        <w:tab w:val="left" w:pos="360" w:leader="none"/>
      </w:tabs>
    </w:pPr>
    <w:rPr>
      <w:sz w:val="24"/>
    </w:rPr>
  </w:style>
  <w:style w:type="paragraph" w:styleId="1117" w:customStyle="1">
    <w:name w:val="默认段落字体 Para Char Char Char Char Char Char Char Char Char1 Char Char Char Char Char Char Char"/>
    <w:basedOn w:val="780"/>
    <w:uiPriority w:val="0"/>
    <w:qFormat/>
    <w:rPr>
      <w:rFonts w:ascii="Tahoma" w:hAnsi="Tahoma"/>
      <w:sz w:val="24"/>
    </w:rPr>
  </w:style>
  <w:style w:type="paragraph" w:styleId="1118" w:customStyle="1">
    <w:name w:val="列出段落3"/>
    <w:basedOn w:val="763"/>
    <w:uiPriority w:val="0"/>
    <w:qFormat/>
    <w:pPr>
      <w:ind w:firstLine="420"/>
    </w:pPr>
    <w:rPr>
      <w:rFonts w:ascii="Calibri" w:hAnsi="Calibri"/>
      <w:szCs w:val="22"/>
    </w:rPr>
  </w:style>
  <w:style w:type="paragraph" w:styleId="1119" w:customStyle="1">
    <w:name w:val="Char Char Char1 Char Char Char Char Char Char Char"/>
    <w:basedOn w:val="763"/>
    <w:uiPriority w:val="0"/>
    <w:qFormat/>
  </w:style>
  <w:style w:type="paragraph" w:styleId="1120" w:customStyle="1">
    <w:name w:val="正文 A"/>
    <w:next w:val="786"/>
    <w:uiPriority w:val="0"/>
    <w:qFormat/>
    <w:pPr>
      <w:jc w:val="both"/>
      <w:widowControl w:val="off"/>
    </w:pPr>
    <w:rPr>
      <w:rFonts w:hint="default" w:ascii="Calibri" w:hAnsi="Calibri" w:eastAsia="Times New Roman" w:cs="Calibri"/>
      <w:color w:val="000000"/>
      <w:sz w:val="21"/>
      <w:szCs w:val="21"/>
      <w:lang w:val="en-US" w:eastAsia="zh-CN" w:bidi="ar-SA"/>
    </w:rPr>
  </w:style>
  <w:style w:type="paragraph" w:styleId="1121" w:customStyle="1">
    <w:name w:val="标题1"/>
    <w:basedOn w:val="763"/>
    <w:next w:val="763"/>
    <w:uiPriority w:val="0"/>
    <w:qFormat/>
    <w:pPr>
      <w:jc w:val="center"/>
      <w:spacing w:line="700" w:lineRule="atLeast"/>
      <w:tabs>
        <w:tab w:val="left" w:pos="9193" w:leader="none"/>
        <w:tab w:val="left" w:pos="9827" w:leader="none"/>
      </w:tabs>
    </w:pPr>
    <w:rPr>
      <w:rFonts w:eastAsia="方正小标宋_GBK"/>
      <w:sz w:val="44"/>
    </w:rPr>
  </w:style>
  <w:style w:type="paragraph" w:styleId="1122" w:customStyle="1">
    <w:name w:val="Char1"/>
    <w:basedOn w:val="763"/>
    <w:uiPriority w:val="0"/>
    <w:qFormat/>
    <w:rPr>
      <w:rFonts w:ascii="Tahoma" w:hAnsi="Tahoma"/>
      <w:sz w:val="24"/>
      <w:szCs w:val="20"/>
    </w:rPr>
  </w:style>
  <w:style w:type="paragraph" w:styleId="112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4" w:customStyle="1">
    <w:name w:val="xl47"/>
    <w:basedOn w:val="763"/>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25" w:customStyle="1">
    <w:name w:val="第四级"/>
    <w:basedOn w:val="763"/>
    <w:next w:val="763"/>
    <w:uiPriority w:val="0"/>
    <w:qFormat/>
    <w:pPr>
      <w:numPr>
        <w:ilvl w:val="3"/>
        <w:numId w:val="1"/>
      </w:numPr>
      <w:spacing w:line="360" w:lineRule="auto"/>
    </w:pPr>
    <w:rPr>
      <w:rFonts w:ascii="宋体" w:hAnsi="宋体" w:eastAsia="仿宋"/>
      <w:sz w:val="28"/>
      <w:szCs w:val="21"/>
    </w:rPr>
  </w:style>
  <w:style w:type="paragraph" w:styleId="1126">
    <w:name w:val="List Paragraph"/>
    <w:basedOn w:val="763"/>
    <w:uiPriority w:val="0"/>
    <w:qFormat/>
    <w:pPr>
      <w:ind w:firstLine="420"/>
    </w:pPr>
    <w:rPr>
      <w:rFonts w:ascii="Calibri" w:hAnsi="Calibri"/>
      <w:szCs w:val="22"/>
    </w:rPr>
  </w:style>
  <w:style w:type="paragraph" w:styleId="1127"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28" w:customStyle="1">
    <w:name w:val="_Style 120"/>
    <w:basedOn w:val="764"/>
    <w:next w:val="763"/>
    <w:uiPriority w:val="0"/>
    <w:qFormat/>
    <w:pPr>
      <w:keepLines/>
      <w:spacing w:before="340" w:after="330" w:line="578" w:lineRule="auto"/>
      <w:outlineLvl w:val="9"/>
    </w:pPr>
    <w:rPr>
      <w:rFonts w:ascii="Times New Roman" w:eastAsia="宋体"/>
      <w:b/>
      <w:bCs/>
      <w:sz w:val="44"/>
      <w:szCs w:val="44"/>
    </w:rPr>
  </w:style>
  <w:style w:type="paragraph" w:styleId="1129" w:customStyle="1">
    <w:name w:val="Heading 41"/>
    <w:basedOn w:val="763"/>
    <w:uiPriority w:val="0"/>
    <w:qFormat/>
    <w:pPr>
      <w:jc w:val="left"/>
      <w:outlineLvl w:val="4"/>
    </w:pPr>
    <w:rPr>
      <w:rFonts w:ascii="宋体" w:hAnsi="宋体" w:cs="宋体"/>
      <w:sz w:val="32"/>
      <w:szCs w:val="32"/>
      <w:lang w:eastAsia="en-US"/>
    </w:rPr>
  </w:style>
  <w:style w:type="paragraph" w:styleId="1130" w:customStyle="1">
    <w:name w:val="Table Paragraph"/>
    <w:basedOn w:val="763"/>
    <w:uiPriority w:val="0"/>
    <w:qFormat/>
    <w:pPr>
      <w:jc w:val="left"/>
    </w:pPr>
    <w:rPr>
      <w:rFonts w:ascii="Calibri" w:hAnsi="Calibri" w:cs="Calibri"/>
      <w:sz w:val="22"/>
      <w:szCs w:val="22"/>
      <w:lang w:eastAsia="en-US"/>
    </w:rPr>
  </w:style>
  <w:style w:type="paragraph" w:styleId="1131" w:customStyle="1">
    <w:name w:val="Blockquote"/>
    <w:basedOn w:val="763"/>
    <w:uiPriority w:val="0"/>
    <w:qFormat/>
    <w:pPr>
      <w:ind w:left="360" w:right="360"/>
      <w:jc w:val="left"/>
      <w:spacing w:before="100" w:after="100"/>
    </w:pPr>
    <w:rPr>
      <w:sz w:val="24"/>
      <w:szCs w:val="20"/>
    </w:rPr>
  </w:style>
  <w:style w:type="paragraph" w:styleId="1132" w:customStyle="1">
    <w:name w:val="样式 标题 3 + (中文) 黑体 小四 非加粗 段前: 7.8 磅 段后: 0 磅 行距: 固定值 20 磅"/>
    <w:basedOn w:val="766"/>
    <w:uiPriority w:val="0"/>
    <w:qFormat/>
    <w:pPr>
      <w:spacing w:before="0" w:after="0" w:line="400" w:lineRule="exact"/>
    </w:pPr>
    <w:rPr>
      <w:rFonts w:eastAsia="黑体" w:cs="宋体"/>
      <w:b w:val="0"/>
      <w:sz w:val="24"/>
    </w:rPr>
  </w:style>
  <w:style w:type="paragraph" w:styleId="1133" w:customStyle="1">
    <w:name w:val="空半行"/>
    <w:basedOn w:val="763"/>
    <w:uiPriority w:val="0"/>
    <w:qFormat/>
    <w:pPr>
      <w:spacing w:line="120" w:lineRule="exact"/>
    </w:pPr>
    <w:rPr>
      <w:rFonts w:eastAsia="仿宋_GB2312"/>
      <w:color w:val="ffffff"/>
      <w:sz w:val="30"/>
      <w:szCs w:val="20"/>
    </w:rPr>
  </w:style>
  <w:style w:type="paragraph" w:styleId="1134" w:customStyle="1">
    <w:name w:val="flNote"/>
    <w:basedOn w:val="763"/>
    <w:uiPriority w:val="0"/>
    <w:qFormat/>
    <w:pPr>
      <w:jc w:val="center"/>
      <w:spacing w:before="320" w:after="160" w:line="360" w:lineRule="atLeast"/>
    </w:pPr>
    <w:rPr>
      <w:rFonts w:ascii="Arial" w:eastAsia="黑体"/>
      <w:sz w:val="30"/>
      <w:szCs w:val="20"/>
    </w:rPr>
  </w:style>
  <w:style w:type="paragraph" w:styleId="1135" w:customStyle="1">
    <w:name w:val="Char Char Char1 Char Char Char Char Char Char Char1"/>
    <w:basedOn w:val="763"/>
    <w:uiPriority w:val="0"/>
    <w:qFormat/>
    <w:rPr>
      <w:rFonts w:ascii="Tahoma" w:hAnsi="Tahoma"/>
      <w:sz w:val="24"/>
      <w:szCs w:val="20"/>
    </w:rPr>
  </w:style>
  <w:style w:type="paragraph" w:styleId="1136" w:customStyle="1">
    <w:name w:val="正文_1"/>
    <w:next w:val="1137"/>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首行缩进 21"/>
    <w:basedOn w:val="1138"/>
    <w:uiPriority w:val="99"/>
    <w:unhideWhenUsed/>
    <w:qFormat/>
    <w:pPr>
      <w:ind w:firstLine="420"/>
    </w:pPr>
  </w:style>
  <w:style w:type="paragraph" w:styleId="1138" w:customStyle="1">
    <w:name w:val="正文文本缩进_0"/>
    <w:basedOn w:val="1136"/>
    <w:uiPriority w:val="0"/>
    <w:qFormat/>
    <w:pPr>
      <w:ind w:firstLine="435"/>
      <w:spacing w:line="360" w:lineRule="auto"/>
    </w:pPr>
    <w:rPr>
      <w:sz w:val="24"/>
    </w:rPr>
  </w:style>
  <w:style w:type="paragraph" w:styleId="1139" w:customStyle="1">
    <w:name w:val="Normal_0"/>
    <w:uiPriority w:val="0"/>
    <w:qFormat/>
    <w:pPr>
      <w:widowControl w:val="off"/>
    </w:pPr>
    <w:rPr>
      <w:rFonts w:hint="default" w:ascii="Calibri" w:hAnsi="Calibri" w:eastAsia="宋体" w:cs="Times New Roman"/>
      <w:sz w:val="21"/>
      <w:szCs w:val="22"/>
      <w:lang w:val="en-US" w:eastAsia="zh-CN" w:bidi="ar-SA"/>
    </w:rPr>
  </w:style>
  <w:style w:type="paragraph" w:styleId="1140" w:customStyle="1">
    <w:name w:val="_Style 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42" w:customStyle="1">
    <w:name w:val="样式 标题 2 + 黑色 行距: 1.5 倍行距"/>
    <w:basedOn w:val="765"/>
    <w:uiPriority w:val="0"/>
    <w:qFormat/>
    <w:pPr>
      <w:jc w:val="both"/>
      <w:spacing w:line="360" w:lineRule="auto"/>
    </w:pPr>
    <w:rPr>
      <w:rFonts w:eastAsia="宋体" w:cs="宋体"/>
      <w:bCs/>
      <w:color w:val="000000"/>
      <w:sz w:val="32"/>
      <w:szCs w:val="32"/>
    </w:rPr>
  </w:style>
  <w:style w:type="paragraph" w:styleId="1143"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4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纯文本1_0"/>
    <w:basedOn w:val="763"/>
    <w:uiPriority w:val="0"/>
    <w:qFormat/>
    <w:rPr>
      <w:rFonts w:ascii="宋体" w:hAnsi="Courier New"/>
      <w:sz w:val="28"/>
    </w:rPr>
  </w:style>
  <w:style w:type="paragraph" w:styleId="114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纯文本1_0_0"/>
    <w:basedOn w:val="763"/>
    <w:uiPriority w:val="0"/>
    <w:qFormat/>
    <w:rPr>
      <w:rFonts w:ascii="宋体" w:hAnsi="Courier New"/>
      <w:sz w:val="28"/>
    </w:rPr>
  </w:style>
  <w:style w:type="paragraph" w:styleId="1148" w:customStyle="1">
    <w:name w:val="正文_13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Normal_12"/>
    <w:uiPriority w:val="0"/>
    <w:qFormat/>
    <w:rPr>
      <w:rFonts w:hint="default" w:ascii="黑体" w:hAnsi="黑体" w:eastAsia="黑体" w:cs="Times New Roman"/>
      <w:b/>
      <w:sz w:val="32"/>
      <w:szCs w:val="24"/>
      <w:lang w:val="en-US" w:eastAsia="zh-CN" w:bidi="ar-SA"/>
    </w:rPr>
  </w:style>
  <w:style w:type="character" w:styleId="1150" w:customStyle="1">
    <w:name w:val="NormalCharacter1"/>
    <w:uiPriority w:val="0"/>
    <w:qFormat/>
  </w:style>
  <w:style w:type="paragraph" w:styleId="1151" w:customStyle="1">
    <w:name w:val="标题 31"/>
    <w:basedOn w:val="763"/>
    <w:next w:val="776"/>
    <w:link w:val="1152"/>
    <w:uiPriority w:val="0"/>
    <w:qFormat/>
    <w:pPr>
      <w:keepLines/>
      <w:keepNext/>
      <w:spacing w:before="260" w:after="260" w:line="416" w:lineRule="auto"/>
      <w:outlineLvl w:val="2"/>
    </w:pPr>
    <w:rPr>
      <w:b/>
      <w:bCs/>
      <w:sz w:val="32"/>
      <w:szCs w:val="32"/>
    </w:rPr>
  </w:style>
  <w:style w:type="character" w:styleId="1152" w:customStyle="1">
    <w:name w:val="标题 3 字符1"/>
    <w:link w:val="1151"/>
    <w:uiPriority w:val="0"/>
    <w:qFormat/>
    <w:rPr>
      <w:rFonts w:ascii="Times New Roman" w:hAnsi="Times New Roman" w:eastAsia="宋体" w:cs="Times New Roman"/>
      <w:b/>
      <w:bCs/>
      <w:sz w:val="32"/>
      <w:szCs w:val="32"/>
    </w:rPr>
  </w:style>
  <w:style w:type="character" w:styleId="1153" w:customStyle="1">
    <w:name w:val="样式1 Char"/>
    <w:basedOn w:val="773"/>
    <w:uiPriority w:val="0"/>
    <w:qFormat/>
    <w:rPr>
      <w:b/>
      <w:bCs/>
    </w:rPr>
  </w:style>
  <w:style w:type="character" w:styleId="1154" w:customStyle="1">
    <w:name w:val="正文缩进 Char1"/>
    <w:uiPriority w:val="0"/>
    <w:qFormat/>
    <w:rPr>
      <w:rFonts w:eastAsia="宋体"/>
      <w:sz w:val="21"/>
      <w:lang w:val="en-US" w:eastAsia="zh-CN" w:bidi="ar-SA"/>
    </w:rPr>
  </w:style>
  <w:style w:type="paragraph" w:styleId="1155" w:customStyle="1">
    <w:name w:val="首行缩进"/>
    <w:basedOn w:val="763"/>
    <w:uiPriority w:val="0"/>
    <w:qFormat/>
    <w:pPr>
      <w:ind w:firstLine="480"/>
      <w:spacing w:line="360" w:lineRule="auto"/>
    </w:pPr>
    <w:rPr>
      <w:rFonts w:ascii="宋体" w:hAnsi="宋体" w:cs="宋体"/>
      <w:sz w:val="24"/>
    </w:rPr>
  </w:style>
  <w:style w:type="character" w:styleId="1156" w:customStyle="1">
    <w:name w:val="正文文本 Char2"/>
    <w:uiPriority w:val="0"/>
    <w:qFormat/>
    <w:rPr>
      <w:rFonts w:ascii="楷体_GB2312" w:hAnsi="Arial" w:eastAsia="楷体_GB2312"/>
      <w:sz w:val="28"/>
    </w:rPr>
  </w:style>
  <w:style w:type="paragraph" w:styleId="1157" w:customStyle="1">
    <w:name w:val="正文缩进1"/>
    <w:basedOn w:val="763"/>
    <w:uiPriority w:val="0"/>
    <w:qFormat/>
    <w:pPr>
      <w:ind w:firstLine="420"/>
    </w:pPr>
    <w:rPr>
      <w:szCs w:val="20"/>
    </w:rPr>
  </w:style>
  <w:style w:type="character" w:styleId="1158" w:customStyle="1">
    <w:name w:val="cf01"/>
    <w:basedOn w:val="773"/>
    <w:uiPriority w:val="0"/>
    <w:qFormat/>
    <w:rPr>
      <w:rFonts w:hint="eastAsia" w:ascii="Microsoft YaHei UI" w:hAnsi="Microsoft YaHei UI" w:eastAsia="Microsoft YaHei UI"/>
      <w:sz w:val="18"/>
      <w:szCs w:val="18"/>
    </w:rPr>
  </w:style>
  <w:style w:type="character" w:styleId="1159" w:customStyle="1">
    <w:name w:val="Unresolved Mention"/>
    <w:basedOn w:val="773"/>
    <w:uiPriority w:val="99"/>
    <w:semiHidden/>
    <w:unhideWhenUsed/>
    <w:qFormat/>
    <w:rPr>
      <w:color w:val="605e5c"/>
      <w:shd w:val="clear" w:color="auto" w:fill="e1dfdd"/>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陈利燕</cp:lastModifiedBy>
  <cp:revision>57</cp:revision>
  <dcterms:created xsi:type="dcterms:W3CDTF">2024-10-19T02:42:00Z</dcterms:created>
  <dcterms:modified xsi:type="dcterms:W3CDTF">2026-07-10T00:07:58Z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E992D2B0478F491BAB8BFC12766E73B5_13</vt:lpwstr>
  </property>
  <property fmtid="{D5CDD505-2E9C-101B-9397-08002B2CF9AE}" pid="4" name="KSOTemplateDocerSaveRecord">
    <vt:lpwstr>eyJoZGlkIjoiY2I3YWE1ODRmMjhhYjQwODY2ZDAzMzU0MTAzNzkyZmEiLCJ1c2VySWQiOiI3MTgyMDQ2In0=</vt:lpwstr>
  </property>
</Properties>
</file>