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keepLines w:val="0"/>
        <w:keepNext w:val="0"/>
        <w:pageBreakBefore w:val="0"/>
        <w:spacing w:before="120" w:beforeAutospacing="0" w:after="120" w:afterAutospacing="0" w:line="360" w:lineRule="auto"/>
        <w:widowControl w:val="off"/>
        <w:rPr>
          <w:highlight w:val="none"/>
        </w:rPr>
      </w:pPr>
      <w:r>
        <w:rPr>
          <w:highlight w:val="none"/>
        </w:rPr>
        <w:t xml:space="preserve"> </w:t>
      </w:r>
      <w:r/>
    </w:p>
    <w:p>
      <w:pPr>
        <w:pStyle w:val="661"/>
        <w:keepLines w:val="0"/>
        <w:keepNext w:val="0"/>
        <w:pageBreakBefore w:val="0"/>
        <w:spacing w:before="120" w:beforeAutospacing="0" w:after="120" w:afterAutospacing="0" w:line="360" w:lineRule="auto"/>
        <w:widowControl w:val="off"/>
        <w:rPr>
          <w:highlight w:val="none"/>
        </w:rPr>
      </w:pPr>
      <w:r>
        <w:rPr>
          <w:highlight w:val="none"/>
        </w:rPr>
      </w:r>
      <w:r/>
    </w:p>
    <w:p>
      <w:pPr>
        <w:pStyle w:val="661"/>
        <w:jc w:val="center"/>
        <w:keepLines w:val="0"/>
        <w:keepNext w:val="0"/>
        <w:pageBreakBefore w:val="0"/>
        <w:spacing w:before="120" w:beforeAutospacing="0" w:after="12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61"/>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661"/>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661"/>
        <w:keepLines w:val="0"/>
        <w:keepNext w:val="0"/>
        <w:pageBreakBefore w:val="0"/>
        <w:spacing w:before="120" w:beforeAutospacing="0" w:after="120" w:afterAutospacing="0" w:line="360" w:lineRule="auto"/>
        <w:widowControl w:val="off"/>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江苏滨海经济开发区沿海工业园地下水污染风险管控第三方效果评估服务项目</w:t>
      </w:r>
      <w:r/>
    </w:p>
    <w:p>
      <w:pPr>
        <w:pStyle w:val="661"/>
        <w:jc w:val="both"/>
        <w:keepLines w:val="0"/>
        <w:keepNext w:val="0"/>
        <w:pageBreakBefore w:val="0"/>
        <w:spacing w:beforeAutospacing="0" w:afterAutospacing="0"/>
        <w:widowControl w:val="off"/>
        <w:rPr>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JSZC-320922-YCSH-G2026-0005</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661"/>
        <w:jc w:val="center"/>
        <w:keepLines w:val="0"/>
        <w:keepNext w:val="0"/>
        <w:pageBreakBefore w:val="0"/>
        <w:spacing w:before="120" w:beforeAutospacing="0" w:after="120" w:afterAutospacing="0" w:line="360" w:lineRule="auto"/>
        <w:widowControl w:val="off"/>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江苏滨海经济开发区沿海工业园管理委员会</w:t>
      </w:r>
      <w:r/>
    </w:p>
    <w:p>
      <w:pPr>
        <w:pStyle w:val="661"/>
        <w:jc w:val="center"/>
        <w:keepLines w:val="0"/>
        <w:keepNext w:val="0"/>
        <w:pageBreakBefore w:val="0"/>
        <w:spacing w:before="120" w:beforeAutospacing="0" w:after="120" w:afterAutospacing="0" w:line="360" w:lineRule="auto"/>
        <w:widowControl w:val="off"/>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8</w:t>
      </w:r>
      <w:r>
        <w:rPr>
          <w:rFonts w:ascii="Arial" w:hAnsi="Arial" w:cs="Arial"/>
          <w:b/>
          <w:color w:val="auto"/>
          <w:sz w:val="32"/>
          <w:szCs w:val="32"/>
          <w:highlight w:val="none"/>
        </w:rPr>
        <w:t xml:space="preserve">月</w:t>
      </w:r>
      <w:r/>
    </w:p>
    <w:p>
      <w:pPr>
        <w:pStyle w:val="661"/>
        <w:keepLines w:val="0"/>
        <w:keepNext w:val="0"/>
        <w:pageBreakBefore w:val="0"/>
        <w:spacing w:before="120" w:beforeAutospacing="0" w:after="120" w:afterAutospacing="0" w:line="360" w:lineRule="auto"/>
        <w:widowControl w:val="off"/>
        <w:rPr>
          <w:color w:val="auto"/>
          <w:highlight w:val="none"/>
        </w:rPr>
      </w:pPr>
      <w:r>
        <w:rPr>
          <w:rFonts w:ascii="Arial" w:hAnsi="Arial" w:cs="Arial"/>
          <w:color w:val="auto"/>
          <w:highlight w:val="none"/>
        </w:rPr>
        <w:t xml:space="preserve">                        </w:t>
      </w:r>
      <w:r/>
    </w:p>
    <w:p>
      <w:pPr>
        <w:pStyle w:val="661"/>
        <w:jc w:val="center"/>
        <w:keepLines w:val="0"/>
        <w:keepNext w:val="0"/>
        <w:pageBreakBefore w:val="0"/>
        <w:spacing w:before="120" w:beforeAutospacing="0" w:after="120" w:afterAutospacing="0" w:line="360" w:lineRule="auto"/>
        <w:widowControl w:val="off"/>
        <w:rPr>
          <w:highlight w:val="none"/>
        </w:rPr>
      </w:pPr>
      <w:r>
        <w:rPr>
          <w:highlight w:val="none"/>
        </w:rPr>
        <w:t xml:space="preserve"> </w:t>
      </w:r>
      <w:r/>
    </w:p>
    <w:p>
      <w:pPr>
        <w:pStyle w:val="661"/>
        <w:jc w:val="center"/>
        <w:keepLines w:val="0"/>
        <w:keepNext w:val="0"/>
        <w:pageBreakBefore w:val="0"/>
        <w:spacing w:beforeAutospacing="0" w:afterAutospacing="0" w:line="480" w:lineRule="auto"/>
        <w:widowControl w:val="off"/>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16938516"/>
      <w:r/>
      <w:bookmarkStart w:id="2" w:name="_Toc120614210"/>
      <w:r/>
      <w:bookmarkStart w:id="3" w:name="_Toc479757206"/>
      <w:r/>
      <w:bookmarkStart w:id="4" w:name="_Toc523127445"/>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1"/>
        <w:jc w:val="both"/>
        <w:keepLines w:val="0"/>
        <w:keepNext w:val="0"/>
        <w:pageBreakBefore w:val="0"/>
        <w:spacing w:beforeAutospacing="0" w:afterAutospacing="0" w:line="480" w:lineRule="auto"/>
        <w:widowControl w:val="off"/>
        <w:rPr>
          <w:highlight w:val="none"/>
        </w:rPr>
      </w:pPr>
      <w:r>
        <w:rPr>
          <w:highlight w:val="none"/>
        </w:rPr>
        <w:t xml:space="preserve"> </w:t>
      </w:r>
      <w:r/>
    </w:p>
    <w:p>
      <w:pPr>
        <w:pStyle w:val="661"/>
        <w:ind w:left="216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p>
    <w:p>
      <w:pPr>
        <w:pStyle w:val="661"/>
        <w:ind w:left="2160" w:hanging="144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61"/>
        <w:ind w:left="2160" w:hanging="144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61"/>
        <w:ind w:left="2160" w:hanging="144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61"/>
        <w:ind w:left="2160" w:hanging="144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61"/>
        <w:ind w:left="2160" w:hanging="144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r>
        <w:rPr>
          <w:highlight w:val="none"/>
        </w:rPr>
      </w:r>
      <w:r/>
      <w:r>
        <w:rPr>
          <w:highlight w:val="none"/>
        </w:rPr>
      </w:r>
      <w:r>
        <w:rPr>
          <w:highlight w:val="none"/>
        </w:rPr>
        <w:t xml:space="preserve"> </w:t>
      </w:r>
      <w:r/>
      <w:r>
        <w:rPr>
          <w:highlight w:val="none"/>
        </w:rPr>
      </w:r>
    </w:p>
    <w:p>
      <w:pPr>
        <w:pStyle w:val="661"/>
        <w:jc w:val="center"/>
        <w:keepLines w:val="0"/>
        <w:keepNext w:val="0"/>
        <w:pageBreakBefore w:val="0"/>
        <w:spacing w:beforeAutospacing="0" w:afterAutospacing="0"/>
        <w:widowControl w:val="off"/>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江苏滨海经济开发区沿海工业园地下水污染风险管控第三方效果评估服务项目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bookmarkStart w:id="204" w:name="_GoBack"/>
      <w:r/>
      <w:bookmarkEnd w:id="204"/>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1.项目编号：JSZC-320922-YCSH-G2026-0005</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江苏滨海经济开发区沿海工业园地下水污染风险管控第三方效果评估服务项目</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233.05万元</w:t>
      </w:r>
      <w:r/>
    </w:p>
    <w:p>
      <w:pPr>
        <w:pStyle w:val="661"/>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233.05万元</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.采购需求（简介）：根据生态环境部《化工园区地下水污染专项整治工作方案》要求和园区地下水环境状况调查评估结果，江苏滨海经济开发</w:t>
      </w:r>
      <w:r>
        <w:rPr>
          <w:rFonts w:hint="eastAsia" w:ascii="宋体" w:hAnsi="宋体" w:eastAsia="宋体" w:cs="宋体"/>
          <w:color w:val="auto"/>
          <w:sz w:val="24"/>
          <w:szCs w:val="24"/>
          <w:highlight w:val="none"/>
        </w:rPr>
        <w:t xml:space="preserve">区沿海工业园亟需开展地下水污染风险管控及相关配套服务等工作，拟通过政府采购聘请第三方效果评估单位。效果评估具体工作包括：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果评估报告，通过生态环境主管部门规定的风险管控效果评估报告专家评审等。（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风险管控服务单位申请验收效果评估后至完成污染土壤及地下水风险管控效果评估（出具验收报告或者风险管控效果评估报告，包含完成验收实施方案编制并且通过专家论证评审）以及地下水等环境介质长期监测期（1年）结束。</w:t>
      </w:r>
      <w:r/>
    </w:p>
    <w:p>
      <w:pPr>
        <w:pStyle w:val="661"/>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是</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否）接受联合体参与</w:t>
      </w:r>
      <w:r>
        <w:rPr>
          <w:rFonts w:hint="eastAsia" w:ascii="宋体" w:hAnsi="宋体" w:eastAsia="宋体" w:cs="宋体"/>
          <w:color w:val="auto"/>
          <w:sz w:val="24"/>
          <w:szCs w:val="24"/>
          <w:highlight w:val="none"/>
          <w:lang w:val="en-US" w:eastAsia="zh-CN"/>
        </w:rPr>
        <w:t xml:space="preserve">招标：是（联合体成员合计不得超过2家）。</w:t>
      </w:r>
      <w:r/>
    </w:p>
    <w:p>
      <w:pPr>
        <w:pStyle w:val="661"/>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9.本项目是否专门面向中小企业采购项目：</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lang w:val="en-US" w:eastAsia="zh-CN"/>
        </w:rPr>
        <w:t xml:space="preserve">。（执行政府采购小微企业价格扣除政策优惠）</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28359080"/>
      <w:r/>
      <w:bookmarkStart w:id="13" w:name="_Toc35393791"/>
      <w:r/>
      <w:bookmarkStart w:id="14" w:name="_Toc28359003"/>
      <w:r/>
      <w:bookmarkStart w:id="15" w:name="_Toc35393622"/>
      <w:r/>
      <w:bookmarkStart w:id="16" w:name="_Toc38985264"/>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w:t>
      </w:r>
      <w:r>
        <w:rPr>
          <w:rFonts w:hint="eastAsia" w:ascii="宋体" w:hAnsi="宋体" w:eastAsia="宋体" w:cs="宋体"/>
          <w:b w:val="0"/>
          <w:bCs w:val="0"/>
          <w:color w:val="auto"/>
          <w:sz w:val="24"/>
          <w:szCs w:val="24"/>
          <w:highlight w:val="none"/>
        </w:rPr>
        <w:t xml:space="preserve">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szCs w:val="24"/>
          <w:highlight w:val="none"/>
        </w:rPr>
        <w:t xml:space="preserve">单位负责人为同一人或者存在直接控股、管理关系的不同供应商，不得参加同一合同项下的政府采购活动。</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落实政府采购政策需满足的资格要求：无</w:t>
      </w:r>
      <w:r>
        <w:rPr>
          <w:rFonts w:hint="eastAsia" w:ascii="宋体" w:hAnsi="宋体" w:eastAsia="宋体" w:cs="宋体"/>
          <w:b w:val="0"/>
          <w:bCs w:val="0"/>
          <w:color w:val="auto"/>
          <w:sz w:val="24"/>
          <w:szCs w:val="24"/>
          <w:highlight w:val="none"/>
          <w:lang w:eastAsia="zh-CN"/>
        </w:rPr>
        <w:t xml:space="preserve">。</w:t>
      </w:r>
      <w:r/>
    </w:p>
    <w:p>
      <w:pPr>
        <w:pStyle w:val="661"/>
        <w:ind w:left="0" w:right="0"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本项目的特定资格要求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无</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28359082"/>
      <w:r/>
      <w:bookmarkStart w:id="18" w:name="_Toc35393624"/>
      <w:r/>
      <w:bookmarkStart w:id="19" w:name="_Toc35393793"/>
      <w:r/>
      <w:bookmarkStart w:id="20" w:name="_Toc28359005"/>
      <w:r/>
      <w:bookmarkStart w:id="21"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2026年9月8日09时00分00秒</w:t>
      </w:r>
      <w:r>
        <w:rPr>
          <w:rFonts w:hint="eastAsia" w:ascii="宋体" w:hAnsi="宋体" w:eastAsia="宋体" w:cs="宋体"/>
          <w:color w:val="auto"/>
          <w:sz w:val="24"/>
          <w:szCs w:val="24"/>
          <w:highlight w:val="none"/>
          <w:lang w:val="en-US" w:eastAsia="zh-CN" w:bidi="ar-SA"/>
        </w:rPr>
        <w:t xml:space="preserve">（北京时间）</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22" w:name="_Toc35393625"/>
      <w:r/>
      <w:bookmarkStart w:id="23" w:name="_Toc38985267"/>
      <w:r/>
      <w:bookmarkStart w:id="24" w:name="_Toc28359084"/>
      <w:r/>
      <w:bookmarkStart w:id="25" w:name="_Toc28359007"/>
      <w:r/>
      <w:bookmarkStart w:id="26" w:name="_Toc3539379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61"/>
        <w:ind w:left="0" w:right="0"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61"/>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1"/>
        <w:ind w:left="0" w:right="0"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661"/>
        <w:ind w:left="0" w:right="0"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8"/>
        <w:ind w:left="0" w:right="0" w:firstLine="42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w:t>
      </w:r>
      <w:r>
        <w:rPr>
          <w:rFonts w:hint="eastAsia" w:cs="宋体"/>
          <w:b/>
          <w:bCs/>
          <w:i w:val="0"/>
          <w:iCs w:val="0"/>
          <w:caps w:val="0"/>
          <w:color w:val="auto"/>
          <w:spacing w:val="0"/>
          <w:sz w:val="24"/>
          <w:szCs w:val="24"/>
          <w:highlight w:val="none"/>
          <w:u w:val="none"/>
          <w:shd w:val="clear" w:color="auto" w:fill="ffffff"/>
          <w:lang w:val="en-US" w:eastAsia="zh-CN"/>
        </w:rPr>
        <w:t xml:space="preserve">等</w:t>
      </w:r>
      <w:r>
        <w:rPr>
          <w:rFonts w:hint="eastAsia" w:ascii="宋体" w:hAnsi="宋体" w:eastAsia="宋体" w:cs="宋体"/>
          <w:b/>
          <w:bCs/>
          <w:i w:val="0"/>
          <w:iCs w:val="0"/>
          <w:caps w:val="0"/>
          <w:color w:val="auto"/>
          <w:spacing w:val="0"/>
          <w:sz w:val="24"/>
          <w:szCs w:val="24"/>
          <w:highlight w:val="none"/>
          <w:u w:val="none"/>
          <w:shd w:val="clear" w:color="auto" w:fill="ffffff"/>
        </w:rPr>
        <w:t xml:space="preserve">，请按以下方式联系。</w:t>
      </w:r>
      <w:bookmarkEnd w:id="30"/>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bookmarkStart w:id="31" w:name="_Toc28359009"/>
      <w:r>
        <w:rPr>
          <w:rFonts w:hint="eastAsia" w:ascii="宋体" w:hAnsi="宋体" w:eastAsia="宋体" w:cs="宋体"/>
          <w:color w:val="333333"/>
          <w:sz w:val="24"/>
          <w:szCs w:val="24"/>
          <w:shd w:val="clear" w:color="auto" w:fill="ffffff"/>
          <w:lang w:val="en-US" w:eastAsia="zh-CN" w:bidi="ar-SA"/>
        </w:rPr>
        <w:t xml:space="preserve">1.采购人信息</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单位名称：江苏滨海经济开发区沿海工业园管理委员会</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单位地址：滨海县滨淮镇头罾村（盐城市沿海化工园区）</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 系 人：郑先生</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联系电话：13961946499</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2.采购代理机构信息（如有）</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名 称：盐城市弘盛招标代理有限公司</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地 址：滨海县政务服务中心2楼F区2112室</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联系人：臧先生                     </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联系方式：18052978738                   </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3.项目联系方式</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项目联系人：臧先生</w:t>
      </w:r>
      <w:r/>
    </w:p>
    <w:p>
      <w:pPr>
        <w:ind w:firstLine="480"/>
        <w:jc w:val="both"/>
        <w:spacing w:beforeAutospacing="0" w:afterAutospacing="0" w:line="360" w:lineRule="auto"/>
        <w:shd w:val="clear" w:color="auto" w:fill="ffffff"/>
        <w:widowControl w:val="off"/>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联系电话：18052978738　　　</w:t>
      </w:r>
      <w:r/>
    </w:p>
    <w:p>
      <w:pPr>
        <w:pStyle w:val="661"/>
        <w:ind w:left="0" w:right="0"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highlight w:val="none"/>
        </w:rPr>
      </w:pPr>
      <w:r/>
      <w:bookmarkStart w:id="32" w:name="_Toc120614211"/>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7" w:name="_Toc120614214"/>
      <w:r/>
      <w:bookmarkStart w:id="38" w:name="_Toc513029203"/>
      <w:r/>
      <w:bookmarkStart w:id="39" w:name="_Toc20823275"/>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513029204"/>
      <w:r/>
      <w:bookmarkStart w:id="44" w:name="_Toc20823276"/>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6" w:name="_Toc513029205"/>
      <w:r/>
      <w:bookmarkStart w:id="47" w:name="_Toc16938521"/>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2.3如接受联合体投标的，需满足：</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（1）联合体成员数量不得超过2名。</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联合体各方必须签订联合体投标协议，必须明确指定牵头方，明确约定各方职责分工，并将该联合投标协议随投标文件一并提交。联合体牵头方可被授权作为联合体所有成员的代表承担责任、统筹工作、参加招投标活动和接受指令，并负责整个合同的全面履行。联合体投标的，由联合体牵头方负责招投标活动的获取招标文件等手续，具体详见招标文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（3）联合体各方签订共同投标协议后，不得再以自己名义单独在同一项目中投标，也不得组成新的联合体参加同一项目投标。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（4）联合体任意一方不得处于被责令停业、财产被接管、冻结和破产状态，以及投标资格被取消或者被暂停且在暂停期内。</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单位负责人为同一人或者存在直接控股、管理关系的不同供应商成员中，如某一供应商成员已参加本项目采购活动，则与其存在前述关系的供应商成员均不得单独或与其他供应商组成联合体参加本项目的招标活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（6）联合体投标协议书格式及内容由投标人自拟，但须明确职责分工。</w:t>
      </w:r>
      <w:r/>
    </w:p>
    <w:p>
      <w:pPr>
        <w:pStyle w:val="661"/>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（7）如联合体投标的，项目负责人必须为牵头单位正式职工。</w:t>
      </w:r>
      <w:r/>
    </w:p>
    <w:p>
      <w:pPr>
        <w:ind w:left="0" w:firstLine="480"/>
        <w:keepLines w:val="0"/>
        <w:keepNext w:val="0"/>
        <w:pageBreakBefore w:val="0"/>
        <w:spacing w:line="360" w:lineRule="auto"/>
        <w:widowControl w:val="off"/>
        <w:rPr>
          <w:rFonts w:hint="eastAsia" w:ascii="方正魏碑_GBK" w:hAnsi="方正魏碑_GBK" w:eastAsia="方正魏碑_GBK" w:cs="方正魏碑_GBK"/>
          <w:color w:val="auto"/>
          <w:sz w:val="24"/>
          <w:szCs w:val="21"/>
        </w:rPr>
      </w:pPr>
      <w:r/>
      <w:bookmarkStart w:id="49" w:name="_Toc513029206"/>
      <w:r/>
      <w:bookmarkStart w:id="50" w:name="_Toc16938522"/>
      <w:r/>
      <w:bookmarkStart w:id="51" w:name="_Toc20823278"/>
      <w:r/>
      <w:bookmarkStart w:id="52" w:name="_Toc513029207"/>
      <w:r/>
      <w:bookmarkStart w:id="53" w:name="_Toc16938523"/>
      <w:r/>
      <w:bookmarkStart w:id="54" w:name="_Toc20823279"/>
      <w:r/>
      <w:bookmarkStart w:id="55" w:name="_Toc462564067"/>
      <w:r>
        <w:rPr>
          <w:rFonts w:hint="eastAsia" w:ascii="方正魏碑_GBK" w:hAnsi="方正魏碑_GBK" w:eastAsia="方正魏碑_GBK" w:cs="方正魏碑_GBK"/>
          <w:color w:val="auto"/>
          <w:sz w:val="24"/>
          <w:szCs w:val="21"/>
        </w:rPr>
        <w:t xml:space="preserve">3、适用法律</w:t>
      </w:r>
      <w:bookmarkEnd w:id="49"/>
      <w:r/>
      <w:bookmarkEnd w:id="50"/>
      <w:r/>
      <w:bookmarkEnd w:id="51"/>
      <w:r>
        <w:rPr>
          <w:rFonts w:hint="eastAsia" w:ascii="方正魏碑_GBK" w:hAnsi="方正魏碑_GBK" w:eastAsia="方正魏碑_GBK" w:cs="方正魏碑_GBK"/>
          <w:color w:val="auto"/>
          <w:sz w:val="24"/>
          <w:szCs w:val="21"/>
        </w:rPr>
        <w:t xml:space="preserve">和标准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61"/>
        <w:ind w:firstLine="480"/>
        <w:jc w:val="both"/>
        <w:keepLines w:val="0"/>
        <w:keepNext w:val="0"/>
        <w:pageBreakBefore w:val="0"/>
        <w:spacing w:beforeAutospacing="0" w:afterAutospacing="0"/>
        <w:widowControl w:val="off"/>
        <w:rPr>
          <w:rFonts w:hint="eastAsia" w:ascii="宋体" w:hAnsi="宋体" w:eastAsia="宋体" w:cs="宋体"/>
          <w:color w:val="auto"/>
        </w:rPr>
      </w:pPr>
      <w:r>
        <w:rPr>
          <w:rFonts w:hint="eastAsia" w:ascii="宋体" w:hAnsi="宋体" w:eastAsia="宋体" w:cs="宋体"/>
          <w:color w:val="auto"/>
        </w:rPr>
        <w:t xml:space="preserve">4.2本次招标采购中心和采购人不收取标书工本费与中标服务费。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5、招标文件的约束力</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16938525"/>
      <w:r/>
      <w:bookmarkStart w:id="57" w:name="_Toc513029209"/>
      <w:r/>
      <w:bookmarkStart w:id="58" w:name="_Toc20823281"/>
      <w:r/>
      <w:bookmarkStart w:id="59" w:name="_Toc12061421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0" w:name="_Toc20823282"/>
      <w:r/>
      <w:bookmarkStart w:id="61" w:name="_Toc16938526"/>
      <w:r/>
      <w:bookmarkStart w:id="62" w:name="_Toc513029210"/>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16938527"/>
      <w:r/>
      <w:bookmarkStart w:id="64" w:name="_Toc20823283"/>
      <w:r/>
      <w:bookmarkStart w:id="65" w:name="_Toc513029211"/>
      <w:r/>
      <w:bookmarkStart w:id="66" w:name="_Toc462564070"/>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7" w:name="_Toc462564071"/>
      <w:r/>
      <w:bookmarkStart w:id="68" w:name="_Toc16938528"/>
      <w:r/>
      <w:bookmarkStart w:id="69" w:name="_Toc513029212"/>
      <w:r/>
      <w:bookmarkStart w:id="70" w:name="_Toc20823284"/>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1" w:name="_Toc513029213"/>
      <w:r/>
      <w:bookmarkStart w:id="72" w:name="_Toc120614216"/>
      <w:r/>
      <w:bookmarkStart w:id="73" w:name="_Toc20823285"/>
      <w:r/>
      <w:bookmarkStart w:id="74" w:name="_Toc462564072"/>
      <w:r/>
      <w:bookmarkStart w:id="75" w:name="_Toc16938529"/>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6" w:name="_Toc16938530"/>
      <w:r/>
      <w:bookmarkStart w:id="77" w:name="_Toc20823286"/>
      <w:r/>
      <w:bookmarkStart w:id="78" w:name="_Toc462564073"/>
      <w:r/>
      <w:bookmarkStart w:id="79" w:name="_Toc513029214"/>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0" w:name="_Toc16938531"/>
      <w:r/>
      <w:bookmarkStart w:id="81" w:name="_Toc20823287"/>
      <w:r/>
      <w:bookmarkStart w:id="82" w:name="_Toc462564074"/>
      <w:r/>
      <w:bookmarkStart w:id="83" w:name="_Toc513029215"/>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4" w:name="_Toc513029219"/>
      <w:r/>
      <w:bookmarkStart w:id="85" w:name="_Toc49090509"/>
      <w:r/>
      <w:bookmarkStart w:id="86" w:name="_Toc49090507"/>
      <w:r/>
      <w:bookmarkStart w:id="87" w:name="_Toc14577357"/>
      <w:r/>
      <w:bookmarkStart w:id="88" w:name="_Toc513029216"/>
      <w:r/>
      <w:bookmarkStart w:id="89" w:name="_Toc14577354"/>
      <w:r/>
      <w:bookmarkStart w:id="90" w:name="_Hlt26670360"/>
      <w:r/>
      <w:bookmarkStart w:id="91" w:name="_Hlt26954838"/>
      <w:r/>
      <w:bookmarkStart w:id="92" w:name="_Hlt26668975"/>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3"/>
      <w:r/>
      <w:bookmarkEnd w:id="94"/>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61"/>
        <w:ind w:firstLine="480"/>
        <w:spacing w:beforeAutospacing="0" w:afterAutospacing="0" w:line="360" w:lineRule="auto"/>
        <w:rPr>
          <w:rFonts w:hint="eastAsia" w:ascii="宋体" w:hAnsi="宋体" w:eastAsia="宋体" w:cs="宋体"/>
        </w:rPr>
      </w:pPr>
      <w:r>
        <w:rPr>
          <w:rFonts w:hint="eastAsia" w:ascii="宋体" w:hAnsi="宋体" w:eastAsia="宋体" w:cs="宋体"/>
          <w:color w:val="auto"/>
          <w:sz w:val="24"/>
          <w:szCs w:val="24"/>
          <w:highlight w:val="none"/>
          <w:lang w:val="en-US" w:eastAsia="zh-CN"/>
        </w:rPr>
        <w:t xml:space="preserve">12.3 </w:t>
      </w:r>
      <w:r>
        <w:rPr>
          <w:rFonts w:hint="eastAsia" w:ascii="宋体" w:hAnsi="宋体" w:eastAsia="宋体" w:cs="宋体"/>
        </w:rPr>
        <w:t xml:space="preserve">本项目的中标人在领取中标通知书前，须向采购代理机构盐城市弘盛招标代理有限公司支付招标代理服务费，招标代理服务费</w:t>
      </w:r>
      <w:r>
        <w:rPr>
          <w:rFonts w:hint="eastAsia" w:ascii="宋体" w:hAnsi="宋体" w:eastAsia="宋体" w:cs="宋体"/>
          <w:lang w:val="en-US" w:eastAsia="zh-CN"/>
        </w:rPr>
        <w:t xml:space="preserve">收费标准根据《江苏省政府采购代理服务收费指导意见》(苏政采协〔2024]20号)标准进行收取；收取</w:t>
      </w:r>
      <w:r>
        <w:rPr>
          <w:rFonts w:hint="eastAsia" w:ascii="宋体" w:hAnsi="宋体" w:eastAsia="宋体" w:cs="宋体"/>
        </w:rPr>
        <w:t xml:space="preserve">人民币</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20000</w:t>
      </w:r>
      <w:r>
        <w:rPr>
          <w:rFonts w:hint="eastAsia" w:ascii="宋体" w:hAnsi="宋体" w:eastAsia="宋体" w:cs="宋体"/>
          <w:u w:val="single"/>
        </w:rPr>
        <w:t xml:space="preserve"> </w:t>
      </w:r>
      <w:r>
        <w:rPr>
          <w:rFonts w:hint="eastAsia" w:ascii="宋体" w:hAnsi="宋体" w:eastAsia="宋体" w:cs="宋体"/>
        </w:rPr>
        <w:t xml:space="preserve">元，上述费用由各投标人在投标时自行综合考虑分摊含进投标报价中，且不得单列，采购人不承担此费用。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8" w:name="_Hlt26954844"/>
      <w:r/>
      <w:bookmarkStart w:id="99" w:name="_Hlt26670486"/>
      <w:r/>
      <w:bookmarkStart w:id="100" w:name="_Hlt26954846"/>
      <w:r/>
      <w:bookmarkStart w:id="101" w:name="_Hlt26954842"/>
      <w:r/>
      <w:bookmarkStart w:id="102" w:name="_Hlt26670425"/>
      <w:r/>
      <w:bookmarkStart w:id="103" w:name="_Hlt26668983"/>
      <w:r/>
      <w:bookmarkStart w:id="104" w:name="_Hlt26670482"/>
      <w:r/>
      <w:bookmarkStart w:id="105" w:name="_Hlt26670403"/>
      <w:r/>
      <w:bookmarkStart w:id="106" w:name="_Hlt26954731"/>
      <w:r/>
      <w:bookmarkStart w:id="107" w:name="_Hlt26954848"/>
      <w:r>
        <w:rPr>
          <w:rFonts w:hint="eastAsia" w:ascii="宋体" w:hAnsi="宋体" w:eastAsia="宋体" w:cs="宋体"/>
          <w:color w:val="auto"/>
          <w:sz w:val="24"/>
          <w:szCs w:val="24"/>
          <w:highlight w:val="none"/>
        </w:rPr>
        <w:t xml:space="preserve">13、技术要求响应及偏离表、商务要求响应及偏离表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61"/>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8" w:name="_Toc14577359"/>
      <w:r/>
      <w:bookmarkStart w:id="109" w:name="_Toc49090510"/>
      <w:r>
        <w:rPr>
          <w:rFonts w:hint="eastAsia" w:ascii="宋体" w:hAnsi="宋体" w:eastAsia="宋体" w:cs="宋体"/>
          <w:color w:val="auto"/>
          <w:sz w:val="24"/>
          <w:szCs w:val="24"/>
          <w:highlight w:val="none"/>
        </w:rPr>
        <w:t xml:space="preserve">14、投标函和开标一览表</w:t>
      </w:r>
      <w:bookmarkEnd w:id="108"/>
      <w:r/>
      <w:bookmarkEnd w:id="109"/>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670489"/>
      <w:r/>
      <w:bookmarkStart w:id="113" w:name="_Hlt26954734"/>
      <w:r/>
      <w:bookmarkStart w:id="114" w:name="_Hlt26954850"/>
      <w:r>
        <w:rPr>
          <w:rFonts w:hint="eastAsia" w:ascii="宋体" w:hAnsi="宋体" w:eastAsia="宋体" w:cs="宋体"/>
          <w:color w:val="auto"/>
          <w:sz w:val="24"/>
          <w:szCs w:val="24"/>
          <w:highlight w:val="none"/>
        </w:rPr>
        <w:t xml:space="preserve">15、投标有效期</w:t>
      </w:r>
      <w:bookmarkEnd w:id="110"/>
      <w:r/>
      <w:bookmarkEnd w:id="111"/>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5" w:name="_Toc16938540"/>
      <w:r/>
      <w:bookmarkStart w:id="116" w:name="_Toc20823296"/>
      <w:r/>
      <w:bookmarkStart w:id="117" w:name="_Toc513029224"/>
      <w:r/>
      <w:bookmarkStart w:id="118" w:name="_Toc120614217"/>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1" w:name="_Toc462564084"/>
      <w:r/>
      <w:bookmarkStart w:id="122" w:name="_Toc20823297"/>
      <w:r/>
      <w:bookmarkStart w:id="123" w:name="_Toc513029225"/>
      <w:r/>
      <w:bookmarkStart w:id="124" w:name="_Toc16938541"/>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18.1投标人上传电子投标文件的时间不得迟于招标公告中规定的投标截止时间。</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8" w:name="_Toc16938543"/>
      <w:r/>
      <w:bookmarkStart w:id="129" w:name="_Toc20823299"/>
      <w:r/>
      <w:bookmarkStart w:id="130" w:name="_Toc513029227"/>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513029228"/>
      <w:r/>
      <w:bookmarkStart w:id="132" w:name="_Toc20823300"/>
      <w:r/>
      <w:bookmarkStart w:id="133" w:name="_Toc16938544"/>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513029229"/>
      <w:r/>
      <w:bookmarkStart w:id="135" w:name="_Toc120614218"/>
      <w:r/>
      <w:bookmarkStart w:id="136" w:name="_Toc16938545"/>
      <w:r/>
      <w:bookmarkStart w:id="137" w:name="_Toc20823301"/>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513029232"/>
      <w:r/>
      <w:bookmarkStart w:id="145" w:name="_Toc16938548"/>
      <w:r/>
      <w:bookmarkStart w:id="146" w:name="_Toc20823304"/>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20823305"/>
      <w:r/>
      <w:bookmarkStart w:id="148" w:name="_Toc16938549"/>
      <w:r/>
      <w:bookmarkStart w:id="149" w:name="_Toc513029233"/>
      <w:r>
        <w:rPr>
          <w:rFonts w:hint="eastAsia" w:ascii="宋体" w:hAnsi="宋体" w:eastAsia="宋体" w:cs="宋体"/>
          <w:color w:val="auto"/>
          <w:sz w:val="24"/>
          <w:szCs w:val="24"/>
          <w:highlight w:val="none"/>
        </w:rPr>
        <w:t xml:space="preserve">25、对投标文件的初审</w:t>
      </w:r>
      <w:bookmarkEnd w:id="147"/>
      <w:r/>
      <w:bookmarkEnd w:id="148"/>
      <w:r/>
      <w:bookmarkEnd w:id="149"/>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w:t>
      </w:r>
      <w:r>
        <w:rPr>
          <w:rFonts w:hint="eastAsia" w:ascii="宋体" w:hAnsi="宋体" w:eastAsia="宋体" w:cs="宋体"/>
          <w:b/>
          <w:bCs/>
          <w:color w:val="auto"/>
          <w:sz w:val="24"/>
          <w:szCs w:val="24"/>
          <w:highlight w:val="none"/>
        </w:rPr>
        <w:t xml:space="preserve">一个供应商的身份</w:t>
      </w:r>
      <w:r>
        <w:rPr>
          <w:rFonts w:hint="eastAsia" w:ascii="宋体" w:hAnsi="宋体" w:eastAsia="宋体" w:cs="宋体"/>
          <w:color w:val="auto"/>
          <w:sz w:val="24"/>
          <w:szCs w:val="24"/>
          <w:highlight w:val="none"/>
        </w:rPr>
        <w:t xml:space="preserve">共同参加政府采购活动的,联合体成员存在不良信用记录的，视同联合体存在不良应用记录。</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06"/>
      <w:r/>
      <w:bookmarkStart w:id="151" w:name="_Toc16938550"/>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1"/>
      <w:r/>
      <w:bookmarkStart w:id="154" w:name="_Toc513029235"/>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%的，即投标（响应）报价&lt;全部通过符合性审查供应商投标（响应）报价平均值×</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%的，即投标（响应）报价&lt;通过符合性审查的次低报价供应商投标（响应）报价×</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%的，即投标（响应）报价&lt;采购项目最高限价×</w:t>
      </w:r>
      <w:r>
        <w:rPr>
          <w:rFonts w:hint="eastAsia" w:ascii="宋体" w:hAnsi="宋体" w:eastAsia="宋体" w:cs="宋体"/>
          <w:b/>
          <w:bCs/>
          <w:color w:val="auto"/>
          <w:sz w:val="24"/>
          <w:szCs w:val="24"/>
          <w:highlight w:val="none"/>
          <w:u w:val="singl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20823310"/>
      <w:r/>
      <w:bookmarkStart w:id="158" w:name="_Toc513029238"/>
      <w:r/>
      <w:bookmarkStart w:id="159" w:name="_Toc16938554"/>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采购代理机构及采购人只接收以纸质原件形式送达的质疑,采购人和采购代理机构不接受未填写快递运单的快件。质疑接收地址详见招标公告联系方式。</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1"/>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1" w:name="_Toc20823308"/>
      <w:r/>
      <w:bookmarkStart w:id="162" w:name="_Toc16938552"/>
      <w:r/>
      <w:bookmarkStart w:id="163" w:name="_Toc120614220"/>
      <w:r/>
      <w:bookmarkStart w:id="164" w:name="_Toc513029236"/>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5" w:name="_Toc20823309"/>
      <w:r/>
      <w:bookmarkStart w:id="166" w:name="_Toc513029237"/>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w:t>
      </w:r>
      <w:r>
        <w:rPr>
          <w:rFonts w:hint="eastAsia" w:ascii="宋体" w:hAnsi="宋体" w:eastAsia="宋体" w:cs="宋体"/>
          <w:color w:val="auto"/>
          <w:sz w:val="24"/>
          <w:szCs w:val="24"/>
          <w:highlight w:val="none"/>
          <w:lang w:val="en-US" w:eastAsia="zh-CN"/>
        </w:rPr>
        <w:t xml:space="preserve">确需专业分包的部分，须经采购人同意方可履行。</w:t>
      </w:r>
      <w:r>
        <w:rPr>
          <w:rFonts w:hint="eastAsia" w:ascii="宋体" w:hAnsi="宋体" w:eastAsia="宋体" w:cs="宋体"/>
          <w:color w:val="auto"/>
          <w:sz w:val="24"/>
          <w:szCs w:val="24"/>
          <w:highlight w:val="none"/>
        </w:rPr>
        <w:t xml:space="preserve">转包或分包造成采购人损失的，中标人应承担相应赔偿责任。</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6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keepLines w:val="0"/>
        <w:keepNext w:val="0"/>
        <w:pageBreakBefore w:val="0"/>
        <w:widowControl w:val="off"/>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661"/>
        <w:ind w:firstLine="2429"/>
        <w:jc w:val="both"/>
        <w:keepLines w:val="0"/>
        <w:keepNext w:val="0"/>
        <w:pageBreakBefore w:val="0"/>
        <w:spacing w:before="260" w:beforeAutospacing="0" w:after="260" w:afterAutospacing="0" w:line="415" w:lineRule="auto"/>
        <w:widowControl w:val="off"/>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第三章  合同文本</w:t>
      </w:r>
      <w:r/>
    </w:p>
    <w:p>
      <w:pPr>
        <w:pStyle w:val="661"/>
        <w:ind w:firstLine="480"/>
        <w:jc w:val="both"/>
        <w:keepLines w:val="0"/>
        <w:keepNext w:val="0"/>
        <w:pageBreakBefore w:val="0"/>
        <w:spacing w:beforeAutospacing="0" w:afterAutospacing="0" w:line="500" w:lineRule="exact"/>
        <w:widowControl w:val="off"/>
        <w:rPr>
          <w:color w:val="auto"/>
          <w:sz w:val="24"/>
          <w:szCs w:val="24"/>
          <w:highlight w:val="none"/>
        </w:rPr>
      </w:pPr>
      <w:r/>
      <w:bookmarkStart w:id="168" w:name="_Toc513029243"/>
      <w:r/>
      <w:bookmarkStart w:id="169" w:name="_Toc16938559"/>
      <w:r/>
      <w:bookmarkStart w:id="170" w:name="_Toc20823315"/>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61"/>
        <w:jc w:val="center"/>
        <w:keepLines w:val="0"/>
        <w:keepNext w:val="0"/>
        <w:pageBreakBefore w:val="0"/>
        <w:spacing w:beforeAutospacing="0" w:afterAutospacing="0" w:line="500" w:lineRule="exact"/>
        <w:widowControl w:val="off"/>
        <w:rPr>
          <w:color w:val="auto"/>
          <w:sz w:val="32"/>
          <w:szCs w:val="32"/>
          <w:highlight w:val="none"/>
        </w:rPr>
      </w:pPr>
      <w:r>
        <w:rPr>
          <w:rFonts w:hint="eastAsia" w:ascii="宋体" w:hAnsi="宋体" w:eastAsia="宋体" w:cs="宋体"/>
          <w:b/>
          <w:color w:val="auto"/>
          <w:sz w:val="32"/>
          <w:szCs w:val="32"/>
          <w:highlight w:val="none"/>
        </w:rPr>
        <w:t xml:space="preserve">盐城市政府采购合同（服务）（合同编号）</w:t>
      </w:r>
      <w:bookmarkStart w:id="171" w:name="_Toc479757211"/>
      <w:r/>
      <w:bookmarkStart w:id="172" w:name="_Hlt16619350"/>
      <w:r/>
      <w:bookmarkStart w:id="173" w:name="_Toc20823346"/>
      <w:r/>
      <w:bookmarkStart w:id="174" w:name="_Toc120614244"/>
      <w:r/>
      <w:bookmarkStart w:id="175" w:name="_Toc462564139"/>
      <w:r/>
      <w:bookmarkStart w:id="176" w:name="_Toc16938590"/>
      <w:r/>
      <w:bookmarkStart w:id="177" w:name="_Hlt16619369"/>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项目编号：JSZC-320922-YCSH-G2026-0005</w:t>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合同编号：______________</w:t>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签订地点：______________</w:t>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签订日期：</w:t>
      </w:r>
      <w:r>
        <w:rPr>
          <w:rFonts w:hint="eastAsia" w:ascii="宋体" w:hAnsi="宋体" w:eastAsia="宋体" w:cs="宋体"/>
          <w:b w:val="0"/>
          <w:bCs/>
          <w:color w:val="auto"/>
          <w:sz w:val="24"/>
          <w:szCs w:val="24"/>
          <w:lang w:val="en-US" w:eastAsia="zh-CN"/>
        </w:rPr>
        <w:t xml:space="preserve">2026</w:t>
      </w:r>
      <w:r>
        <w:rPr>
          <w:rFonts w:hint="eastAsia" w:ascii="宋体" w:hAnsi="宋体" w:eastAsia="宋体" w:cs="宋体"/>
          <w:b w:val="0"/>
          <w:bCs/>
          <w:color w:val="auto"/>
          <w:sz w:val="24"/>
          <w:szCs w:val="24"/>
        </w:rPr>
        <w:t xml:space="preserve">年____月____日</w:t>
      </w:r>
      <w:r/>
    </w:p>
    <w:p>
      <w:pPr>
        <w:ind w:firstLine="0"/>
        <w:keepLines w:val="0"/>
        <w:keepNext w:val="0"/>
        <w:pageBreakBefore w:val="0"/>
        <w:spacing w:line="2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甲方（采购人）</w:t>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单位名称：江苏滨海经济开发区沿海工业园管理委员会</w:t>
      </w:r>
      <w:r/>
    </w:p>
    <w:p>
      <w:pPr>
        <w:ind w:firstLine="0"/>
        <w:keepLines w:val="0"/>
        <w:keepNext w:val="0"/>
        <w:pageBreakBefore w:val="0"/>
        <w:spacing w:line="2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乙方（供应商）</w:t>
      </w:r>
      <w:r/>
    </w:p>
    <w:p>
      <w:pPr>
        <w:ind w:firstLine="0"/>
        <w:keepLines w:val="0"/>
        <w:keepNext w:val="0"/>
        <w:pageBreakBefore w:val="0"/>
        <w:spacing w:line="40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单位名称：____________________________________________</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中华人民共和国政府采购法》《中华人民共和国政府采购法实施条例》及其他有关法律法规的规定，经公开招标采购，确定乙方为中标（成交）供应商。甲、乙双方在平等、自愿、公平和诚实信用的基础上，就</w:t>
      </w:r>
      <w:r>
        <w:rPr>
          <w:rFonts w:hint="eastAsia" w:ascii="宋体" w:hAnsi="宋体" w:eastAsia="宋体" w:cs="宋体"/>
          <w:color w:val="auto"/>
          <w:sz w:val="24"/>
          <w:szCs w:val="24"/>
          <w:u w:val="single"/>
        </w:rPr>
        <w:t xml:space="preserve">江苏滨海经济开发区沿海工业园地下水污染风险管控效果评估服务项目</w:t>
      </w:r>
      <w:r>
        <w:rPr>
          <w:rFonts w:hint="eastAsia" w:ascii="宋体" w:hAnsi="宋体" w:eastAsia="宋体" w:cs="宋体"/>
          <w:color w:val="auto"/>
          <w:sz w:val="24"/>
          <w:szCs w:val="24"/>
        </w:rPr>
        <w:t xml:space="preserve">技术服务事宜协商一致，订立本合同。</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第一条  项目名称与概况</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项目名称：</w:t>
      </w:r>
      <w:r>
        <w:rPr>
          <w:rFonts w:hint="eastAsia" w:ascii="宋体" w:hAnsi="宋体" w:eastAsia="宋体" w:cs="宋体"/>
          <w:color w:val="auto"/>
          <w:sz w:val="24"/>
          <w:szCs w:val="24"/>
          <w:highlight w:val="none"/>
          <w:u w:val="single"/>
          <w:lang w:eastAsia="zh-CN"/>
        </w:rPr>
        <w:t xml:space="preserve">江苏滨海经济开发区沿海工业园地下水污染风险管控</w:t>
      </w:r>
      <w:r>
        <w:rPr>
          <w:rFonts w:hint="eastAsia" w:ascii="宋体" w:hAnsi="宋体" w:eastAsia="宋体" w:cs="宋体"/>
          <w:color w:val="auto"/>
          <w:sz w:val="24"/>
          <w:szCs w:val="24"/>
          <w:highlight w:val="none"/>
          <w:u w:val="single"/>
          <w:lang w:val="en-US" w:eastAsia="zh-CN"/>
        </w:rPr>
        <w:t xml:space="preserve">效果评估</w:t>
      </w:r>
      <w:r>
        <w:rPr>
          <w:rFonts w:hint="eastAsia" w:ascii="宋体" w:hAnsi="宋体" w:eastAsia="宋体" w:cs="宋体"/>
          <w:color w:val="auto"/>
          <w:sz w:val="24"/>
          <w:szCs w:val="24"/>
          <w:highlight w:val="none"/>
          <w:u w:val="single"/>
          <w:lang w:eastAsia="zh-CN"/>
        </w:rPr>
        <w:t xml:space="preserve">服务项目</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项目地点：</w:t>
      </w:r>
      <w:r>
        <w:rPr>
          <w:rFonts w:hint="eastAsia" w:ascii="宋体" w:hAnsi="宋体" w:eastAsia="宋体" w:cs="宋体"/>
          <w:color w:val="auto"/>
          <w:sz w:val="24"/>
          <w:szCs w:val="24"/>
          <w:highlight w:val="none"/>
          <w:u w:val="single"/>
          <w:lang w:eastAsia="zh-CN"/>
        </w:rPr>
        <w:t xml:space="preserve">江苏滨海经济开发区沿海工</w:t>
      </w:r>
      <w:r>
        <w:rPr>
          <w:rFonts w:hint="eastAsia" w:ascii="宋体" w:hAnsi="宋体" w:eastAsia="宋体" w:cs="宋体"/>
          <w:color w:val="auto"/>
          <w:sz w:val="24"/>
          <w:szCs w:val="24"/>
          <w:highlight w:val="none"/>
          <w:u w:val="single"/>
          <w:lang w:val="en-US" w:eastAsia="zh-CN"/>
        </w:rPr>
        <w:t xml:space="preserve">业园区内</w:t>
      </w:r>
      <w:r/>
    </w:p>
    <w:p>
      <w:pPr>
        <w:ind w:firstLine="48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1.3 项目概况：</w:t>
      </w:r>
      <w:r>
        <w:rPr>
          <w:rFonts w:hint="eastAsia" w:ascii="宋体" w:hAnsi="宋体" w:eastAsia="宋体" w:cs="宋体"/>
          <w:color w:val="auto"/>
          <w:sz w:val="24"/>
          <w:szCs w:val="24"/>
          <w:u w:val="single"/>
        </w:rPr>
        <w:t xml:space="preserve">根据生态环境部《化工园区地下水污染专项整治工作方案》要求和园区地下水环境状况调查评估结果，</w:t>
      </w:r>
      <w:r>
        <w:rPr>
          <w:rFonts w:hint="eastAsia" w:ascii="宋体" w:hAnsi="宋体" w:eastAsia="宋体" w:cs="宋体"/>
          <w:color w:val="auto"/>
          <w:sz w:val="24"/>
          <w:szCs w:val="24"/>
          <w:u w:val="single"/>
        </w:rPr>
        <w:t xml:space="preserve">江苏滨海经济开发区沿海工业园亟需开展地下水污染风险管控及相关配套服务等工作，拟通过政府采购聘请第三方效果评估单位。效果评估具体工作包括：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果评估报告，通过生态环境主管部门规定的风险管控效果评估报告专家评审等</w:t>
      </w:r>
      <w:r>
        <w:rPr>
          <w:rFonts w:hint="eastAsia" w:ascii="宋体" w:hAnsi="宋体" w:eastAsia="宋体" w:cs="宋体"/>
          <w:color w:val="auto"/>
          <w:sz w:val="24"/>
          <w:szCs w:val="24"/>
          <w:u w:val="single"/>
          <w:lang w:eastAsia="zh-CN"/>
        </w:rPr>
        <w:t xml:space="preserve">。</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第二条  服务内容与范围</w:t>
      </w:r>
      <w:r/>
    </w:p>
    <w:p>
      <w:pPr>
        <w:ind w:firstLine="480"/>
        <w:keepLines w:val="0"/>
        <w:keepNext w:val="0"/>
        <w:pageBreakBefore w:val="0"/>
        <w:spacing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2.1 服务内容：</w:t>
      </w:r>
      <w:r>
        <w:rPr>
          <w:rFonts w:hint="eastAsia" w:ascii="宋体" w:hAnsi="宋体" w:eastAsia="宋体" w:cs="宋体"/>
          <w:color w:val="auto"/>
          <w:sz w:val="24"/>
          <w:szCs w:val="24"/>
          <w:u w:val="single"/>
        </w:rPr>
        <w:t xml:space="preserve">根据生态环境部《化工园区地下水污染专项整治工作方案》要求和园区地下水环境状况调查评估结果，江苏滨海经济开发区沿海工业园需要开展地下水污染风险管控及相关配套服务等工作。具体包括：公共区域中土壤、地下水中污染物超标10倍但人体健康风险可接受区域（A区），实施长期监测预警；公共区域土壤、地下水污染人体健康风险不可接受区域（B区），采取治理或管控措施；经污染地下水迁移模拟，地下水污染存在潜在迁移扩散风险的区域（C区），采取源削减措施。</w:t>
      </w:r>
      <w:r/>
    </w:p>
    <w:p>
      <w:pPr>
        <w:ind w:firstLine="480"/>
        <w:keepLines w:val="0"/>
        <w:keepNext w:val="0"/>
        <w:pageBreakBefore w:val="0"/>
        <w:spacing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本项目需根据《化工园区地下水污染专项整治工作方案》、《建设用地土壤修复技术导则》（HJ25.4-2019）、《污染地块地下水修复和风险管控技术导则》（HJ25.6</w:t>
      </w:r>
      <w:r>
        <w:rPr>
          <w:rFonts w:hint="eastAsia" w:ascii="宋体" w:hAnsi="宋体" w:eastAsia="宋体" w:cs="宋体"/>
          <w:color w:val="auto"/>
          <w:sz w:val="24"/>
          <w:szCs w:val="24"/>
          <w:u w:val="single"/>
        </w:rPr>
        <w:t xml:space="preserve">-2019）、《污染地块风险管控与土壤修复效果评估技术导则》（HJ25.5-2018）等土壤和地下水修复和风险管控相关规定要求，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果评估报告，组织并通过生态环境主管部门规定的风险管控效果评估报告专家评审等。</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2.2 </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范围：</w:t>
      </w:r>
      <w:r>
        <w:rPr>
          <w:rFonts w:hint="eastAsia" w:ascii="宋体" w:hAnsi="宋体" w:eastAsia="宋体" w:cs="宋体"/>
          <w:color w:val="auto"/>
          <w:sz w:val="24"/>
          <w:szCs w:val="24"/>
          <w:u w:val="single"/>
        </w:rPr>
        <w:t xml:space="preserve">（1）编制风险管控效果评估工作方案，经专家论证通过后执行。</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（2）开展阶段性风险管控效果评估现场采样及检测（CMA）分析工作，开展项目竣工现场风险管控效果评估采样及检测（CMA）分析工作。</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（3）根据地块修复和风险管控进度以及掌握的地块信息，对地块概念模型进行更新，为开展效果评估提供依据。</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4）编制阶段性风险管控效果评估报告及项目竣工风险管控效果评估报告，报请业主，配合准备专家评审会议相关材料,向业主及专家评审委员会汇报风险管控效果评估工作内容及结果，按专家意见修改并配合业主完成备案。</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（5）运用相关信息化/智慧化软件或平台系统，对现场有关工作进行高效管理。根据项目现状的复杂性、投标人应匹配组建相应各类专业的人员、必要的设备仪器以确保满足项目需求。</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（6）根据项目需求组建专职专家团队，为本项目生态环境损害鉴定、土壤及地下水的风险管控监理服务提供专业的专家技术支持，根据招标人需求组织专家团队为招标人提供必要的咨询、论证等技术咨询服务。</w:t>
      </w:r>
      <w:r/>
    </w:p>
    <w:p>
      <w:pPr>
        <w:pStyle w:val="671"/>
        <w:ind w:firstLine="488"/>
        <w:keepLines w:val="0"/>
        <w:keepNext w:val="0"/>
        <w:pageBreakBefore w:val="0"/>
        <w:spacing w:after="0" w:line="48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7）运用专业技术人员、技术标准编制经验、项目奖项申报经验等为园区可能申报或计划申报的与本项目相关的科研课题、科研创新项目或生态环境导向开发项目或项目申报奖项提供协助、技术支撑、服务支撑和工作辅助指导等。</w:t>
      </w:r>
      <w:r/>
    </w:p>
    <w:p>
      <w:pPr>
        <w:pStyle w:val="671"/>
        <w:ind w:left="0" w:firstLine="0"/>
        <w:keepLines w:val="0"/>
        <w:keepNext w:val="0"/>
        <w:pageBreakBefore w:val="0"/>
        <w:spacing w:after="0" w:line="480" w:lineRule="exact"/>
        <w:widowControl w:val="off"/>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同采购需求</w:t>
      </w:r>
      <w:r>
        <w:rPr>
          <w:rFonts w:hint="eastAsia" w:ascii="宋体" w:hAnsi="宋体" w:eastAsia="宋体" w:cs="宋体"/>
          <w:color w:val="auto"/>
          <w:sz w:val="24"/>
          <w:szCs w:val="24"/>
          <w:u w:val="single"/>
          <w:lang w:eastAsia="zh-CN"/>
        </w:rPr>
        <w:t xml:space="preserve">）</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第三条  合同金额与支付方式</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本合同总金额为人民币（大写）_________元整（小写：¥________元）。</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该合同总价是指乙方为完成本合同约定的全部服务内容所需的一切费用，包括但不限于：人工费、采样费、检测分析费、差旅费、交通费、报告编制费、专家评审费、资料费、管理费、税金、保险及其他相关费用。</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rPr>
        <w:t xml:space="preserve">3.2 付款方式：</w:t>
      </w:r>
      <w:r>
        <w:rPr>
          <w:rFonts w:hint="eastAsia" w:ascii="宋体" w:hAnsi="宋体" w:eastAsia="宋体" w:cs="宋体"/>
          <w:color w:val="auto"/>
          <w:sz w:val="24"/>
          <w:szCs w:val="24"/>
          <w:highlight w:val="none"/>
          <w:u w:val="single"/>
        </w:rPr>
        <w:t xml:space="preserve">预付款：合同签订后支付合同额的30%作为项目预付款（中标人向招标人提供等额预付款保函）（预付款部分在首次支付时予以抵扣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同时退还预付款保函</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B区（土水风险不可接受区域）现场服务工作全部完成</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效果评估阶段性验收后支付至合同额的50%；</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highlight w:val="none"/>
          <w:u w:val="single"/>
          <w:lang w:val="en-US" w:eastAsia="zh-CN"/>
        </w:rPr>
        <w:t xml:space="preserve">②</w:t>
      </w:r>
      <w:r>
        <w:rPr>
          <w:rFonts w:hint="eastAsia" w:ascii="宋体" w:hAnsi="宋体" w:eastAsia="宋体" w:cs="宋体"/>
          <w:color w:val="auto"/>
          <w:sz w:val="24"/>
          <w:szCs w:val="24"/>
          <w:highlight w:val="none"/>
          <w:u w:val="single"/>
        </w:rPr>
        <w:t xml:space="preserve">项目通过采购人组织的履约验收</w:t>
      </w:r>
      <w:r>
        <w:rPr>
          <w:rFonts w:hint="eastAsia" w:ascii="宋体" w:hAnsi="宋体" w:eastAsia="宋体" w:cs="宋体"/>
          <w:color w:val="auto"/>
          <w:sz w:val="24"/>
          <w:szCs w:val="24"/>
          <w:highlight w:val="none"/>
          <w:u w:val="single"/>
          <w:lang w:val="en-US" w:eastAsia="zh-CN"/>
        </w:rPr>
        <w:t xml:space="preserve">且效果评估通过专家评审</w:t>
      </w:r>
      <w:r>
        <w:rPr>
          <w:rFonts w:hint="eastAsia" w:ascii="宋体" w:hAnsi="宋体" w:eastAsia="宋体" w:cs="宋体"/>
          <w:color w:val="auto"/>
          <w:sz w:val="24"/>
          <w:szCs w:val="24"/>
          <w:highlight w:val="none"/>
          <w:u w:val="single"/>
        </w:rPr>
        <w:t xml:space="preserve">后一次性付清余款。</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 每次申请付款前，乙方应向甲方提供等额有效的增值税发票。因乙方未及时提供发票导致付款延误的，责任由乙方承担。</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第四条  服务期限</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本合同服务期限自____年____月____日起至____年____月____日止。</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因甲方原因或不可抗力导致工作延期的，服务期限相应顺延，双方另行协商确定。</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第五条  甲方权利与义务</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 甲方有权对乙方的工作进度、质量进行监督检查，提出合理的意见和建议。</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 甲方应按合同约定及时支付合同款项。</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 甲方应协调提供乙方开展工作所需的场地条件、相关资料及工作便利，包括但不限于：地块环境调查与风险评估报告、修复技术方案、施工组织设计、工程竣工报告、监理报告、环境监测数据等。</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 甲方应协助乙方协调与修复施工单位、监理单位及相关部门的关系。</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5.5 甲方应在收到乙方提交的阶段性成果后__</w:t>
      </w: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__个工作日内进行审核并反馈意见，逾期未反馈视为认可。</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第六条  乙方权利与义务</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乙方在从服务工作中应当做到文明工作、安全生产，采取必要的安全防范措施，合同期内若发生安全事故由乙方承担，与甲方无关。</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乙方应及时调整不适应工作需求的人员。如甲方认为该员工不能胜任本职工作的，必须调整。</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经常对员工进行岗位职责和安全教育，加强岗位责任考核。因管理不当、违规操作发生设备损坏等安全事故对甲方造成一定损失的，乙方需承担相应的赔偿责任。具体办法于合同签订后经甲乙双方协商后确定。</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乙方负责派驻点服务人员的人事管理。</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乙方要设立项目负责人，制定适合的详细工作服务流程与方案，制定对服务人员的考核办法。</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乙方要加强对服务人员的管理与培训，并保证服务人员的稳定性，未经甲方允许不得擅自更换服务人员。</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服务人员要遵守甲方的劳动考勤纪律及其它相关规章制度，接受甲方的工作安排与指导，做好本职工作。</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服务人员必须做好相关信息保密工作。不得对外透露在工作中接触到的参保人员及业务相关单位或个人隐私信息。</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服务人员要忠于职守，坚决维护以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为中心的团队形象，礼貌待人，文明服务，尊重和保护纳税人的权利，依法接受监督。服务人员不得兼职、服务过程中不得向他人透露自己的姓名和个人联系方式、不得谋取不正当利益等等。</w:t>
      </w:r>
      <w:r/>
    </w:p>
    <w:p>
      <w:pPr>
        <w:pStyle w:val="654"/>
        <w:ind w:lef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6.10 根据效果评估方案开展效果评估工作等，如委外检测机构的，检测报告必须由具有相应资质水平（CMA）的检测的单位出具。如专业工作委外分包的，应先行报备甲方同意。</w:t>
      </w:r>
      <w:r/>
    </w:p>
    <w:p>
      <w:pPr>
        <w:ind w:firstLine="480"/>
        <w:keepLines w:val="0"/>
        <w:keepNext w:val="0"/>
        <w:pageBreakBefore w:val="0"/>
        <w:spacing w:line="480" w:lineRule="exact"/>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乙方除应为服务人员提供必要的劳动保护条件外，还应为其办理作业时的人身安全保险和意外伤害险。一切安全责任事故均由乙方负责（保险种类由乙方自行选择）。</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乙方应做好职工的安全生产教育，并配备一定的劳动保护必需品以供职工使用。</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第七条  质量要求与验收标准</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7.1 质量要求：</w:t>
      </w:r>
      <w:r>
        <w:rPr>
          <w:rFonts w:hint="eastAsia" w:cs="宋体"/>
          <w:color w:val="auto"/>
          <w:sz w:val="24"/>
          <w:szCs w:val="24"/>
          <w:u w:val="single"/>
          <w:lang w:val="en-US" w:eastAsia="zh-CN"/>
        </w:rPr>
        <w:t xml:space="preserve">合格</w:t>
      </w:r>
      <w:r>
        <w:rPr>
          <w:rFonts w:hint="eastAsia" w:cs="宋体"/>
          <w:color w:val="auto"/>
          <w:sz w:val="24"/>
          <w:szCs w:val="24"/>
          <w:lang w:val="en-US" w:eastAsia="zh-CN"/>
        </w:rPr>
        <w:t xml:space="preserve">。</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7.2 验收标准：</w:t>
      </w:r>
      <w:r>
        <w:rPr>
          <w:rFonts w:hint="eastAsia" w:ascii="宋体" w:hAnsi="宋体" w:eastAsia="宋体" w:cs="宋体"/>
          <w:color w:val="auto"/>
          <w:sz w:val="24"/>
          <w:szCs w:val="24"/>
          <w:u w:val="single"/>
        </w:rPr>
        <w:t xml:space="preserve">风险管控效果评估报告通过专家评审，并通过招标人或相关部门组织的履约验收</w:t>
      </w:r>
      <w:r>
        <w:rPr>
          <w:rFonts w:hint="eastAsia" w:cs="宋体"/>
          <w:color w:val="auto"/>
          <w:sz w:val="24"/>
          <w:szCs w:val="24"/>
          <w:u w:val="single"/>
          <w:lang w:eastAsia="zh-CN"/>
        </w:rPr>
        <w:t xml:space="preserve">。</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第八条  知识产权</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 乙方在履行本合同过程中形成的全部成果（包括但不限于报告、数据、图件、工作方案等）的知识产权归</w:t>
      </w:r>
      <w:r>
        <w:rPr>
          <w:rFonts w:hint="eastAsia" w:ascii="宋体" w:hAnsi="宋体" w:eastAsia="宋体" w:cs="宋体"/>
          <w:color w:val="auto"/>
          <w:sz w:val="24"/>
          <w:szCs w:val="24"/>
          <w:lang w:val="en-US" w:eastAsia="zh-CN"/>
        </w:rPr>
        <w:t xml:space="preserve">甲乙双方共</w:t>
      </w:r>
      <w:r>
        <w:rPr>
          <w:rFonts w:hint="eastAsia" w:ascii="宋体" w:hAnsi="宋体" w:eastAsia="宋体" w:cs="宋体"/>
          <w:color w:val="auto"/>
          <w:sz w:val="24"/>
          <w:szCs w:val="24"/>
        </w:rPr>
        <w:t xml:space="preserve">有。</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 乙方保证其提交的成果不侵犯任何第三方的知识产权，如发生侵权纠纷，由乙方承担全部法律责任。</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第九条  保密条款</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双方对在合同履行过程中知悉的对方商业秘密、技术秘密及其他不宜公开的信息负有保密义务。</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未经对方书面同意，任何一方不得向第三方披露上述保密信息。法律法规另有规定或政府部门依法要求提供的除外。</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9.3 保密义务在本合同终止后</w:t>
      </w:r>
      <w:r>
        <w:rPr>
          <w:rFonts w:hint="eastAsia" w:cs="宋体"/>
          <w:color w:val="auto"/>
          <w:sz w:val="24"/>
          <w:szCs w:val="24"/>
          <w:lang w:val="en-US" w:eastAsia="zh-CN"/>
        </w:rPr>
        <w:t xml:space="preserve">长期有效</w:t>
      </w:r>
      <w:r>
        <w:rPr>
          <w:rFonts w:hint="eastAsia" w:ascii="宋体" w:hAnsi="宋体" w:eastAsia="宋体" w:cs="宋体"/>
          <w:color w:val="auto"/>
          <w:sz w:val="24"/>
          <w:szCs w:val="24"/>
        </w:rPr>
        <w:t xml:space="preserve">。</w:t>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第十条  违约责任</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甲方未按合同约定支付款项的，每逾期一日，按未付金额的__</w:t>
      </w: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__‰向乙方支付违约金，但最高不超过合同总金额的__</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__%。</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乙方未按合同约定的时间节点完成工作的，每逾期一日，按合同总金额的__</w:t>
      </w: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__‰向甲方支付违约金，但最高不超过合同总金额的__</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__%。</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因乙方原因导致工作成果质量不符合要求，乙方应无偿返工直至达到合同约定标准；经返工仍不能达到要求的，甲方有权解除合同，乙方应退还已收取的全部费用并赔偿甲方损失。</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乙方违反保密义务的，应向甲方支付合同总金额__</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__%的违约金，并赔偿由此给甲方造成的全部损失。</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w:t>
      </w: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条  不可抗力</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因不可抗力导致一方不能履行或不能完全履行合同义务的，根据不可抗力的影响程度，部分或全部免除责任，但法律另有规定的除外。</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 遭受不可抗力的一方应在不可抗力发生后__</w:t>
      </w: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__日内书面通知对方，并在__</w:t>
      </w: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__日内提供相关证明材料。</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 不可抗力事件结束后，双方应协商确定合同是否继续履行、变更或解除。</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第十三条  合同变更与解除</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本合同的任何变更或补充，须经双方协商一致并以书面形式确认。</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有下列情形之一的，甲方有权解除合同：</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（1）乙方将本合同项下服务擅自转包的；</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（2）乙方的工作成果经两次返工仍不能达到合同约定质量标准的；</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（3）乙方逾期__</w:t>
      </w:r>
      <w:r>
        <w:rPr>
          <w:rFonts w:hint="eastAsia" w:cs="宋体"/>
          <w:color w:val="auto"/>
          <w:sz w:val="24"/>
          <w:szCs w:val="24"/>
          <w:lang w:val="en-US" w:eastAsia="zh-CN"/>
        </w:rPr>
        <w:t xml:space="preserve">30</w:t>
      </w:r>
      <w:r>
        <w:rPr>
          <w:rFonts w:hint="eastAsia" w:ascii="宋体" w:hAnsi="宋体" w:eastAsia="宋体" w:cs="宋体"/>
          <w:color w:val="auto"/>
          <w:sz w:val="24"/>
          <w:szCs w:val="24"/>
        </w:rPr>
        <w:t xml:space="preserve">__日仍未完成主要工作的；</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（4）因乙方原因造成重大环境污染事故或安全事故的。</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 合同解除后，双方应根据已完成的工作量进行结算。</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第十四条  争议解决</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 本合同在履行过程中发生争议，双方应首先通过友好协商解决。</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协商不成的，按下列方式解决（二者择一）：</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提交________仲裁委员会仲裁；</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cs="宋体"/>
          <w:color w:val="auto"/>
          <w:sz w:val="24"/>
          <w:szCs w:val="24"/>
          <w:lang w:eastAsia="zh-CN"/>
        </w:rPr>
        <w:t xml:space="preserve">☑</w:t>
      </w:r>
      <w:r>
        <w:rPr>
          <w:rFonts w:hint="eastAsia" w:ascii="宋体" w:hAnsi="宋体" w:eastAsia="宋体" w:cs="宋体"/>
          <w:color w:val="auto"/>
          <w:sz w:val="24"/>
          <w:szCs w:val="24"/>
        </w:rPr>
        <w:t xml:space="preserve"> 依法向甲方所在地人民法院提起诉讼。</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第十五条  其他约定</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 本合同一式__</w:t>
      </w:r>
      <w:r>
        <w:rPr>
          <w:rFonts w:hint="eastAsia" w:cs="宋体"/>
          <w:color w:val="auto"/>
          <w:sz w:val="24"/>
          <w:szCs w:val="24"/>
          <w:lang w:val="en-US" w:eastAsia="zh-CN"/>
        </w:rPr>
        <w:t xml:space="preserve">8</w:t>
      </w:r>
      <w:r>
        <w:rPr>
          <w:rFonts w:hint="eastAsia" w:ascii="宋体" w:hAnsi="宋体" w:eastAsia="宋体" w:cs="宋体"/>
          <w:color w:val="auto"/>
          <w:sz w:val="24"/>
          <w:szCs w:val="24"/>
        </w:rPr>
        <w:t xml:space="preserve">__份，甲方__</w:t>
      </w:r>
      <w:r>
        <w:rPr>
          <w:rFonts w:hint="eastAsia" w:cs="宋体"/>
          <w:color w:val="auto"/>
          <w:sz w:val="24"/>
          <w:szCs w:val="24"/>
          <w:lang w:val="en-US" w:eastAsia="zh-CN"/>
        </w:rPr>
        <w:t xml:space="preserve">4</w:t>
      </w:r>
      <w:r>
        <w:rPr>
          <w:rFonts w:hint="eastAsia" w:ascii="宋体" w:hAnsi="宋体" w:eastAsia="宋体" w:cs="宋体"/>
          <w:color w:val="auto"/>
          <w:sz w:val="24"/>
          <w:szCs w:val="24"/>
        </w:rPr>
        <w:t xml:space="preserve">__份，乙方__</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__份，</w:t>
      </w:r>
      <w:r>
        <w:rPr>
          <w:rFonts w:hint="eastAsia" w:cs="宋体"/>
          <w:color w:val="auto"/>
          <w:sz w:val="24"/>
          <w:szCs w:val="24"/>
          <w:lang w:val="en-US" w:eastAsia="zh-CN"/>
        </w:rPr>
        <w:t xml:space="preserve">采购代理机构1份，</w:t>
      </w:r>
      <w:r>
        <w:rPr>
          <w:rFonts w:hint="eastAsia" w:ascii="宋体" w:hAnsi="宋体" w:eastAsia="宋体" w:cs="宋体"/>
          <w:color w:val="auto"/>
          <w:sz w:val="24"/>
          <w:szCs w:val="24"/>
        </w:rPr>
        <w:t xml:space="preserve">具有同等法律效力。</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15.2 本合同未尽事宜，双方可另行签订补充协议，补充协议与本合同具有同等法律效力。</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15.3 本合同附件是本合同不可分割的组成部分，与本合同正文具有同等法律效力。</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15.4 本合同自双方法定代表人或授权代表签字并加盖公章之日起生效。</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15.5 其他约定事项：</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____________________________________________</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____________________________________________</w:t>
      </w:r>
      <w:r/>
    </w:p>
    <w:p>
      <w:pPr>
        <w:ind w:firstLine="0"/>
        <w:keepLines w:val="0"/>
        <w:keepNext w:val="0"/>
        <w:pageBreakBefore w:val="0"/>
        <w:spacing w:line="2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65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161"/>
        <w:gridCol w:w="4163"/>
      </w:tblGrid>
      <w:tr>
        <w:trPr>
          <w:trHeight w:val="745"/>
        </w:trPr>
        <w:tc>
          <w:tcPr>
            <w:tcW w:w="2499"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甲方（盖章）：</w:t>
            </w:r>
            <w:r/>
          </w:p>
        </w:tc>
        <w:tc>
          <w:tcPr>
            <w:tcW w:w="2500"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乙方（盖章）：</w:t>
            </w:r>
            <w:r/>
          </w:p>
        </w:tc>
      </w:tr>
      <w:tr>
        <w:trPr>
          <w:trHeight w:val="745"/>
        </w:trPr>
        <w:tc>
          <w:tcPr>
            <w:tcW w:w="2499"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00"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trHeight w:val="745"/>
        </w:trPr>
        <w:tc>
          <w:tcPr>
            <w:tcW w:w="2499"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w:t>
            </w:r>
            <w:r/>
          </w:p>
        </w:tc>
        <w:tc>
          <w:tcPr>
            <w:tcW w:w="2500"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w:t>
            </w:r>
            <w:r>
              <w:rPr>
                <w:rFonts w:hint="eastAsia" w:ascii="宋体" w:hAnsi="宋体" w:eastAsia="宋体" w:cs="宋体"/>
                <w:color w:val="auto"/>
                <w:sz w:val="24"/>
                <w:szCs w:val="24"/>
                <w:lang w:val="en-US" w:eastAsia="zh-CN"/>
              </w:rPr>
              <w:t xml:space="preserve">签字或签章</w:t>
            </w:r>
            <w:r>
              <w:rPr>
                <w:rFonts w:hint="eastAsia" w:ascii="宋体" w:hAnsi="宋体" w:eastAsia="宋体" w:cs="宋体"/>
                <w:color w:val="auto"/>
                <w:sz w:val="24"/>
                <w:szCs w:val="24"/>
              </w:rPr>
              <w:t xml:space="preserve">）：</w:t>
            </w:r>
            <w:r/>
          </w:p>
        </w:tc>
      </w:tr>
      <w:tr>
        <w:trPr>
          <w:trHeight w:val="745"/>
        </w:trPr>
        <w:tc>
          <w:tcPr>
            <w:tcW w:w="2499"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00"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项目负责人（签字或签章）</w:t>
            </w:r>
            <w:r>
              <w:rPr>
                <w:rFonts w:hint="eastAsia" w:ascii="宋体" w:hAnsi="宋体" w:eastAsia="宋体" w:cs="宋体"/>
                <w:color w:val="auto"/>
                <w:sz w:val="24"/>
                <w:szCs w:val="24"/>
              </w:rPr>
              <w:t xml:space="preserve">：</w:t>
            </w:r>
            <w:r/>
          </w:p>
        </w:tc>
      </w:tr>
      <w:tr>
        <w:trPr>
          <w:trHeight w:val="745"/>
        </w:trPr>
        <w:tc>
          <w:tcPr>
            <w:tcW w:w="2499"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日期：____年____月____日</w:t>
            </w:r>
            <w:r/>
          </w:p>
        </w:tc>
        <w:tc>
          <w:tcPr>
            <w:tcW w:w="2500" w:type="pct"/>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日期：____年____月____日</w:t>
            </w:r>
            <w:r/>
          </w:p>
        </w:tc>
      </w:tr>
    </w:tbl>
    <w:p>
      <w:pPr>
        <w:ind w:left="0" w:firstLine="0"/>
        <w:spacing w:before="200" w:after="200" w:line="400" w:lineRule="exact"/>
        <w:rPr>
          <w:rFonts w:hint="eastAsia" w:ascii="宋体" w:hAnsi="宋体" w:eastAsia="宋体" w:cs="宋体"/>
          <w:color w:val="auto"/>
        </w:rPr>
      </w:pPr>
      <w:r>
        <w:rPr>
          <w:rFonts w:hint="eastAsia" w:ascii="宋体" w:hAnsi="宋体" w:eastAsia="宋体" w:cs="宋体"/>
          <w:color w:val="auto"/>
        </w:rPr>
      </w:r>
      <w:r/>
    </w:p>
    <w:p>
      <w:pPr>
        <w:pStyle w:val="653"/>
        <w:keepLines w:val="0"/>
        <w:keepNext w:val="0"/>
        <w:pageBreakBefore w:val="0"/>
        <w:widowControl w:val="off"/>
        <w:rPr>
          <w:color w:val="auto"/>
          <w:sz w:val="28"/>
          <w:szCs w:val="28"/>
          <w:highlight w:val="none"/>
        </w:rPr>
      </w:pPr>
      <w:r>
        <w:rPr>
          <w:color w:val="auto"/>
          <w:sz w:val="28"/>
          <w:szCs w:val="28"/>
          <w:highlight w:val="none"/>
        </w:rPr>
      </w:r>
      <w:r/>
    </w:p>
    <w:p>
      <w:pPr>
        <w:keepLines w:val="0"/>
        <w:keepNext w:val="0"/>
        <w:pageBreakBefore w:val="0"/>
        <w:widowControl w:val="off"/>
        <w:rPr>
          <w:color w:val="auto"/>
          <w:sz w:val="28"/>
          <w:szCs w:val="28"/>
          <w:highlight w:val="none"/>
        </w:rPr>
      </w:pPr>
      <w:r>
        <w:rPr>
          <w:color w:val="auto"/>
          <w:sz w:val="28"/>
          <w:szCs w:val="28"/>
          <w:highlight w:val="none"/>
        </w:rPr>
      </w:r>
      <w:r/>
    </w:p>
    <w:p>
      <w:pPr>
        <w:pStyle w:val="661"/>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78" w:name="_Toc49090575"/>
      <w:r/>
      <w:bookmarkStart w:id="179"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u w:val="single"/>
        </w:rPr>
        <w:t xml:space="preserve">服务</w:t>
      </w:r>
      <w:r>
        <w:rPr>
          <w:rFonts w:hint="eastAsia" w:ascii="宋体" w:hAnsi="宋体" w:eastAsia="宋体" w:cs="宋体"/>
          <w:color w:val="auto"/>
          <w:sz w:val="24"/>
          <w:szCs w:val="24"/>
          <w:highlight w:val="none"/>
        </w:rPr>
        <w:t xml:space="preserve">类项目。</w:t>
      </w:r>
      <w:bookmarkEnd w:id="178"/>
      <w:r/>
      <w:bookmarkEnd w:id="179"/>
      <w:r/>
      <w:r/>
    </w:p>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采购标的对应的中小企业划分标准所属行业一览表</w:t>
      </w:r>
      <w:r/>
    </w:p>
    <w:tbl>
      <w:tblPr>
        <w:tblStyle w:val="650"/>
        <w:tblW w:w="5163"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3"/>
        <w:gridCol w:w="4328"/>
        <w:gridCol w:w="365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661"/>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661"/>
              <w:ind w:firstLine="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江苏滨海经济开发区沿海工业园地下水污染风险管控第三方效果评估服务项目</w:t>
            </w:r>
            <w:r/>
          </w:p>
        </w:tc>
        <w:tc>
          <w:tcPr>
            <w:shd w:val="clear" w:color="auto" w:fill="auto"/>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66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default" w:ascii="Times New Roman" w:hAnsi="Times New Roman" w:eastAsia="宋体" w:cs="Times New Roman"/>
                <w:i w:val="0"/>
                <w:iCs w:val="0"/>
                <w:color w:val="auto"/>
                <w:sz w:val="24"/>
                <w:szCs w:val="24"/>
                <w:highlight w:val="none"/>
                <w:u w:val="none"/>
                <w:lang w:val="en-US" w:eastAsia="zh-CN" w:bidi="ar"/>
              </w:rPr>
              <w:t xml:space="preserve">其他未列明行业</w:t>
            </w:r>
            <w:r/>
          </w:p>
        </w:tc>
      </w:tr>
    </w:tbl>
    <w:p>
      <w:pPr>
        <w:pStyle w:val="6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采购需求包括拟采购的标的及其需要满足的技术、商务要求。</w:t>
      </w:r>
      <w:r/>
    </w:p>
    <w:p>
      <w:pPr>
        <w:ind w:firstLine="482"/>
        <w:keepLines w:val="0"/>
        <w:keepNext w:val="0"/>
        <w:pageBreakBefore w:val="0"/>
        <w:spacing w:line="480" w:lineRule="exact"/>
        <w:widowControl w:val="off"/>
        <w:rPr>
          <w:rFonts w:hint="eastAsia" w:ascii="宋体" w:hAnsi="宋体" w:eastAsia="宋体" w:cs="宋体"/>
          <w:b/>
          <w:bCs/>
          <w:color w:val="auto"/>
          <w:sz w:val="24"/>
          <w:szCs w:val="24"/>
        </w:rPr>
      </w:pPr>
      <w:r/>
      <w:bookmarkStart w:id="180" w:name="_Toc120614281"/>
      <w:r>
        <w:rPr>
          <w:rFonts w:hint="eastAsia" w:ascii="宋体" w:hAnsi="宋体" w:eastAsia="宋体" w:cs="宋体"/>
          <w:b/>
          <w:bCs/>
          <w:color w:val="auto"/>
          <w:sz w:val="24"/>
          <w:szCs w:val="24"/>
        </w:rPr>
        <w:t xml:space="preserve">一、项目概述及要求</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1．采购标的项目简述：</w:t>
      </w:r>
      <w:r>
        <w:rPr>
          <w:rFonts w:hint="eastAsia" w:ascii="宋体" w:hAnsi="宋体" w:eastAsia="宋体" w:cs="宋体"/>
          <w:color w:val="auto"/>
          <w:sz w:val="24"/>
          <w:szCs w:val="24"/>
          <w:u w:val="single"/>
        </w:rPr>
        <w:t xml:space="preserve">根据生态环境部《化工园</w:t>
      </w:r>
      <w:r>
        <w:rPr>
          <w:rFonts w:hint="eastAsia" w:ascii="宋体" w:hAnsi="宋体" w:eastAsia="宋体" w:cs="宋体"/>
          <w:color w:val="auto"/>
          <w:sz w:val="24"/>
          <w:szCs w:val="24"/>
          <w:u w:val="single"/>
        </w:rPr>
        <w:t xml:space="preserve">区地下水污染专项整治工作方案》要求和园区地下水环境状况调查评估结果，江苏滨海经济开发区沿海工业园亟需开展地下水污染风险管控及相关配套服务等工作，拟通过政府采购聘请第三方效果评估单位。效果评估具体工作包括：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w:t>
      </w:r>
      <w:r>
        <w:rPr>
          <w:rFonts w:hint="eastAsia" w:ascii="宋体" w:hAnsi="宋体" w:eastAsia="宋体" w:cs="宋体"/>
          <w:sz w:val="24"/>
          <w:szCs w:val="24"/>
          <w:u w:val="single"/>
        </w:rPr>
        <w:t xml:space="preserve">果评估报告，通过生态环境主管部门规定的风险管控效果评估报告专家评审等。</w:t>
      </w:r>
      <w:r/>
    </w:p>
    <w:p>
      <w:pPr>
        <w:ind w:firstLine="480"/>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2．采购标的服务期要求：</w:t>
      </w:r>
      <w:r>
        <w:rPr>
          <w:rFonts w:hint="eastAsia" w:ascii="宋体" w:hAnsi="宋体" w:eastAsia="宋体" w:cs="宋体"/>
          <w:sz w:val="24"/>
          <w:szCs w:val="24"/>
          <w:u w:val="single"/>
        </w:rPr>
        <w:t xml:space="preserve">风险管控服务单位申请验收效果评估后至完成污染土壤及地下水风险管控效果评估（出具验收报告或者风险管控效果评估报告，包含完成验收实施方案编制并且通过专家论证评审）以及地下水等环境介质长期监测期（1年）结束。</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3.采购标的验收标准：</w:t>
      </w:r>
      <w:r>
        <w:rPr>
          <w:rFonts w:hint="eastAsia" w:ascii="宋体" w:hAnsi="宋体" w:eastAsia="宋体" w:cs="宋体"/>
          <w:sz w:val="24"/>
          <w:szCs w:val="24"/>
          <w:u w:val="single"/>
        </w:rPr>
        <w:t xml:space="preserve">风险管控效果评估报告通过专家评审，并通过招标人或相关部门组织的履约验收。</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4.采购标的服务要求：</w:t>
      </w:r>
      <w:r>
        <w:rPr>
          <w:rFonts w:hint="eastAsia" w:ascii="宋体" w:hAnsi="宋体" w:eastAsia="宋体" w:cs="宋体"/>
          <w:sz w:val="24"/>
          <w:szCs w:val="24"/>
          <w:u w:val="single"/>
        </w:rPr>
        <w:t xml:space="preserve">详见“二、采购需求及服务内容”</w:t>
      </w:r>
      <w:r>
        <w:rPr>
          <w:rFonts w:hint="eastAsia" w:ascii="宋体" w:hAnsi="宋体" w:eastAsia="宋体" w:cs="宋体"/>
          <w:sz w:val="24"/>
          <w:szCs w:val="24"/>
        </w:rPr>
        <w:t xml:space="preserve">。</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5.采购标的质量要求：</w:t>
      </w:r>
      <w:r>
        <w:rPr>
          <w:rFonts w:hint="eastAsia" w:ascii="宋体" w:hAnsi="宋体" w:eastAsia="宋体" w:cs="宋体"/>
          <w:sz w:val="24"/>
          <w:szCs w:val="24"/>
          <w:u w:val="single"/>
        </w:rPr>
        <w:t xml:space="preserve">合格</w:t>
      </w:r>
      <w:r>
        <w:rPr>
          <w:rFonts w:hint="eastAsia" w:ascii="宋体" w:hAnsi="宋体" w:eastAsia="宋体" w:cs="宋体"/>
          <w:sz w:val="24"/>
          <w:szCs w:val="24"/>
        </w:rPr>
        <w:t xml:space="preserve">。（同招标公告要求）</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6.本项目允许联合体投标（联合体</w:t>
      </w:r>
      <w:r>
        <w:rPr>
          <w:rFonts w:hint="eastAsia" w:ascii="宋体" w:hAnsi="宋体" w:eastAsia="宋体" w:cs="宋体"/>
          <w:color w:val="auto"/>
          <w:sz w:val="24"/>
          <w:szCs w:val="24"/>
          <w:lang w:val="en-US" w:eastAsia="zh-CN"/>
        </w:rPr>
        <w:t xml:space="preserve">成员</w:t>
      </w:r>
      <w:r>
        <w:rPr>
          <w:rFonts w:hint="eastAsia" w:ascii="宋体" w:hAnsi="宋体" w:eastAsia="宋体" w:cs="宋体"/>
          <w:color w:val="auto"/>
          <w:sz w:val="24"/>
          <w:szCs w:val="24"/>
        </w:rPr>
        <w:t xml:space="preserve">合计不得超过2家）</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二、采购需求及服务内容</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1.服务范围：</w:t>
      </w:r>
      <w:r>
        <w:rPr>
          <w:rFonts w:hint="eastAsia" w:ascii="宋体" w:hAnsi="宋体" w:eastAsia="宋体" w:cs="宋体"/>
          <w:sz w:val="24"/>
          <w:szCs w:val="24"/>
        </w:rPr>
        <w:t xml:space="preserve">根据生态环境部《化工园区地下水污染专项整治工作方案》要求和园区地下水</w:t>
      </w:r>
      <w:r>
        <w:rPr>
          <w:rFonts w:hint="eastAsia" w:ascii="宋体" w:hAnsi="宋体" w:eastAsia="宋体" w:cs="宋体"/>
          <w:sz w:val="24"/>
          <w:szCs w:val="24"/>
          <w:u w:val="single"/>
        </w:rPr>
        <w:t xml:space="preserve">环境状况</w:t>
      </w:r>
      <w:r>
        <w:rPr>
          <w:rFonts w:hint="eastAsia" w:ascii="宋体" w:hAnsi="宋体" w:eastAsia="宋体" w:cs="宋体"/>
          <w:sz w:val="24"/>
          <w:szCs w:val="24"/>
        </w:rPr>
        <w:t xml:space="preserve">调查评估结果，江苏滨海经济开发区沿海工业园需要开展地下水污染风险管控及相关配套服务等工作。具体包括：公共区域中土壤、地下水中污染物超标10倍但人体健康风险可接受区域（A区），实施长期监测预警；公共区域土壤、地下水污染人体健康风险不可接受区域（B区），采取治理或管控措施；经污染地下水迁移模拟，地下水污染存在潜在迁移扩散风险的区域（C区），采取源削减措施。</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需根据《化工园区地下水污染专项整治工作方案》、《建设用地土壤修复技术导则》（HJ25.4-2019）、《污染地块地下水修复和风险管控技术导则》（HJ25.6-2019）、《污染地块风险管控与土壤修复效果评估技术导则》（HJ25.5-2018）等土壤和地下水修复和风险管控相关规定要求，</w:t>
      </w:r>
      <w:r>
        <w:rPr>
          <w:rFonts w:hint="eastAsia" w:ascii="宋体" w:hAnsi="宋体" w:eastAsia="宋体" w:cs="宋体"/>
          <w:sz w:val="24"/>
          <w:szCs w:val="24"/>
          <w:u w:val="single"/>
        </w:rPr>
        <w:t xml:space="preserve">依据风险管控服务单位编制的总体服务方案，按照国家和地方相关技术导则和工作指南，编制风险管控效果评估方案，方案需经专家论证通过后执行；按照风险管控效果评估方案布置效果评估监测点位，开展采样监测；按照风险管控效果评估方案对风险管控区域开展地下水等环境介质跟踪采样监测；按照国家和地方相关技术导则和工作指南，编制效果评估报告，组织并通过生态环境主管部门规定的风险管控效果评估报告专家评审等。</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2.服务内容：</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（1）编制风险管控效果评估工作方案，经专家论证通过后执行。</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（2）开展阶段性风险管控效果评估现场采样及检测（CMA）分析工作，开展项目竣工现场风险管控效果评估采样及检测（CMA）分析工作。</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（3）根据地块修复和风险管控进度以及掌握的地块信息，对地块概念模型进行更新，为开展效果评估提供依据。</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编制阶段性风险管控效果评估报告及项目竣工风险管控效果评估报告，报请业主，配合准备专家评审会议相关材料,向业主及专家评审委员会汇报风险管控效果评估工作内容及结果，按专家意见修改并配合业主完成备案。</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（5）运用相关信息化/智慧化软件或平台系统，对现场有关工作进行高效管理。根据项目现状的复杂性、投标人应匹配组建相应各类专业的人员、必要的设备仪器以确保满足项目需求。</w:t>
      </w:r>
      <w:r/>
    </w:p>
    <w:p>
      <w:pPr>
        <w:pStyle w:val="671"/>
        <w:ind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（6）根据项目需求组建专职专家团队，为本项目生态环境损害鉴定、土壤及地下水的风险管控监理服务提供专业的专家技术支持，根据招标人需求组织专家团队为招标人提供必要的咨询、论证等技术咨询服务。</w:t>
      </w:r>
      <w:r/>
    </w:p>
    <w:p>
      <w:pPr>
        <w:pStyle w:val="671"/>
        <w:ind w:firstLine="488"/>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（7）运用专业技术人员、技术标准编制经验、项目奖项申报经验等为园区可能申报或计划申报的与本项目相关的</w:t>
      </w:r>
      <w:r>
        <w:rPr>
          <w:rFonts w:hint="eastAsia" w:ascii="宋体" w:hAnsi="宋体" w:eastAsia="宋体" w:cs="宋体"/>
          <w:sz w:val="24"/>
          <w:szCs w:val="24"/>
          <w:highlight w:val="none"/>
          <w:lang w:val="en-US" w:eastAsia="zh-CN"/>
        </w:rPr>
        <w:t xml:space="preserve">国家</w:t>
      </w:r>
      <w:r>
        <w:rPr>
          <w:rFonts w:hint="eastAsia" w:ascii="宋体" w:hAnsi="宋体" w:eastAsia="宋体" w:cs="宋体"/>
          <w:sz w:val="24"/>
          <w:szCs w:val="24"/>
          <w:highlight w:val="none"/>
        </w:rPr>
        <w:t xml:space="preserve">科研课题、</w:t>
      </w:r>
      <w:r>
        <w:rPr>
          <w:rFonts w:hint="eastAsia" w:ascii="宋体" w:hAnsi="宋体" w:eastAsia="宋体" w:cs="宋体"/>
          <w:sz w:val="24"/>
          <w:szCs w:val="24"/>
          <w:highlight w:val="none"/>
          <w:lang w:val="en-US" w:eastAsia="zh-CN"/>
        </w:rPr>
        <w:t xml:space="preserve">省级技术中心验证基地、</w:t>
      </w:r>
      <w:r>
        <w:rPr>
          <w:rFonts w:hint="eastAsia" w:ascii="宋体" w:hAnsi="宋体" w:eastAsia="宋体" w:cs="宋体"/>
          <w:sz w:val="24"/>
          <w:szCs w:val="24"/>
          <w:highlight w:val="none"/>
        </w:rPr>
        <w:t xml:space="preserve">科研创新项目或生态环境导向开发项目或项目申报奖项提供协助、技术支撑、服务支撑和工作辅助指导等。</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3.服务要求：</w:t>
      </w:r>
      <w:r>
        <w:rPr>
          <w:rFonts w:hint="eastAsia" w:ascii="宋体" w:hAnsi="宋体" w:eastAsia="宋体" w:cs="宋体"/>
          <w:sz w:val="24"/>
          <w:szCs w:val="24"/>
        </w:rPr>
        <w:t xml:space="preserve">按照国家、江苏省和盐城市土壤和地下水修复和风险管控等相关规范、规定，完成采购人要求的工作。</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4.项目实施依据：</w:t>
      </w:r>
      <w:r>
        <w:rPr>
          <w:rFonts w:hint="eastAsia" w:ascii="宋体" w:hAnsi="宋体" w:eastAsia="宋体" w:cs="宋体"/>
          <w:sz w:val="24"/>
          <w:szCs w:val="24"/>
        </w:rPr>
        <w:t xml:space="preserve">《化工园区地下水污染专项整治工作方案》、《建设用地土壤污染风险管</w:t>
      </w:r>
      <w:r>
        <w:rPr>
          <w:rFonts w:hint="eastAsia" w:ascii="宋体" w:hAnsi="宋体" w:eastAsia="宋体" w:cs="宋体"/>
          <w:sz w:val="24"/>
          <w:szCs w:val="24"/>
        </w:rPr>
        <w:t xml:space="preserve">控和修复监测技术导则》（HJ25.2-2019）、《建设用地土壤污染风险评估技术导则》（HJ25.3-2019）、《建设用地土壤修复技术导则》（HJ25.4-2019）、《污染地块风险管控与土壤修复效果评估技术导则》（HJ25.5-2018）、《污染地块地下水修复和风险管控技术导则》（HJ25.6-2019）、《地下水环境监测技术规范》（HJ164-2020）、《地下水质量标准》（GB/T 14848-2017）、《土壤环境质量 建设用地土壤污染风险管控标准（试行）》（GB 36600-2018）‌等文件。</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注：如项目实施期间国家或地方或行业发布最新标准的，按最新标准执行，且不增加任何费用（政策另有要求的除外），中标人包干，相关政策及成本风险自行考量自行承担。</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5.工作成果</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至少包括：</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（1）项目风险管控工程效果评估方案</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（2）项目阶段性风险管控工程效果评估报告及相关附件（根据项目实施情况，如需要则提供）</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（3）项目风险管控工程效果评估报告及相关附件</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三、服务保障</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1、供应商应对照采购文件要求，说明所提供已对招标人的需求做出了实质性的响应，或申明与需求的偏差和例外。</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2、供应商可以在投标文件中提出不同的服务标准和保障承诺，使评标委员会相信替代服务相同于或优于原需求，对于具体参数要求的指标，供应商必须提供具体参数值。</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3、如果发生因供应商工作失职造成安全事故或其他财产损失和人身伤害，均由供应商承担相关经济和法律责任。</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四、其他管理要求</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应自行承担项目实施期间所产生的交通费、食宿费、通讯费、各种资料的编制、打印、复印和传递费、办公设备和用品费、为当地提供的设施和服务所付的费用）和不可预见费（指在酬金和可报销费用之外，在执行本项目服务任务的过程中所发生的额外的其它所有费用）等一切费用。</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2、中标人在服务期间须遵守下列廉洁执业规则：</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①不得收受和索取企业的任何报酬、礼品、土特产。</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②不得在现场工作期间与企业开展项目洽谈、产品推销、争取赞助等活动。</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③不得在现场工作期间接受企业接待，工作期间一律不得饮酒。</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④不得泄露企业的技术和商业秘密。</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3、成交供应商不得利用服务区域内的招标人房产、服务、水电等资源从事其他经营或非法活动，不能改变其服务性质。</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五、服务开展的原则及奖惩条款</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下列条款投标无须单独出具承诺材料，投标即视为承诺相关内容，中标后遵照执行：</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拟投入本项目人员须专门服务于本项目，且原则上不得更换。中标后，承诺拟投入的人员未按承诺到位或中标单位未经采购单位批准私自更换的，一经发现处罚10000元/人·次，同时中标单位仍应按投标响应文件中承诺的将人员配备到位。（投标时无须单独出具承诺材料，投标即视为承诺相关内容。）</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中标单位如需更换项目人员，应向招标人提出书面申请，经招标人批准后方可进行更换，所更换人员资格不得低于其投标文件承诺；中标后由于项目人员现场管理工作不到位，或无法起到应有的作用，视为不称职，招标人将要求中标单位更换项目人员，且所更换人员不得低于其投标响应文件承诺。无论中标单位申请更换或因不称职更换项目组人员均视为中标单位违约行为，招标人将向中标单位收取违约金，项目负责人10000元/人·次；其他相关人员1000元/人·次。（投标时无须单独出具承诺材料，投标即视为承诺相关内容。）</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3．中标单位原则上应当提供驻场服务和工作指导，如无法提供驻场人员的，一经发现，招标人有权处罚10000元/人·次。（投标时无须单独出具承诺材料，投标即视为承诺相关内容。）</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本项目服务周期较长，服务项目点位分散，投标人中标后应当在服务区域内设立配置固定的办公场所，配置相应的软硬件设施以满足项目需求，人员办公地点集中化便于人员管理。否则，招标人有权处罚10000元/次。（投标时无须单独出具承诺材料，投标即视为承诺相关内容。）</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5．投标单位对招标人提供的数据、材料及检测结果、调查评估结果具有保密义务，如发现投标单位有任何形式的泄密行为，招标人有权解除合同并追究其相关责任。</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6．投标单位根据招标人的具体要求开展委托工作，并对招标人负责；完成指定项目后，应按招标人要求及时出具相关书面材料，并拟定费用明细，经招标人审核后作为结算凭据。</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7．投标单位根据招标人的要求开展风险管控服务工作，并做好质量控制。在服务过程中如发现由于客观原因而严重影响项目进度的，由投标单位提出延长项目完成时间的书面申请，经招标人核准后给予时间调整。</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投标单位应加强对分包单位的管理。投标单位需按照国家现行法律法规组织并协调分包单位开展相关服务工作，导致服务过程不佳的，由投标单位承担总体责任，招标人将对投标单位予以警告（同时予以10000元/次的处罚）直至不再对其进行委托或解除合同，并追究造成招标人损失的责任。</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9．投标单位应加强对项目服务过程中相关资料的保管，服务工作全面完成后，投标单位应按相关文件及招标人要求备案电子与纸质资料；其余资料，投标单位应按招标人要求存档保管，并应及时响应招标人对评估资料进行调用、审核等要求，纸质材料保管时间为至少三年，电子版材料保管时间至少十年。对档案管理不完善造成资料遗失的供应商，招标人将予以警告直至不再对其进行委托或解除合同。</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10．投标单位及其委托的分包单位须按照招标人要求配合完成风险管控服务全流程的信息化相关工作并对其负责，包括数据收集、录入、上传、运维及招标人要求的其他相关工作。</w:t>
      </w:r>
      <w:r/>
    </w:p>
    <w:p>
      <w:pPr>
        <w:pStyle w:val="671"/>
        <w:ind w:firstLine="480"/>
        <w:keepLines w:val="0"/>
        <w:keepNext w:val="0"/>
        <w:pageBreakBefore w:val="0"/>
        <w:spacing w:line="480" w:lineRule="exact"/>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11．投标单位应积极主动配合招标人有关工作，服从管理调配。如服务过程中投标单位无正当理由不配合招标人工作的，处罚款5000元/次。</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投标单位应对本项目的所有成果材料及请款材料的合法性、规范性、真实性、准确性、完整性负责，加强内容审核，提交至招标人的材料原则上不予替换。由于投标单位原因导致材料需重新提交的，招标人将予以警告直至不再对其进行委托。涉及总体服务方案等方案编制的，方案需依据国家、江苏省、盐城市、滨海县相关文件要求开展，应通过专家评审，作为后续工作的依据。</w:t>
      </w:r>
      <w:r/>
    </w:p>
    <w:p>
      <w:pPr>
        <w:pStyle w:val="661"/>
        <w:jc w:val="center"/>
        <w:keepLines w:val="0"/>
        <w:keepNext w:val="0"/>
        <w:pageBreakBefore w:val="0"/>
        <w:spacing w:beforeAutospacing="0" w:afterAutospacing="0"/>
        <w:widowControl w:val="off"/>
        <w:rPr>
          <w:sz w:val="24"/>
          <w:szCs w:val="24"/>
          <w:highlight w:val="none"/>
        </w:rPr>
      </w:pPr>
      <w:r>
        <w:rPr>
          <w:sz w:val="24"/>
          <w:szCs w:val="24"/>
          <w:highlight w:val="none"/>
        </w:rPr>
        <w:t xml:space="preserve"> </w:t>
      </w:r>
      <w:r/>
    </w:p>
    <w:p>
      <w:pPr>
        <w:keepLines w:val="0"/>
        <w:keepNext w:val="0"/>
        <w:pageBreakBefore w:val="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61"/>
        <w:jc w:val="center"/>
        <w:keepLines w:val="0"/>
        <w:keepNext w:val="0"/>
        <w:pageBreakBefore w:val="0"/>
        <w:spacing w:beforeAutospacing="0" w:afterAutospacing="0"/>
        <w:widowControl w:val="off"/>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1"/>
        <w:ind w:firstLine="441"/>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67"/>
        <w:ind w:firstLine="3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61"/>
        <w:ind w:firstLine="36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61"/>
        <w:ind w:firstLine="36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61"/>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61"/>
        <w:ind w:left="120" w:firstLine="36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61"/>
        <w:ind w:left="120" w:firstLine="36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61"/>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61"/>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61"/>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 xml:space="preserve">和招标文件规定的，供应商提供的相关产品视为不符合本国产品标准。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1"/>
        <w:ind w:firstLine="482"/>
        <w:keepLines w:val="0"/>
        <w:keepNext w:val="0"/>
        <w:pageBreakBefore w:val="0"/>
        <w:spacing w:before="120" w:beforeAutospacing="0" w:after="12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评标方法与评标标准</w:t>
      </w:r>
      <w:r/>
    </w:p>
    <w:tbl>
      <w:tblPr>
        <w:tblStyle w:val="650"/>
        <w:tblW w:w="5596" w:type="pct"/>
        <w:tblInd w:w="-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2"/>
        <w:gridCol w:w="651"/>
        <w:gridCol w:w="1302"/>
        <w:gridCol w:w="6359"/>
        <w:gridCol w:w="754"/>
      </w:tblGrid>
      <w:tr>
        <w:trPr>
          <w:trHeight w:val="658"/>
          <w:tblHeader/>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3"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评审项</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分值</w:t>
            </w:r>
            <w:r/>
          </w:p>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权重</w:t>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3"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投标报价分采用最低价优先法计算，即满足招标文件要求且投标报价的最低报价为评标基准价，其报价分为满分，其他投标人的报价分按照下列公式计算：报价得分=（评标基准价/投标报价）×10。</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投标人自2020年01月01日（含）（以合同签订时间为准）以来承担过类似项目的效果评估服务业绩，每提供1个得1分，本项最高得5分。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1：类似业绩指：地块（或场地）土壤（或地下水）修复（或应急处置工程或风险管控工程）的效果评估服务业绩。与本项目工业污染地块修复或管控技术特征不一致的矿山修复、固体废物处理处置、生活垃圾处理处置、水体修复、生态修复、底泥治理、农田治理等对应效果评估业绩不作为类似项目业绩。</w:t>
            </w:r>
            <w:r>
              <w:rPr>
                <w:rStyle w:val="684"/>
                <w:b w:val="0"/>
                <w:bCs w:val="0"/>
                <w:color w:val="auto"/>
                <w:sz w:val="24"/>
                <w:szCs w:val="24"/>
                <w:highlight w:val="none"/>
                <w:lang w:val="en-US" w:eastAsia="zh-CN" w:bidi="ar"/>
              </w:rPr>
              <w:br/>
            </w:r>
            <w:r>
              <w:rPr>
                <w:rStyle w:val="684"/>
                <w:b w:val="0"/>
                <w:bCs w:val="0"/>
                <w:color w:val="auto"/>
                <w:sz w:val="24"/>
                <w:szCs w:val="24"/>
                <w:highlight w:val="none"/>
                <w:lang w:val="en-US" w:eastAsia="zh-CN" w:bidi="ar"/>
              </w:rPr>
              <w:t xml:space="preserve">注2：投标时需提供合同扫描件、中标（成交）通知书扫描件（如有），所提供业绩材料须能反映项目时间、项目类型等项目特征指标，未提供不得分。</w:t>
            </w:r>
            <w:r>
              <w:rPr>
                <w:rStyle w:val="684"/>
                <w:b w:val="0"/>
                <w:bCs w:val="0"/>
                <w:color w:val="auto"/>
                <w:sz w:val="24"/>
                <w:szCs w:val="24"/>
                <w:highlight w:val="none"/>
                <w:lang w:val="en-US" w:eastAsia="zh-CN" w:bidi="ar"/>
              </w:rPr>
              <w:br/>
            </w:r>
            <w:r>
              <w:rPr>
                <w:rStyle w:val="684"/>
                <w:b w:val="0"/>
                <w:bCs w:val="0"/>
                <w:color w:val="auto"/>
                <w:sz w:val="24"/>
                <w:szCs w:val="24"/>
                <w:highlight w:val="none"/>
                <w:lang w:val="en-US" w:eastAsia="zh-CN" w:bidi="ar"/>
              </w:rPr>
              <w:t xml:space="preserve">注3：如要求提供的业绩证明材料不能反应项目内容，需提供业绩发包人出具的证明材料扫描件，否则不得分。（</w:t>
            </w:r>
            <w:r>
              <w:rPr>
                <w:rStyle w:val="684"/>
                <w:rFonts w:hint="eastAsia"/>
                <w:b w:val="0"/>
                <w:bCs w:val="0"/>
                <w:color w:val="auto"/>
                <w:sz w:val="24"/>
                <w:szCs w:val="24"/>
                <w:highlight w:val="none"/>
                <w:lang w:val="en-US" w:eastAsia="zh-CN" w:bidi="ar"/>
              </w:rPr>
              <w:t xml:space="preserve">如组成联合体参加投标的，此项须</w:t>
            </w:r>
            <w:r>
              <w:rPr>
                <w:rStyle w:val="684"/>
                <w:rFonts w:hint="eastAsia"/>
                <w:b/>
                <w:bCs/>
                <w:color w:val="auto"/>
                <w:sz w:val="24"/>
                <w:szCs w:val="24"/>
                <w:highlight w:val="none"/>
                <w:u w:val="single"/>
                <w:lang w:val="en-US" w:eastAsia="zh-CN" w:bidi="ar"/>
              </w:rPr>
              <w:t xml:space="preserve">牵头单位</w:t>
            </w:r>
            <w:r>
              <w:rPr>
                <w:rStyle w:val="684"/>
                <w:rFonts w:hint="eastAsia"/>
                <w:b w:val="0"/>
                <w:bCs w:val="0"/>
                <w:color w:val="auto"/>
                <w:sz w:val="24"/>
                <w:szCs w:val="24"/>
                <w:highlight w:val="none"/>
                <w:lang w:val="en-US" w:eastAsia="zh-CN" w:bidi="ar"/>
              </w:rPr>
              <w:t xml:space="preserve">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CMA检测能力</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CMA实验室配备评估（3分）：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投标人拟投入本评审项目使用的硬件设施包括CMA认证检测实验室或实验分析中心的按照下述细则进行评审：</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①投标人具备CMA检测实验室的，得3分；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②投标人不具备CMA认证检测实验室或实验分析中心的，本评审项不得分。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本项最高得3分。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注：投标人的CMA认证检测实验室或实验分析中心须提供质量技术监督部门出具的CMA资质认证证书扫描件，未提供不得分。</w:t>
            </w:r>
            <w:r>
              <w:rPr>
                <w:rStyle w:val="684"/>
                <w:b w:val="0"/>
                <w:bCs w:val="0"/>
                <w:color w:val="auto"/>
                <w:sz w:val="24"/>
                <w:szCs w:val="24"/>
                <w:highlight w:val="none"/>
                <w:lang w:val="en-US" w:eastAsia="zh-CN" w:bidi="ar"/>
              </w:rPr>
              <w:t xml:space="preserve">（</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技术能力</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投标人参与过国家级环保标准、指南或规范编制的，每提供 1 个得 2 分；参与省级环保标准、指南或规范编制的项目，每提供一个得 1分；本项最高得 5 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注：投标文件中须提供标准（指南或规范）的首页、前言等能体现标准名称、编制单位名称等内容的扫描件予以佐证。（</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咨询水平</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投标人具有工程咨询单位（生态建设和环境工程）专业甲级资信能力的，得3分；具有乙级（含暂定）资信能力的得1分。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注：提供有效的资信证书扫描件，否则不得分。（</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技术平台</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投标人具有省部级及以上土壤或地下水环境保护相关技术平台（含重点实验室、工程技术中心、研发中心等）的，得5分；其他级别的，得2分。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注：本项须提供有关证书或发文文件或官网截图予以证明，否则不予认可。（</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r>
      <w:tr>
        <w:trPr>
          <w:trHeight w:val="94"/>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技术分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409"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技术分编制及评审要求：评标委员会专家根据以下技术分评分点横向对比打分，投标供应商未提供相关方案或提供的方案内容极差严重偏离本项目采购需求的，经评标委员会认定可不予给分。</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项目理解及重难点分析（10分）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投标人应根据本项目要求通过现场踏勘等方式自行理解，技术服务方案突出本项目的工作难点重点。</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评标专家综合评审有关技术方案：技术方案评价为优的得10分；技术方案评价基本满足采购需求的得7分；技术方案评价次于采购需求的得4分；技术方案严重负偏离采购需求或未提供技术方案的不得分。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r>
        <w:trPr>
          <w:trHeight w:val="1692"/>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效果评估工作方案（10 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应根据本项目特点，撰写效果评估工作方案，包括但不限于：人员投入与安排、仪器使用、效果评估工作程序与内容、效果评估报告编制及评审等，做到科学合理、分工明确、目标清楚、职责明确。评标专家综合评审有关技术方案：技术方案评价为优的得10分；技术方案评价基本满足采购需求的得7分；技术方案评价次于采购需求的得4分；技术方案严重负偏离采购需求或未提供技术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效果评估质量管理和保障措施（7分）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投标人结合本项目特点，</w:t>
            </w:r>
            <w:r>
              <w:rPr>
                <w:rFonts w:hint="eastAsia" w:ascii="Times New Roman" w:hAnsi="Times New Roman" w:eastAsia="宋体" w:cs="Times New Roman"/>
                <w:b w:val="0"/>
                <w:bCs w:val="0"/>
                <w:color w:val="auto"/>
                <w:sz w:val="24"/>
                <w:highlight w:val="none"/>
                <w:lang w:bidi="ar"/>
              </w:rPr>
              <w:t xml:space="preserve">提出质量管理制度和保障措施，要求科学合理且可操作性强</w:t>
            </w:r>
            <w:r>
              <w:rPr>
                <w:rFonts w:hint="eastAsia" w:ascii="宋体" w:hAnsi="宋体" w:eastAsia="宋体" w:cs="宋体"/>
                <w:b w:val="0"/>
                <w:bCs w:val="0"/>
                <w:i w:val="0"/>
                <w:iCs w:val="0"/>
                <w:color w:val="auto"/>
                <w:sz w:val="24"/>
                <w:szCs w:val="24"/>
                <w:highlight w:val="none"/>
                <w:u w:val="none"/>
                <w:lang w:val="en-US" w:eastAsia="zh-CN" w:bidi="ar"/>
              </w:rPr>
              <w:t xml:space="preserve">。评标专家综合评审有关技术方案：技术方案评价为优的得7分；技术方案评价基本满足采购需求的得5分；技术方案评价次于采购需求的得3分；技术方案严重负偏离采购需求或未提供技术方案的不得分。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ascii="Times New Roman" w:hAnsi="Times New Roman" w:eastAsia="宋体" w:cs="Times New Roman"/>
                <w:b w:val="0"/>
                <w:bCs w:val="0"/>
                <w:color w:val="auto"/>
                <w:sz w:val="24"/>
                <w:highlight w:val="none"/>
                <w:lang w:bidi="ar"/>
              </w:rPr>
              <w:t xml:space="preserve">服务进度及保障措施</w:t>
            </w:r>
            <w:r>
              <w:rPr>
                <w:rFonts w:hint="eastAsia" w:ascii="宋体" w:hAnsi="宋体" w:eastAsia="宋体" w:cs="宋体"/>
                <w:b w:val="0"/>
                <w:bCs w:val="0"/>
                <w:i w:val="0"/>
                <w:iCs w:val="0"/>
                <w:color w:val="auto"/>
                <w:sz w:val="24"/>
                <w:szCs w:val="24"/>
                <w:highlight w:val="none"/>
                <w:u w:val="none"/>
                <w:lang w:val="en-US" w:eastAsia="zh-CN" w:bidi="ar"/>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应根据本项目特点，提出服务进度及保障措施，要求措施全面、投入充分且能够确保服务进度。评标专家综合评审有关技术方案：技术方案评价为优的得7分；技术方案评价基本满足采购需求的得5分；技术方案评价次于采购需求的得3分；技术方案严重负偏离采购需求或未提供技术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服务风险防控及应急预案（6分）</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投标人应根据本项目特点，</w:t>
            </w:r>
            <w:r>
              <w:rPr>
                <w:rFonts w:ascii="Times New Roman" w:hAnsi="Times New Roman" w:eastAsia="宋体" w:cs="Times New Roman"/>
                <w:b w:val="0"/>
                <w:bCs w:val="0"/>
                <w:color w:val="auto"/>
                <w:sz w:val="24"/>
                <w:highlight w:val="none"/>
                <w:lang w:bidi="ar"/>
              </w:rPr>
              <w:t xml:space="preserve">提出服务风险防控及应急预案</w:t>
            </w:r>
            <w:r>
              <w:rPr>
                <w:rFonts w:hint="eastAsia" w:ascii="Times New Roman" w:hAnsi="Times New Roman" w:eastAsia="宋体" w:cs="Times New Roman"/>
                <w:b w:val="0"/>
                <w:bCs w:val="0"/>
                <w:color w:val="auto"/>
                <w:sz w:val="24"/>
                <w:highlight w:val="none"/>
                <w:lang w:bidi="ar"/>
              </w:rPr>
              <w:t xml:space="preserve">，要求风险预判充分、防控措施及应急预案全面、可操作性强</w:t>
            </w:r>
            <w:r>
              <w:rPr>
                <w:rFonts w:hint="eastAsia" w:ascii="宋体" w:hAnsi="宋体" w:eastAsia="宋体" w:cs="宋体"/>
                <w:b w:val="0"/>
                <w:bCs w:val="0"/>
                <w:i w:val="0"/>
                <w:iCs w:val="0"/>
                <w:color w:val="auto"/>
                <w:sz w:val="24"/>
                <w:szCs w:val="24"/>
                <w:highlight w:val="none"/>
                <w:u w:val="none"/>
                <w:lang w:val="en-US" w:eastAsia="zh-CN" w:bidi="ar"/>
              </w:rPr>
              <w:t xml:space="preserve">。评标专家综合评审有关技术方案：技术方案评价为优的得6分；技术方案评价基本满足采购需求的得4分；技术方案评价次于采购需求的得2分；技术方案严重负偏离采购需求或未提供技术方案的不得分。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r>
      <w:tr>
        <w:trPr>
          <w:trHeight w:val="169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服务团队（项目负责人）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目负责人具有环境类相关（指环境科学、环境工程、化学或土壤污染防治、土壤学、水文地质等）专业副高级及以上职称的，得2分；（指环境科学、环境工程、化学或土壤污染防治、土壤学、水文地质等）中级职称的得1分，其余不得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注：本项须提供人员职称证书、人员社保（2026年5月至</w:t>
            </w:r>
            <w:r>
              <w:rPr>
                <w:rStyle w:val="684"/>
                <w:rFonts w:hint="eastAsia"/>
                <w:b w:val="0"/>
                <w:bCs w:val="0"/>
                <w:color w:val="auto"/>
                <w:sz w:val="24"/>
                <w:szCs w:val="24"/>
                <w:highlight w:val="none"/>
                <w:lang w:val="en-US" w:eastAsia="zh-CN" w:bidi="ar"/>
              </w:rPr>
              <w:t xml:space="preserve">开标截止日期止</w:t>
            </w:r>
            <w:r>
              <w:rPr>
                <w:rStyle w:val="684"/>
                <w:b w:val="0"/>
                <w:bCs w:val="0"/>
                <w:color w:val="auto"/>
                <w:sz w:val="24"/>
                <w:szCs w:val="24"/>
                <w:highlight w:val="none"/>
                <w:lang w:val="en-US" w:eastAsia="zh-CN" w:bidi="ar"/>
              </w:rPr>
              <w:t xml:space="preserve">任意一个月在本单位的依法缴纳社会保险证明材料）以证明，未提供不得分。（</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服务团队（效果评估组成员）</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目组成员具有环境类相关（环境科学、环境工程、化学或土壤污染防治、土壤学、水文地质等）专业正高职称（或教授或研究员或教授级高工），每一人得1分，项目组成员具有环境类专业高级职称的，每一人得0.7分；中级每有1人得0.5分；最多对12人计分，最高得12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注：以上须提供职称证书扫描件，专业以职称证书上载明的专业为准（职称证书上未载明的专业额外提供学历证书辅助证明）、人员社保（2026年5月至</w:t>
            </w:r>
            <w:r>
              <w:rPr>
                <w:rStyle w:val="684"/>
                <w:rFonts w:hint="eastAsia"/>
                <w:b w:val="0"/>
                <w:bCs w:val="0"/>
                <w:color w:val="auto"/>
                <w:sz w:val="24"/>
                <w:szCs w:val="24"/>
                <w:highlight w:val="none"/>
                <w:lang w:val="en-US" w:eastAsia="zh-CN" w:bidi="ar"/>
              </w:rPr>
              <w:t xml:space="preserve">开标截止日期止任意</w:t>
            </w:r>
            <w:r>
              <w:rPr>
                <w:rStyle w:val="684"/>
                <w:b w:val="0"/>
                <w:bCs w:val="0"/>
                <w:color w:val="auto"/>
                <w:sz w:val="24"/>
                <w:szCs w:val="24"/>
                <w:highlight w:val="none"/>
                <w:lang w:val="en-US" w:eastAsia="zh-CN" w:bidi="ar"/>
              </w:rPr>
              <w:t xml:space="preserve">一个月在本单位的依法缴纳社会保险证明材料）以证明，未提供不得分。（</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服务团队（专家配置）</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服务团队专家配置评估（10分）：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投标人拟派项目组服务团队成员入选省级及以上生态环境行政主管部门组建的生态环境损害鉴定评估与修复效果评估评审专家库的，每配置1人得0.5分，本审项最高得5分。（注：本评审项须提供生态环境主管部门发布的最近一次入库文件或网站公告（通知）及其名单截图，否则不予认可。）</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投标人拟派项目组服务团队成员具备司法鉴定人执业资格（执业范围至少包括土壤与地下水环境损害鉴定）的，每配置1人得1分，本项最高得5分。（注：本评审项需提供符合范围要求的司法鉴定人执业证书扫描件，否则不予认可。）</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本项最高得10分。</w:t>
            </w:r>
            <w:r/>
          </w:p>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注：上述评分项中涉及的人员，同时提供从2026年5月开始至投标截止之日当月至少1个月在本单位缴纳社会保险缴费记录证明，未提供的不得分。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服务设施（软件设施）</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投标人拟投入地下水或水质（或水体）或水污染相关的监测监控等系统平台软件提高服务质量或工作效率的，每投入1项得1分，本评审项最高得3分。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1）如为自研软件的，提供软件著作权证书予以佐证；非自研软件的，须提供软件厂商（或著作权人）软件著作权证书、软件购买（或使用）合同证明材料方予认可，未提供不得分。（2）拟投入管理软件可自拟表格汇总便于评审，非强制要求。（</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服务设施（设备仪器）</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拟投入本项目设备中，具有：1.光离子化检测仪（PID或VOC检测仪器）；2.X射线荧光光谱仪（XRF或重金属检测仪）；3.土壤或地下水采样钻机（钻探设备）设备；4.无人机设备的，每投入任意一类得0.5分，本评审项最高得2分。</w:t>
            </w:r>
            <w:r>
              <w:rPr>
                <w:rFonts w:hint="eastAsia" w:ascii="宋体" w:hAnsi="宋体" w:eastAsia="宋体" w:cs="宋体"/>
                <w:b w:val="0"/>
                <w:bCs w:val="0"/>
                <w:i w:val="0"/>
                <w:iCs w:val="0"/>
                <w:color w:val="auto"/>
                <w:sz w:val="24"/>
                <w:szCs w:val="24"/>
                <w:highlight w:val="none"/>
                <w:u w:val="none"/>
                <w:lang w:val="en-US" w:eastAsia="zh-CN" w:bidi="ar"/>
              </w:rPr>
              <w:br/>
            </w:r>
            <w:r>
              <w:rPr>
                <w:rStyle w:val="684"/>
                <w:b w:val="0"/>
                <w:bCs w:val="0"/>
                <w:color w:val="auto"/>
                <w:sz w:val="24"/>
                <w:szCs w:val="24"/>
                <w:highlight w:val="none"/>
                <w:lang w:val="en-US" w:eastAsia="zh-CN" w:bidi="ar"/>
              </w:rPr>
              <w:t xml:space="preserve">注：如为自有设备的，本评审项须提供购置发票，未提供不得分。如发票未载明仪器设备名称或种类的或描述不清的，可备注说明或可同时提供购置合同以辅助佐证（自有设备合同非强制要求，仅用于必要时佐证）；如为租赁设备的，必须提供租赁合同扫描件及出租方仪器设备购置发票，未提供不得分。同一类设备重复提供不重复得分。（</w:t>
            </w:r>
            <w:r>
              <w:rPr>
                <w:rStyle w:val="684"/>
                <w:rFonts w:hint="eastAsia"/>
                <w:b w:val="0"/>
                <w:bCs w:val="0"/>
                <w:color w:val="auto"/>
                <w:sz w:val="24"/>
                <w:szCs w:val="24"/>
                <w:highlight w:val="none"/>
                <w:lang w:val="en-US" w:eastAsia="zh-CN" w:bidi="ar"/>
              </w:rPr>
              <w:t xml:space="preserve">如组成联合体参加投标的，此项须牵头单位具备方可得分，否则不予认可</w:t>
            </w:r>
            <w:r>
              <w:rPr>
                <w:rStyle w:val="684"/>
                <w:b w:val="0"/>
                <w:b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r>
    </w:tbl>
    <w:p>
      <w:pPr>
        <w:pStyle w:val="661"/>
        <w:jc w:val="center"/>
        <w:keepLines w:val="0"/>
        <w:keepNext w:val="0"/>
        <w:pageBreakBefore w:val="0"/>
        <w:spacing w:beforeAutospacing="0" w:afterAutospacing="0"/>
        <w:widowControl w:val="off"/>
        <w:rPr>
          <w:highlight w:val="none"/>
        </w:rPr>
      </w:pPr>
      <w: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第六章  投标文件格式</w:t>
      </w:r>
      <w:r/>
      <w:r>
        <w:rPr>
          <w:highlight w:val="none"/>
        </w:rPr>
      </w:r>
    </w:p>
    <w:p>
      <w:pPr>
        <w:pStyle w:val="661"/>
        <w:jc w:val="center"/>
        <w:keepLines w:val="0"/>
        <w:keepNext w:val="0"/>
        <w:pageBreakBefore w:val="0"/>
        <w:spacing w:beforeAutospacing="0" w:afterAutospacing="0"/>
        <w:widowControl w:val="off"/>
        <w:rPr>
          <w:rFonts w:hint="eastAsia" w:ascii="宋体" w:hAnsi="宋体" w:eastAsia="宋体" w:cs="宋体"/>
          <w:b/>
          <w:color w:val="000000"/>
          <w:sz w:val="72"/>
          <w:szCs w:val="72"/>
          <w:highlight w:val="none"/>
        </w:rPr>
      </w:pPr>
      <w:r/>
      <w:bookmarkStart w:id="181" w:name="_Toc26554094"/>
      <w:r/>
      <w:bookmarkEnd w:id="181"/>
      <w:r/>
      <w:bookmarkStart w:id="182" w:name="_Hlt26955039"/>
      <w:r/>
      <w:bookmarkEnd w:id="182"/>
      <w:r/>
      <w:bookmarkStart w:id="183" w:name="_Hlt26671244"/>
      <w:r/>
      <w:bookmarkEnd w:id="183"/>
      <w:r/>
      <w:bookmarkStart w:id="184" w:name="_Toc49090576"/>
      <w:r/>
      <w:bookmarkStart w:id="185" w:name="_Toc120614282"/>
      <w:r/>
      <w:r/>
    </w:p>
    <w:p>
      <w:pPr>
        <w:pStyle w:val="661"/>
        <w:jc w:val="center"/>
        <w:keepLines w:val="0"/>
        <w:keepNext w:val="0"/>
        <w:pageBreakBefore w:val="0"/>
        <w:spacing w:beforeAutospacing="0" w:afterAutospacing="0"/>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keepLines w:val="0"/>
        <w:keepNext w:val="0"/>
        <w:pageBreakBefore w:val="0"/>
        <w:spacing w:beforeAutospacing="0" w:afterAutospacing="0"/>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keepLines w:val="0"/>
        <w:keepNext w:val="0"/>
        <w:pageBreakBefore w:val="0"/>
        <w:spacing w:beforeAutospacing="0" w:afterAutospacing="0"/>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b/>
          <w:color w:val="000000"/>
          <w:sz w:val="72"/>
          <w:szCs w:val="72"/>
          <w:highlight w:val="none"/>
        </w:rPr>
        <w:t xml:space="preserve">投  标  文  件</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u w:val="single"/>
        </w:rPr>
        <w:t xml:space="preserve">               </w:t>
      </w:r>
      <w:r/>
    </w:p>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keepLines w:val="0"/>
        <w:keepNext w:val="0"/>
        <w:pageBreakBefore w:val="0"/>
        <w:spacing w:beforeAutospacing="0" w:afterAutospacing="0" w:line="0" w:lineRule="atLeast"/>
        <w:widowControl w:val="off"/>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shd w:val="nil"/>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661"/>
        <w:jc w:val="center"/>
        <w:keepLines w:val="0"/>
        <w:keepNext w:val="0"/>
        <w:pageBreakBefore w:val="0"/>
        <w:spacing w:beforeAutospacing="0" w:afterAutospacing="0" w:line="0" w:lineRule="atLeast"/>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left="480"/>
        <w:jc w:val="both"/>
        <w:keepLines w:val="0"/>
        <w:keepNext w:val="0"/>
        <w:pageBreakBefore w:val="0"/>
        <w:spacing w:beforeAutospacing="0" w:afterAutospacing="0"/>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widowControl w:val="off"/>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、技术方案、服务承诺、培训承诺等</w:t>
      </w:r>
      <w:r/>
    </w:p>
    <w:p>
      <w:pPr>
        <w:pStyle w:val="661"/>
        <w:ind w:left="480"/>
        <w:jc w:val="both"/>
        <w:keepLines w:val="0"/>
        <w:keepNext w:val="0"/>
        <w:pageBreakBefore w:val="0"/>
        <w:spacing w:beforeAutospacing="0" w:afterAutospacing="0"/>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61"/>
        <w:ind w:firstLine="480"/>
        <w:jc w:val="both"/>
        <w:keepLines w:val="0"/>
        <w:keepNext w:val="0"/>
        <w:pageBreakBefore w:val="0"/>
        <w:spacing w:beforeAutospacing="0" w:afterAutospacing="0" w:line="0" w:lineRule="atLeast"/>
        <w:widowControl w:val="off"/>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keepLines w:val="0"/>
        <w:keepNext w:val="0"/>
        <w:pageBreakBefore w:val="0"/>
        <w:spacing w:beforeAutospacing="0" w:afterAutospacing="0" w:line="0" w:lineRule="atLeast"/>
        <w:widowControl w:val="off"/>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both"/>
        <w:keepLines w:val="0"/>
        <w:keepNext w:val="0"/>
        <w:pageBreakBefore w:val="0"/>
        <w:spacing w:beforeAutospacing="0" w:afterAutospacing="0"/>
        <w:widowControl w:val="off"/>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keepLines w:val="0"/>
        <w:keepNext w:val="0"/>
        <w:pageBreakBefore w:val="0"/>
        <w:widowControl w:val="off"/>
        <w:tabs>
          <w:tab w:val="left" w:pos="1331" w:leader="none"/>
        </w:tabs>
        <w:rPr>
          <w:rFonts w:hint="eastAsia" w:ascii="宋体" w:hAnsi="宋体" w:eastAsia="宋体" w:cs="宋体"/>
          <w:i w:val="0"/>
          <w:iCs/>
          <w:color w:val="000000"/>
          <w:sz w:val="24"/>
          <w:szCs w:val="24"/>
          <w:highlight w:val="green"/>
          <w:u w:val="none"/>
          <w:lang w:val="en-US" w:eastAsia="zh-CN" w:bidi="ar-SA"/>
        </w:rPr>
      </w:pPr>
      <w:r>
        <w:rPr>
          <w:rFonts w:hint="eastAsia" w:ascii="宋体" w:hAnsi="宋体" w:eastAsia="宋体" w:cs="宋体"/>
          <w:i w:val="0"/>
          <w:iCs/>
          <w:color w:val="000000"/>
          <w:sz w:val="24"/>
          <w:szCs w:val="24"/>
          <w:highlight w:val="green"/>
          <w:u w:val="none"/>
          <w:lang w:val="en-US" w:eastAsia="zh-CN" w:bidi="ar-SA"/>
        </w:rPr>
        <w:t xml:space="preserve">（企业单位至少提供资产负债表、利润表、现金流量表，投标人成立不满一年无需提供；非企业性质的事业单位等可提供财务审计报告等佐证材料。）</w:t>
      </w:r>
      <w:r/>
    </w:p>
    <w:p>
      <w:pPr>
        <w:pStyle w:val="661"/>
        <w:ind w:firstLine="480"/>
        <w:jc w:val="both"/>
        <w:keepLines w:val="0"/>
        <w:keepNext w:val="0"/>
        <w:pageBreakBefore w:val="0"/>
        <w:spacing w:beforeAutospacing="0" w:afterAutospacing="0" w:line="0" w:lineRule="atLeast"/>
        <w:widowControl w:val="off"/>
        <w:rPr>
          <w:highlight w:val="green"/>
        </w:rPr>
      </w:pPr>
      <w:r>
        <w:rPr>
          <w:highlight w:val="green"/>
        </w:rPr>
      </w:r>
      <w:r/>
    </w:p>
    <w:p>
      <w:pPr>
        <w:pStyle w:val="661"/>
        <w:jc w:val="both"/>
        <w:keepLines w:val="0"/>
        <w:keepNext w:val="0"/>
        <w:pageBreakBefore w:val="0"/>
        <w:spacing w:beforeAutospacing="0" w:afterAutospacing="0"/>
        <w:widowControl w:val="off"/>
        <w:rPr>
          <w:highlight w:val="none"/>
        </w:rPr>
      </w:pPr>
      <w:r>
        <w:rPr>
          <w:highlight w:val="none"/>
        </w:rPr>
        <w:t xml:space="preserve"> </w:t>
      </w: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1"/>
        <w:ind w:firstLine="492"/>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1"/>
        <w:ind w:firstLine="492"/>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1"/>
        <w:jc w:val="both"/>
        <w:keepLines w:val="0"/>
        <w:keepNext w:val="0"/>
        <w:pageBreakBefore w:val="0"/>
        <w:spacing w:beforeAutospacing="0" w:afterAutospacing="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1"/>
        <w:jc w:val="both"/>
        <w:keepLines w:val="0"/>
        <w:keepNext w:val="0"/>
        <w:pageBreakBefore w:val="0"/>
        <w:spacing w:beforeAutospacing="0" w:afterAutospacing="0"/>
        <w:widowControl w:val="off"/>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1"/>
        <w:ind w:firstLine="480"/>
        <w:jc w:val="both"/>
        <w:keepLines w:val="0"/>
        <w:keepNext w:val="0"/>
        <w:pageBreakBefore w:val="0"/>
        <w:spacing w:beforeAutospacing="0" w:afterAutospacing="0"/>
        <w:widowControl w:val="off"/>
        <w:rPr>
          <w:highlight w:val="none"/>
        </w:rPr>
      </w:p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61"/>
        <w:jc w:val="both"/>
        <w:keepLines w:val="0"/>
        <w:keepNext w:val="0"/>
        <w:pageBreakBefore w:val="0"/>
        <w:spacing w:beforeAutospacing="0" w:afterAutospacing="0"/>
        <w:widowControl w:val="off"/>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1"/>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b/>
          <w:color w:val="000000"/>
          <w:sz w:val="44"/>
          <w:szCs w:val="44"/>
          <w:highlight w:val="none"/>
        </w:rPr>
        <w:t xml:space="preserve">       声  明</w:t>
      </w:r>
      <w:r/>
    </w:p>
    <w:p>
      <w:pPr>
        <w:pStyle w:val="661"/>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1"/>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1"/>
        <w:jc w:val="center"/>
        <w:keepLines w:val="0"/>
        <w:keepNext w:val="0"/>
        <w:pageBreakBefore w:val="0"/>
        <w:spacing w:beforeAutospacing="0" w:afterAutospacing="0"/>
        <w:widowControl w:val="off"/>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1"/>
        <w:jc w:val="center"/>
        <w:keepLines w:val="0"/>
        <w:keepNext w:val="0"/>
        <w:pageBreakBefore w:val="0"/>
        <w:spacing w:beforeAutospacing="0" w:afterAutospacing="0"/>
        <w:widowControl w:val="off"/>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center"/>
        <w:keepLines w:val="0"/>
        <w:keepNext w:val="0"/>
        <w:pageBreakBefore w:val="0"/>
        <w:spacing w:beforeAutospacing="0" w:afterAutospacing="0"/>
        <w:widowControl w:val="off"/>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61"/>
        <w:jc w:val="center"/>
        <w:keepLines w:val="0"/>
        <w:keepNext w:val="0"/>
        <w:pageBreakBefore w:val="0"/>
        <w:spacing w:beforeAutospacing="0" w:afterAutospacing="0"/>
        <w:widowControl w:val="off"/>
        <w:rPr>
          <w:highlight w:val="none"/>
        </w:rPr>
      </w:pPr>
      <w:r>
        <w:rPr>
          <w:rFonts w:hint="eastAsia" w:ascii="黑体" w:hAnsi="宋体" w:eastAsia="黑体" w:cs="黑体"/>
          <w:i/>
          <w:color w:val="000000"/>
          <w:sz w:val="32"/>
          <w:szCs w:val="32"/>
          <w:highlight w:val="none"/>
          <w:u w:val="single"/>
        </w:rPr>
        <w:t xml:space="preserve">七、法人授权书</w:t>
      </w:r>
      <w:r/>
    </w:p>
    <w:p>
      <w:pPr>
        <w:pStyle w:val="661"/>
        <w:ind w:firstLine="480"/>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1"/>
        <w:ind w:firstLine="480"/>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1"/>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1"/>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1"/>
        <w:ind w:firstLine="1200"/>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1"/>
        <w:ind w:firstLine="480"/>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1"/>
        <w:ind w:firstLine="480"/>
        <w:jc w:val="both"/>
        <w:keepLines w:val="0"/>
        <w:keepNext w:val="0"/>
        <w:pageBreakBefore w:val="0"/>
        <w:spacing w:beforeAutospacing="0" w:afterAutospacing="0"/>
        <w:widowControl w:val="off"/>
        <w:tabs>
          <w:tab w:val="left" w:pos="360" w:leader="none"/>
        </w:tabs>
        <w:rPr>
          <w:highlight w:val="none"/>
        </w:rPr>
      </w:pPr>
      <w:r>
        <w:rPr>
          <w:rFonts w:ascii="Times New Roman" w:hAnsi="Times New Roman"/>
          <w:color w:val="000000"/>
          <w:highlight w:val="none"/>
        </w:rPr>
        <w:t xml:space="preserve">      日期：</w:t>
      </w:r>
      <w:bookmarkStart w:id="187" w:name="_格式3__银行出具的资信证明"/>
      <w:r/>
      <w:bookmarkStart w:id="188" w:name="_Hlt26671380"/>
      <w:r/>
      <w:bookmarkStart w:id="189" w:name="_Hlt26955070"/>
      <w:r>
        <w:rPr>
          <w:rFonts w:ascii="Times New Roman" w:hAnsi="Times New Roman"/>
          <w:color w:val="000000"/>
          <w:highlight w:val="none"/>
          <w:u w:val="single"/>
        </w:rPr>
        <w:t xml:space="preserve">                                         </w:t>
      </w:r>
      <w:r/>
    </w:p>
    <w:p>
      <w:pPr>
        <w:pStyle w:val="661"/>
        <w:ind w:firstLine="420"/>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3390"/>
        <w:jc w:val="both"/>
        <w:keepLines w:val="0"/>
        <w:keepNext w:val="0"/>
        <w:pageBreakBefore w:val="0"/>
        <w:spacing w:before="260" w:beforeAutospacing="0" w:after="260" w:afterAutospacing="0" w:line="415" w:lineRule="auto"/>
        <w:widowControl w:val="off"/>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61"/>
        <w:keepLines w:val="0"/>
        <w:keepNext w:val="0"/>
        <w:pageBreakBefore w:val="0"/>
        <w:spacing w:beforeAutospacing="0" w:afterAutospacing="0" w:line="0" w:lineRule="atLeast"/>
        <w:widowControl w:val="off"/>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ff0000"/>
          <w:highlight w:val="none"/>
          <w:u w:val="single"/>
          <w:lang w:val="en-US" w:eastAsia="zh-CN"/>
        </w:rPr>
        <w:t xml:space="preserve">              </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1"/>
        <w:ind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7.与本投标有关的正式通讯地址为：</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地          址：</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邮          编：</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电          话：</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传          真：</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投标人开户行：</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账          号： </w:t>
      </w:r>
      <w:r/>
    </w:p>
    <w:p>
      <w:pPr>
        <w:pStyle w:val="661"/>
        <w:ind w:left="420" w:firstLine="480"/>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日           期：________年____月____日</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ind w:firstLine="240"/>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ff0000"/>
          <w:sz w:val="24"/>
          <w:highlight w:val="none"/>
          <w:lang w:val="en-US" w:eastAsia="zh-CN"/>
        </w:rPr>
        <w:t xml:space="preserve">        </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1"/>
        <w:ind w:right="720"/>
        <w:jc w:val="both"/>
        <w:keepLines w:val="0"/>
        <w:keepNext w:val="0"/>
        <w:pageBreakBefore w:val="0"/>
        <w:spacing w:beforeAutospacing="0" w:afterAutospacing="0" w:line="0" w:lineRule="atLeast"/>
        <w:widowControl w:val="off"/>
        <w:rPr>
          <w:color w:val="auto"/>
          <w:highlight w:val="none"/>
        </w:rPr>
      </w:pPr>
      <w:r>
        <w:rPr>
          <w:color w:val="auto"/>
          <w:highlight w:val="none"/>
        </w:rPr>
        <w:t xml:space="preserve"> </w:t>
      </w:r>
      <w:r/>
    </w:p>
    <w:p>
      <w:pPr>
        <w:pStyle w:val="661"/>
        <w:ind w:right="180" w:firstLine="360"/>
        <w:jc w:val="right"/>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61"/>
        <w:ind w:right="480" w:firstLine="5400"/>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日  期：</w:t>
      </w:r>
      <w:r/>
    </w:p>
    <w:p>
      <w:pPr>
        <w:pStyle w:val="661"/>
        <w:ind w:firstLine="240"/>
        <w:jc w:val="both"/>
        <w:keepLines w:val="0"/>
        <w:keepNext w:val="0"/>
        <w:pageBreakBefore w:val="0"/>
        <w:spacing w:beforeAutospacing="0" w:afterAutospacing="0" w:line="0" w:lineRule="atLeast"/>
        <w:widowControl w:val="off"/>
        <w:rPr>
          <w:color w:val="auto"/>
          <w:highlight w:val="none"/>
        </w:rPr>
      </w:pPr>
      <w:r>
        <w:rPr>
          <w:color w:val="auto"/>
          <w:highlight w:val="none"/>
        </w:rPr>
        <w:t xml:space="preserve"> </w:t>
      </w:r>
      <w:r/>
    </w:p>
    <w:p>
      <w:pPr>
        <w:pStyle w:val="661"/>
        <w:ind w:firstLine="480"/>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1"/>
        <w:ind w:firstLine="480"/>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1"/>
        <w:jc w:val="center"/>
        <w:keepLines w:val="0"/>
        <w:keepNext w:val="0"/>
        <w:pageBreakBefore w:val="0"/>
        <w:spacing w:beforeAutospacing="0" w:afterAutospacing="0" w:line="0" w:lineRule="atLeast"/>
        <w:widowControl w:val="off"/>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661"/>
        <w:ind w:firstLine="480"/>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61"/>
        <w:ind w:firstLine="480"/>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1"/>
        <w:ind w:firstLine="480"/>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480"/>
        <w:jc w:val="both"/>
        <w:keepLines w:val="0"/>
        <w:keepNext w:val="0"/>
        <w:pageBreakBefore w:val="0"/>
        <w:spacing w:beforeAutospacing="0" w:afterAutospacing="0" w:line="0" w:lineRule="atLeas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61"/>
        <w:ind w:firstLine="480"/>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61"/>
        <w:ind w:firstLine="624"/>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right="1560" w:firstLine="624"/>
        <w:jc w:val="center"/>
        <w:keepLines w:val="0"/>
        <w:keepNext w:val="0"/>
        <w:pageBreakBefore w:val="0"/>
        <w:spacing w:beforeAutospacing="0" w:afterAutospacing="0" w:line="0" w:lineRule="atLeas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1"/>
        <w:ind w:right="1560" w:firstLine="480"/>
        <w:jc w:val="center"/>
        <w:keepLines w:val="0"/>
        <w:keepNext w:val="0"/>
        <w:pageBreakBefore w:val="0"/>
        <w:spacing w:beforeAutospacing="0" w:afterAutospacing="0" w:line="0" w:lineRule="atLeas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left="0" w:right="0"/>
        <w:jc w:val="center"/>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十一、 关于符合本国产品标准的声明函</w:t>
      </w:r>
      <w:r/>
    </w:p>
    <w:p>
      <w:pPr>
        <w:pStyle w:val="661"/>
        <w:ind w:left="0" w:firstLine="420"/>
        <w:jc w:val="both"/>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661"/>
        <w:ind w:left="0" w:firstLine="420"/>
        <w:jc w:val="both"/>
        <w:keepLines w:val="0"/>
        <w:keepNext w:val="0"/>
        <w:pageBreakBefore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1"/>
        <w:ind w:left="0" w:firstLine="420"/>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661"/>
        <w:ind w:left="0" w:firstLine="420"/>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661"/>
        <w:ind w:left="0" w:firstLine="420"/>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661"/>
        <w:ind w:left="0" w:firstLine="420"/>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661"/>
        <w:ind w:left="0" w:right="480" w:firstLine="3720"/>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661"/>
        <w:jc w:val="center"/>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61"/>
        <w:jc w:val="both"/>
        <w:keepLines w:val="0"/>
        <w:keepNext w:val="0"/>
        <w:pageBreakBefore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661"/>
        <w:jc w:val="both"/>
        <w:keepLines w:val="0"/>
        <w:keepNext w:val="0"/>
        <w:pageBreakBefore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661"/>
        <w:jc w:val="both"/>
        <w:keepLines w:val="0"/>
        <w:keepNext w:val="0"/>
        <w:pageBreakBefore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661"/>
        <w:jc w:val="both"/>
        <w:keepLines w:val="0"/>
        <w:keepNext w:val="0"/>
        <w:pageBreakBefore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1"/>
        <w:jc w:val="both"/>
        <w:keepLines w:val="0"/>
        <w:keepNext w:val="0"/>
        <w:pageBreakBefore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keepLines w:val="0"/>
        <w:keepNext w:val="0"/>
        <w:pageBreakBefore w:val="0"/>
        <w:spacing w:line="241" w:lineRule="auto"/>
        <w:widowControl w:val="off"/>
        <w:rPr>
          <w:rFonts w:ascii="Arial"/>
          <w:b/>
          <w:bCs/>
          <w:sz w:val="21"/>
        </w:rPr>
      </w:pPr>
      <w:r>
        <w:rPr>
          <w:rFonts w:ascii="Arial"/>
          <w:b/>
          <w:bCs/>
          <w:sz w:val="21"/>
        </w:rPr>
      </w:r>
      <w:r/>
    </w:p>
    <w:p>
      <w:pPr>
        <w:keepLines w:val="0"/>
        <w:keepNext w:val="0"/>
        <w:pageBreakBefore w:val="0"/>
        <w:spacing w:line="241" w:lineRule="auto"/>
        <w:widowControl w:val="off"/>
        <w:rPr>
          <w:rFonts w:ascii="Arial"/>
          <w:b/>
          <w:bCs/>
          <w:sz w:val="21"/>
        </w:rPr>
      </w:pPr>
      <w:r>
        <w:rPr>
          <w:rFonts w:ascii="Arial"/>
          <w:b/>
          <w:bCs/>
          <w:sz w:val="21"/>
        </w:rPr>
      </w:r>
      <w:r/>
    </w:p>
    <w:p>
      <w:pPr>
        <w:pStyle w:val="661"/>
        <w:jc w:val="center"/>
        <w:keepLines w:val="0"/>
        <w:keepNext w:val="0"/>
        <w:pageBreakBefore w:val="0"/>
        <w:spacing w:beforeAutospacing="0" w:afterAutospacing="0" w:line="0" w:lineRule="atLeast"/>
        <w:widowControl w:val="off"/>
        <w:rPr>
          <w:b/>
          <w:bCs/>
          <w:highlight w:val="none"/>
        </w:rPr>
      </w:pPr>
      <w:r>
        <w:rPr>
          <w:b/>
          <w:bCs/>
          <w:highlight w:val="none"/>
        </w:rPr>
        <w:t xml:space="preserve"> </w:t>
      </w:r>
      <w:r/>
    </w:p>
    <w:p>
      <w:pPr>
        <w:pStyle w:val="661"/>
        <w:jc w:val="center"/>
        <w:keepLines w:val="0"/>
        <w:keepNext w:val="0"/>
        <w:pageBreakBefore w:val="0"/>
        <w:spacing w:beforeAutospacing="0" w:afterAutospacing="0" w:line="0" w:lineRule="atLeast"/>
        <w:widowControl w:val="off"/>
        <w:rPr>
          <w:b/>
          <w:bCs/>
          <w:highlight w:val="none"/>
        </w:rPr>
      </w:pPr>
      <w:r>
        <w:rPr>
          <w:b/>
          <w:bCs/>
          <w:highlight w:val="none"/>
        </w:rPr>
      </w:r>
      <w:r/>
    </w:p>
    <w:p>
      <w:pPr>
        <w:pStyle w:val="661"/>
        <w:jc w:val="center"/>
        <w:keepLines w:val="0"/>
        <w:keepNext w:val="0"/>
        <w:pageBreakBefore w:val="0"/>
        <w:spacing w:beforeAutospacing="0" w:afterAutospacing="0" w:line="0" w:lineRule="atLeast"/>
        <w:widowControl w:val="off"/>
        <w:rPr>
          <w:highlight w:val="none"/>
        </w:rPr>
      </w:pPr>
      <w:r>
        <w:rPr>
          <w:highlight w:val="none"/>
        </w:rPr>
      </w:r>
      <w:r/>
    </w:p>
    <w:p>
      <w:pPr>
        <w:jc w:val="center"/>
        <w:keepLines w:val="0"/>
        <w:keepNext w:val="0"/>
        <w:pageBreakBefore w:val="0"/>
        <w:widowControl w:val="off"/>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661"/>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（联合体中各供应商全称）在此达成以下协议：</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ff0000"/>
          <w:highlight w:val="none"/>
          <w:lang w:eastAsia="zh-CN"/>
        </w:rPr>
        <w:t xml:space="preserve">采购代理机构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1"/>
        <w:ind w:firstLine="645"/>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                               </w:t>
      </w:r>
      <w:r/>
    </w:p>
    <w:p>
      <w:pPr>
        <w:pStyle w:val="661"/>
        <w:ind w:firstLine="645"/>
        <w:jc w:val="right"/>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联合体中各供应商全称（公章）：     </w:t>
      </w:r>
      <w:r/>
    </w:p>
    <w:p>
      <w:pPr>
        <w:pStyle w:val="661"/>
        <w:ind w:firstLine="645"/>
        <w:jc w:val="both"/>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                                                          日期：</w:t>
      </w:r>
      <w:r/>
    </w:p>
    <w:p>
      <w:pPr>
        <w:pStyle w:val="661"/>
        <w:ind w:firstLine="645"/>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r>
      <w:r/>
    </w:p>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65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keepLines w:val="0"/>
              <w:keepNext w:val="0"/>
              <w:pageBreakBefore w:val="0"/>
              <w:widowControl w:val="off"/>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分项</w:t>
            </w:r>
            <w:r/>
          </w:p>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分项</w:t>
            </w:r>
            <w:r/>
          </w:p>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1"/>
              <w:jc w:val="center"/>
              <w:keepLines w:val="0"/>
              <w:keepNext w:val="0"/>
              <w:pageBreakBefore w:val="0"/>
              <w:spacing w:beforeAutospacing="0" w:afterAutospacing="0" w:line="0" w:lineRule="atLeast"/>
              <w:widowControl w:val="off"/>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both"/>
              <w:keepLines w:val="0"/>
              <w:keepNext w:val="0"/>
              <w:pageBreakBefore w:val="0"/>
              <w:spacing w:beforeAutospacing="0" w:afterAutospacing="0" w:line="0" w:lineRule="atLeast"/>
              <w:widowControl w:val="off"/>
              <w:rPr>
                <w:highlight w:val="none"/>
              </w:rPr>
            </w:pPr>
            <w:r>
              <w:rPr>
                <w:highlight w:val="none"/>
              </w:rPr>
              <w:t xml:space="preserve"> </w:t>
            </w:r>
            <w:r/>
          </w:p>
        </w:tc>
      </w:tr>
    </w:tbl>
    <w:p>
      <w:pPr>
        <w:pStyle w:val="661"/>
        <w:ind w:firstLine="480"/>
        <w:jc w:val="both"/>
        <w:keepLines w:val="0"/>
        <w:keepNext w:val="0"/>
        <w:pageBreakBefore w:val="0"/>
        <w:spacing w:beforeAutospacing="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61"/>
        <w:ind w:firstLine="480"/>
        <w:jc w:val="both"/>
        <w:keepLines w:val="0"/>
        <w:keepNext w:val="0"/>
        <w:pageBreakBefore w:val="0"/>
        <w:spacing w:beforeAutospacing="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keepLines w:val="0"/>
        <w:keepNext w:val="0"/>
        <w:pageBreakBefore w:val="0"/>
        <w:widowControl w:val="off"/>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61"/>
        <w:jc w:val="center"/>
        <w:keepLines w:val="0"/>
        <w:keepNext w:val="0"/>
        <w:pageBreakBefore w:val="0"/>
        <w:spacing w:beforeAutospacing="0" w:afterAutospacing="0"/>
        <w:widowControl w:val="off"/>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证明</w:t>
            </w:r>
            <w:r/>
          </w:p>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bl>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注： 行数不够，可自行添加。</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shd w:val="nil"/>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p>
    <w:p>
      <w:pPr>
        <w:pStyle w:val="661"/>
        <w:jc w:val="center"/>
        <w:keepLines w:val="0"/>
        <w:keepNext w:val="0"/>
        <w:pageBreakBefore w:val="0"/>
        <w:spacing w:beforeAutospacing="0" w:afterAutospacing="0"/>
        <w:widowControl w:val="off"/>
        <w:rPr>
          <w:rFonts w:hint="eastAsia" w:ascii="黑体" w:hAnsi="宋体" w:eastAsia="黑体" w:cs="黑体"/>
          <w:b/>
          <w:bCs/>
          <w:color w:val="000000"/>
          <w:sz w:val="32"/>
          <w:szCs w:val="32"/>
          <w:highlight w:val="none"/>
        </w:rPr>
      </w:pPr>
      <w:r/>
      <w:bookmarkStart w:id="190"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bookmarkStart w:id="191" w:name="_Hlt26609391"/>
            <w:r/>
            <w:bookmarkStart w:id="192" w:name="_Hlt24879081"/>
            <w:r/>
            <w:bookmarkStart w:id="193" w:name="_Hlt26580838"/>
            <w:r/>
            <w:bookmarkStart w:id="194" w:name="_Hlt26671372"/>
            <w:r/>
            <w:bookmarkStart w:id="195" w:name="_Hlt26955056"/>
            <w:r/>
            <w:bookmarkStart w:id="196" w:name="_Hlt26671343"/>
            <w:r/>
            <w:bookmarkStart w:id="197" w:name="_Hlt26782999"/>
            <w:r/>
            <w:bookmarkStart w:id="198" w:name="_Hlt26955064"/>
            <w:r>
              <w:rPr>
                <w:rFonts w:hint="eastAsia" w:ascii="宋体" w:hAnsi="宋体" w:eastAsia="宋体" w:cs="宋体"/>
                <w:color w:val="000000"/>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证明</w:t>
            </w:r>
            <w:r/>
          </w:p>
          <w:p>
            <w:pPr>
              <w:pStyle w:val="661"/>
              <w:jc w:val="center"/>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keepLines w:val="0"/>
              <w:keepNext w:val="0"/>
              <w:pageBreakBefore w:val="0"/>
              <w:spacing w:beforeAutospacing="0" w:afterAutospacing="0"/>
              <w:widowControl w:val="off"/>
              <w:rPr>
                <w:highlight w:val="none"/>
              </w:rPr>
            </w:pPr>
            <w:r>
              <w:rPr>
                <w:highlight w:val="none"/>
              </w:rPr>
              <w:t xml:space="preserve"> </w:t>
            </w:r>
            <w:r/>
          </w:p>
        </w:tc>
      </w:tr>
    </w:tbl>
    <w:p>
      <w:pPr>
        <w:pStyle w:val="661"/>
        <w:jc w:val="both"/>
        <w:keepLines w:val="0"/>
        <w:keepNext w:val="0"/>
        <w:pageBreakBefore w:val="0"/>
        <w:spacing w:beforeAutospacing="0" w:afterAutospacing="0"/>
        <w:widowControl w:val="off"/>
        <w:rPr>
          <w:highlight w:val="none"/>
        </w:rPr>
      </w:pPr>
      <w:r>
        <w:rPr>
          <w:rFonts w:hint="eastAsia" w:ascii="宋体" w:hAnsi="宋体" w:eastAsia="宋体" w:cs="宋体"/>
          <w:color w:val="000000"/>
          <w:highlight w:val="none"/>
        </w:rPr>
        <w:t xml:space="preserve">注： 行数不够，可自行添加。</w:t>
      </w:r>
      <w:r/>
    </w:p>
    <w:p>
      <w:pPr>
        <w:pStyle w:val="661"/>
        <w:jc w:val="both"/>
        <w:keepLines w:val="0"/>
        <w:keepNext w:val="0"/>
        <w:pageBreakBefore w:val="0"/>
        <w:spacing w:beforeAutospacing="0" w:afterAutospacing="0" w:line="480" w:lineRule="auto"/>
        <w:widowControl w:val="off"/>
        <w:rPr>
          <w:highlight w:val="none"/>
        </w:rPr>
      </w:pPr>
      <w:r>
        <w:rPr>
          <w:highlight w:val="none"/>
        </w:rPr>
        <w:t xml:space="preserve"> </w:t>
      </w:r>
      <w:r/>
    </w:p>
    <w:p>
      <w:pPr>
        <w:pStyle w:val="661"/>
        <w:jc w:val="both"/>
        <w:keepLines w:val="0"/>
        <w:keepNext w:val="0"/>
        <w:pageBreakBefore w:val="0"/>
        <w:spacing w:beforeAutospacing="0" w:afterAutospacing="0" w:line="480" w:lineRule="auto"/>
        <w:widowControl w:val="off"/>
        <w:rPr>
          <w:highlight w:val="none"/>
        </w:rPr>
      </w:pPr>
      <w:r>
        <w:rPr>
          <w:highlight w:val="none"/>
        </w:rPr>
        <w:t xml:space="preserve"> </w:t>
      </w:r>
      <w:r/>
    </w:p>
    <w:p>
      <w:pPr>
        <w:pStyle w:val="661"/>
        <w:jc w:val="center"/>
        <w:keepLines w:val="0"/>
        <w:keepNext w:val="0"/>
        <w:pageBreakBefore w:val="0"/>
        <w:spacing w:beforeAutospacing="0" w:afterAutospacing="0"/>
        <w:widowControl w:val="off"/>
        <w:rPr>
          <w:highlight w:val="none"/>
        </w:rPr>
      </w:pPr>
      <w:r/>
      <w:bookmarkStart w:id="199" w:name="_格式2__法定代表人授权书"/>
      <w:r/>
      <w:bookmarkStart w:id="200" w:name="_Hlt26671374"/>
      <w:r/>
      <w:bookmarkStart w:id="201" w:name="_Hlt26609389"/>
      <w:r/>
      <w:bookmarkStart w:id="202" w:name="_Hlt26955066"/>
      <w:r/>
      <w:bookmarkStart w:id="203" w:name="_Toc462564146"/>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t xml:space="preserve"> </w:t>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pStyle w:val="661"/>
        <w:jc w:val="both"/>
        <w:keepLines w:val="0"/>
        <w:keepNext w:val="0"/>
        <w:pageBreakBefore w:val="0"/>
        <w:spacing w:beforeAutospacing="0" w:afterAutospacing="0"/>
        <w:widowControl w:val="off"/>
        <w:rPr>
          <w:highlight w:val="none"/>
        </w:rPr>
      </w:pPr>
      <w:r>
        <w:rPr>
          <w:highlight w:val="none"/>
        </w:rPr>
      </w:r>
      <w:r/>
    </w:p>
    <w:p>
      <w:pPr>
        <w:shd w:val="nil"/>
        <w:rPr>
          <w:color w:val="auto"/>
          <w:highlight w:val="none"/>
        </w:rPr>
      </w:pPr>
      <w:r>
        <w:rPr>
          <w:rFonts w:hint="eastAsia" w:ascii="黑体" w:hAnsi="宋体" w:eastAsia="黑体" w:cs="黑体"/>
          <w:b/>
          <w:i/>
          <w:color w:val="auto"/>
          <w:sz w:val="32"/>
          <w:szCs w:val="32"/>
          <w:highlight w:val="none"/>
          <w:u w:val="single"/>
        </w:rPr>
        <w:br w:type="page" w:clear="all"/>
      </w:r>
      <w:r>
        <w:rPr>
          <w:rFonts w:hint="eastAsia" w:ascii="黑体" w:hAnsi="宋体" w:eastAsia="黑体" w:cs="黑体"/>
          <w:b/>
          <w:i/>
          <w:color w:val="auto"/>
          <w:sz w:val="32"/>
          <w:szCs w:val="32"/>
          <w:highlight w:val="none"/>
          <w:u w:val="single"/>
        </w:rPr>
      </w:r>
    </w:p>
    <w:p>
      <w:pPr>
        <w:pStyle w:val="661"/>
        <w:jc w:val="center"/>
        <w:keepLines w:val="0"/>
        <w:keepNext w:val="0"/>
        <w:pageBreakBefore w:val="0"/>
        <w:spacing w:beforeAutospacing="0" w:afterAutospacing="0"/>
        <w:widowControl w:val="off"/>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61"/>
        <w:ind w:firstLine="48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661"/>
        <w:ind w:firstLine="48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项目名称：</w:t>
      </w:r>
      <w:r/>
    </w:p>
    <w:p>
      <w:pPr>
        <w:pStyle w:val="661"/>
        <w:ind w:firstLine="48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1"/>
        <w:ind w:firstLine="48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keepLines w:val="0"/>
              <w:keepNext w:val="0"/>
              <w:pageBreakBefore w:val="0"/>
              <w:spacing w:beforeAutospacing="0" w:afterAutospacing="0" w:line="0" w:lineRule="atLeas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小写：                        （人民币：元）</w:t>
            </w:r>
            <w:r/>
          </w:p>
        </w:tc>
      </w:tr>
    </w:tbl>
    <w:p>
      <w:pPr>
        <w:pStyle w:val="661"/>
        <w:jc w:val="both"/>
        <w:keepLines w:val="0"/>
        <w:keepNext w:val="0"/>
        <w:pageBreakBefore w:val="0"/>
        <w:spacing w:beforeAutospacing="0" w:afterAutospacing="0"/>
        <w:widowControl w:val="off"/>
        <w:rPr>
          <w:color w:val="auto"/>
          <w:highlight w:val="none"/>
        </w:rPr>
      </w:pPr>
      <w:r>
        <w:rPr>
          <w:color w:val="auto"/>
          <w:highlight w:val="none"/>
        </w:rPr>
        <w:t xml:space="preserve"> </w:t>
      </w:r>
      <w:r/>
    </w:p>
    <w:p>
      <w:pPr>
        <w:pStyle w:val="661"/>
        <w:ind w:firstLine="48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1"/>
        <w:ind w:firstLine="480"/>
        <w:jc w:val="both"/>
        <w:keepLines w:val="0"/>
        <w:keepNext w:val="0"/>
        <w:pageBreakBefore w:val="0"/>
        <w:spacing w:beforeAutospacing="0" w:afterAutospacing="0"/>
        <w:widowControl w:val="off"/>
        <w:rPr>
          <w:highlight w:val="none"/>
        </w:rPr>
      </w:pPr>
      <w:r>
        <w:rPr>
          <w:highlight w:val="none"/>
        </w:rPr>
        <w:t xml:space="preserve"> </w:t>
      </w:r>
      <w:r/>
    </w:p>
    <w:p>
      <w:pPr>
        <w:jc w:val="center"/>
        <w:keepLines w:val="0"/>
        <w:keepNext w:val="0"/>
        <w:pageBreakBefore w:val="0"/>
        <w:spacing w:before="50" w:after="50"/>
        <w:widowControl w:val="off"/>
        <w:rPr>
          <w:highlight w:val="none"/>
        </w:rPr>
      </w:pPr>
      <w:r>
        <w:rPr>
          <w:highlight w:val="none"/>
        </w:rPr>
        <w:tab/>
      </w:r>
      <w:r/>
    </w:p>
    <w:p>
      <w:pPr>
        <w:jc w:val="center"/>
        <w:keepLines w:val="0"/>
        <w:keepNext w:val="0"/>
        <w:pageBreakBefore w:val="0"/>
        <w:spacing w:before="50" w:after="50"/>
        <w:widowControl w:val="off"/>
        <w:rPr>
          <w:highlight w:val="none"/>
        </w:rPr>
      </w:pPr>
      <w:r>
        <w:rPr>
          <w:highlight w:val="none"/>
        </w:rPr>
      </w:r>
      <w:r/>
    </w:p>
    <w:p>
      <w:pPr>
        <w:jc w:val="center"/>
        <w:keepLines w:val="0"/>
        <w:keepNext w:val="0"/>
        <w:pageBreakBefore w:val="0"/>
        <w:spacing w:before="50" w:after="50"/>
        <w:widowControl w:val="off"/>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61"/>
        <w:jc w:val="both"/>
        <w:keepLines w:val="0"/>
        <w:keepNext w:val="0"/>
        <w:pageBreakBefore w:val="0"/>
        <w:spacing w:beforeAutospacing="0" w:afterAutospacing="0"/>
        <w:widowControl w:val="off"/>
        <w:tabs>
          <w:tab w:val="left" w:pos="2160" w:leader="none"/>
        </w:tabs>
        <w:rPr>
          <w:highlight w:val="none"/>
        </w:rPr>
      </w:pPr>
      <w:r>
        <w:rPr>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keepLines w:val="0"/>
        <w:keepNext w:val="0"/>
        <w:pageBreakBefore w:val="0"/>
        <w:spacing w:line="499" w:lineRule="atLeast"/>
        <w:widowControl w:val="off"/>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firstLine="1600"/>
        <w:keepLines w:val="0"/>
        <w:keepNext w:val="0"/>
        <w:pageBreakBefore w:val="0"/>
        <w:spacing w:line="499" w:lineRule="atLeast"/>
        <w:widowControl w:val="off"/>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1"/>
        <w:jc w:val="center"/>
        <w:keepLines w:val="0"/>
        <w:keepNext w:val="0"/>
        <w:pageBreakBefore w:val="0"/>
        <w:spacing w:beforeAutospacing="0" w:afterAutospacing="0"/>
        <w:widowControl w:val="off"/>
        <w:rPr>
          <w:highlight w:val="none"/>
        </w:rPr>
      </w:pPr>
      <w:r>
        <w:rPr>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keepLines w:val="0"/>
        <w:keepNext w:val="0"/>
        <w:pageBreakBefore w:val="0"/>
        <w:widowControl w:val="off"/>
        <w:rPr>
          <w:highlight w:val="none"/>
        </w:rPr>
      </w:pPr>
      <w:r>
        <w:rPr>
          <w:highlight w:val="none"/>
        </w:rPr>
      </w:r>
      <w:r/>
    </w:p>
    <w:p>
      <w:pPr>
        <w:shd w:val="nil"/>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661"/>
        <w:jc w:val="center"/>
        <w:keepLines w:val="0"/>
        <w:keepNext w:val="0"/>
        <w:pageBreakBefore w:val="0"/>
        <w:spacing w:beforeAutospacing="0" w:afterAutospacing="0"/>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1"/>
        <w:jc w:val="both"/>
        <w:keepLines w:val="0"/>
        <w:keepNext w:val="0"/>
        <w:pageBreakBefore w:val="0"/>
        <w:spacing w:before="290"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1"/>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1"/>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widowControl w:val="off"/>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1"/>
        <w:jc w:val="both"/>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1"/>
        <w:ind w:firstLine="480"/>
        <w:keepLines w:val="0"/>
        <w:keepNext w:val="0"/>
        <w:pageBreakBefore w:val="0"/>
        <w:spacing w:beforeAutospacing="0" w:afterAutospacing="0" w:line="0" w:lineRule="atLeast"/>
        <w:widowControl w:val="off"/>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1"/>
        <w:ind w:firstLine="420"/>
        <w:jc w:val="both"/>
        <w:keepLines w:val="0"/>
        <w:keepNext w:val="0"/>
        <w:pageBreakBefore w:val="0"/>
        <w:spacing w:beforeAutospacing="0" w:afterAutospacing="0"/>
        <w:widowControl w:val="off"/>
        <w:rPr>
          <w:rFonts w:ascii="宋体" w:hAnsi="宋体" w:eastAsia="宋体" w:cs="宋体"/>
          <w:highlight w:val="none"/>
        </w:rPr>
      </w:pPr>
      <w:r>
        <w:rPr>
          <w:rFonts w:hint="eastAsia" w:ascii="宋体" w:hAnsi="宋体" w:eastAsia="宋体" w:cs="宋体"/>
          <w:highlight w:val="none"/>
        </w:rPr>
        <w:t xml:space="preserve"> </w:t>
      </w:r>
      <w:r/>
    </w:p>
    <w:p>
      <w:pPr>
        <w:keepLines w:val="0"/>
        <w:keepNext w:val="0"/>
        <w:pageBreakBefore w:val="0"/>
        <w:widowControl w:val="off"/>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等线">
    <w:panose1 w:val="02010600030101010101"/>
  </w:font>
  <w:font w:name="仿宋">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sz w:val="32"/>
        <w:szCs w:val="32"/>
      </w:r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rPr>
        <w:rFonts w:hint="eastAsia"/>
        <w:b/>
        <w:bCs/>
        <w:i w:val="0"/>
        <w:iCs w:val="0"/>
        <w:caps w:val="0"/>
        <w:smallCaps w:val="0"/>
        <w:strike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lvlRestart w:val="1"/>
      <w:isLgl w:val="false"/>
      <w:suff w:val="space"/>
      <w:lvlText w:val="图 %1-%5"/>
      <w:lvlJc w:val="left"/>
      <w:pPr>
        <w:ind w:left="5246" w:firstLine="0"/>
      </w:pPr>
      <w:rPr>
        <w:rFonts w:hint="eastAsia"/>
        <w:b/>
        <w:bCs w:val="0"/>
        <w:i w:val="0"/>
        <w:iCs w:val="0"/>
        <w:caps w:val="0"/>
        <w:smallCaps w:val="0"/>
        <w:strike w:val="0"/>
        <w:vanish w:val="0"/>
        <w:color w:val="000000"/>
        <w:spacing w:val="0"/>
        <w:position w:val="0"/>
        <w:u w:val="none"/>
        <w:vertAlign w:val="baseline"/>
      </w:rPr>
    </w:lvl>
    <w:lvl w:ilvl="5">
      <w:start w:val="1"/>
      <w:numFmt w:val="decimal"/>
      <w:lvlRestart w:val="1"/>
      <w:isLgl w:val="false"/>
      <w:suff w:val="space"/>
      <w:lvlText w:val="表 %1-%6"/>
      <w:lvlJc w:val="left"/>
      <w:pPr>
        <w:ind w:left="0" w:firstLine="0"/>
      </w:pPr>
      <w:rPr>
        <w:rFonts w:hint="eastAsia"/>
        <w:b/>
        <w:bCs w:val="0"/>
        <w:i w:val="0"/>
        <w:iCs w:val="0"/>
        <w:caps w:val="0"/>
        <w:smallCaps w:val="0"/>
        <w:strike w:val="0"/>
        <w:vanish w:val="0"/>
        <w:color w:val="000000"/>
        <w:spacing w:val="0"/>
        <w:position w:val="0"/>
        <w:u w:val="none"/>
        <w:vertAlign w:val="baseline"/>
        <w:lang w:val="en-US"/>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1"/>
    <w:lvlOverride w:ilvl="0">
      <w:lvl w:ilvl="0">
        <w:start w:val="1"/>
        <w:numFmt w:val="decimal"/>
        <w:isLgl w:val="false"/>
        <w:suff w:val="space"/>
        <w:lvlText w:val="%1"/>
        <w:lvlJc w:val="left"/>
        <w:pPr>
          <w:ind w:left="3544" w:firstLine="0"/>
        </w:pPr>
        <w:rPr>
          <w:rFonts w:hint="eastAsia"/>
          <w:sz w:val="32"/>
          <w:szCs w:val="32"/>
        </w:rPr>
      </w:lvl>
    </w:lvlOverride>
    <w:lvlOverride w:ilvl="1">
      <w:lvl w:ilvl="1">
        <w:start w:val="1"/>
        <w:numFmt w:val="decimal"/>
        <w:isLgl w:val="false"/>
        <w:suff w:val="space"/>
        <w:lvlText w:val="%1.%2"/>
        <w:lvlJc w:val="left"/>
        <w:pPr>
          <w:ind w:left="3544" w:firstLine="0"/>
        </w:pPr>
      </w:lvl>
    </w:lvlOverride>
    <w:lvlOverride w:ilvl="2">
      <w:lvl w:ilvl="2">
        <w:start w:val="1"/>
        <w:numFmt w:val="decimal"/>
        <w:isLgl w:val="false"/>
        <w:suff w:val="space"/>
        <w:lvlText w:val="%1.%2.%3"/>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3">
      <w:lvl w:ilvl="3">
        <w:start w:val="1"/>
        <w:numFmt w:val="decimal"/>
        <w:isLgl w:val="false"/>
        <w:suff w:val="space"/>
        <w:lvlText w:val="%1.%2.%3.%4"/>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4">
      <w:lvl w:ilvl="4">
        <w:start w:val="1"/>
        <w:numFmt w:val="decimal"/>
        <w:lvlRestart w:val="1"/>
        <w:pStyle w:val="674"/>
        <w:isLgl w:val="false"/>
        <w:suff w:val="space"/>
        <w:lvlText w:val="图 %1-%5"/>
        <w:lvlJc w:val="left"/>
        <w:pPr>
          <w:ind w:left="8790" w:firstLine="0"/>
        </w:pPr>
        <w:rPr>
          <w:rFonts w:hint="eastAsia"/>
          <w:b/>
          <w:bCs w:val="0"/>
          <w:i w:val="0"/>
          <w:iCs w:val="0"/>
          <w:caps w:val="0"/>
          <w:smallCaps w:val="0"/>
          <w:strike w:val="0"/>
          <w:vanish w:val="0"/>
          <w:color w:val="000000"/>
          <w:spacing w:val="0"/>
          <w:position w:val="0"/>
          <w:u w:val="none"/>
          <w:vertAlign w:val="baseline"/>
        </w:rPr>
      </w:lvl>
    </w:lvlOverride>
    <w:lvlOverride w:ilvl="5">
      <w:lvl w:ilvl="5">
        <w:start w:val="1"/>
        <w:numFmt w:val="decimal"/>
        <w:lvlRestart w:val="1"/>
        <w:isLgl w:val="false"/>
        <w:suff w:val="space"/>
        <w:lvlText w:val="表 %1-%6"/>
        <w:lvlJc w:val="left"/>
        <w:pPr>
          <w:ind w:left="3544" w:firstLine="0"/>
        </w:pPr>
        <w:rPr>
          <w:rFonts w:hint="eastAsia"/>
          <w:b/>
          <w:bCs w:val="0"/>
          <w:i w:val="0"/>
          <w:iCs w:val="0"/>
          <w:caps w:val="0"/>
          <w:smallCaps w:val="0"/>
          <w:strike w:val="0"/>
          <w:vanish w:val="0"/>
          <w:color w:val="000000"/>
          <w:spacing w:val="0"/>
          <w:position w:val="0"/>
          <w:u w:val="none"/>
          <w:vertAlign w:val="baseline"/>
          <w:lang w:val="en-US"/>
        </w:rPr>
      </w:lvl>
    </w:lvlOverride>
    <w:lvlOverride w:ilvl="6">
      <w:lvl w:ilvl="6">
        <w:start w:val="1"/>
        <w:numFmt w:val="decimal"/>
        <w:isLgl w:val="false"/>
        <w:suff w:val="tab"/>
        <w:lvlText w:val="%1.%2.%3.%4.%5.%6.%7"/>
        <w:lvlJc w:val="left"/>
        <w:pPr>
          <w:ind w:left="3544" w:firstLine="0"/>
        </w:pPr>
        <w:rPr>
          <w:rFonts w:hint="eastAsia"/>
        </w:rPr>
      </w:lvl>
    </w:lvlOverride>
    <w:lvlOverride w:ilvl="7">
      <w:lvl w:ilvl="7">
        <w:start w:val="1"/>
        <w:numFmt w:val="decimal"/>
        <w:isLgl w:val="false"/>
        <w:suff w:val="tab"/>
        <w:lvlText w:val="%1.%2.%3.%4.%5.%6.%7.%8"/>
        <w:lvlJc w:val="left"/>
        <w:pPr>
          <w:ind w:left="3544" w:firstLine="0"/>
        </w:pPr>
        <w:rPr>
          <w:rFonts w:hint="eastAsia"/>
        </w:rPr>
      </w:lvl>
    </w:lvlOverride>
    <w:lvlOverride w:ilvl="8">
      <w:lvl w:ilvl="8">
        <w:start w:val="1"/>
        <w:numFmt w:val="decimal"/>
        <w:isLgl w:val="false"/>
        <w:suff w:val="tab"/>
        <w:lvlText w:val="%1.%2.%3.%4.%5.%6.%7.%8.%9"/>
        <w:lvlJc w:val="left"/>
        <w:pPr>
          <w:ind w:left="3544" w:firstLine="0"/>
        </w:pPr>
        <w:rPr>
          <w:rFonts w:hint="eastAsia"/>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character" w:styleId="15">
    <w:name w:val="Heading 2 Char"/>
    <w:basedOn w:val="649"/>
    <w:link w:val="648"/>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9"/>
    <w:uiPriority w:val="99"/>
  </w:style>
  <w:style w:type="character" w:styleId="44">
    <w:name w:val="Footer Char"/>
    <w:basedOn w:val="649"/>
    <w:link w:val="658"/>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2"/>
    <w:basedOn w:val="647"/>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Normal Indent"/>
    <w:basedOn w:val="647"/>
    <w:uiPriority w:val="0"/>
    <w:qFormat/>
    <w:pPr>
      <w:ind w:firstLine="420"/>
      <w:jc w:val="left"/>
      <w:spacing w:line="315" w:lineRule="atLeast"/>
    </w:pPr>
    <w:rPr>
      <w:rFonts w:ascii="宋体" w:hAnsi="Times New Roman" w:eastAsia="宋体" w:cs="Times New Roman"/>
      <w:szCs w:val="20"/>
    </w:rPr>
  </w:style>
  <w:style w:type="paragraph" w:styleId="652">
    <w:name w:val="annotation text"/>
    <w:basedOn w:val="647"/>
    <w:uiPriority w:val="0"/>
    <w:qFormat/>
    <w:pPr>
      <w:jc w:val="left"/>
    </w:pPr>
  </w:style>
  <w:style w:type="paragraph" w:styleId="653">
    <w:name w:val="Body Text"/>
    <w:basedOn w:val="647"/>
    <w:uiPriority w:val="0"/>
    <w:semiHidden/>
    <w:qFormat/>
    <w:rPr>
      <w:rFonts w:ascii="仿宋" w:hAnsi="仿宋" w:eastAsia="仿宋" w:cs="仿宋"/>
      <w:sz w:val="31"/>
      <w:szCs w:val="31"/>
      <w:lang w:val="en-US" w:eastAsia="en-US" w:bidi="ar-SA"/>
    </w:rPr>
  </w:style>
  <w:style w:type="paragraph" w:styleId="654">
    <w:name w:val="Body Text Indent"/>
    <w:basedOn w:val="647"/>
    <w:next w:val="655"/>
    <w:uiPriority w:val="0"/>
    <w:qFormat/>
    <w:pPr>
      <w:ind w:left="570"/>
      <w:spacing w:line="520" w:lineRule="exact"/>
    </w:pPr>
    <w:rPr>
      <w:rFonts w:ascii="方正仿宋简体" w:hAnsi="创艺简仿宋" w:eastAsia="方正仿宋简体"/>
      <w:sz w:val="24"/>
      <w:szCs w:val="20"/>
    </w:rPr>
  </w:style>
  <w:style w:type="paragraph" w:styleId="655">
    <w:name w:val="envelope return"/>
    <w:basedOn w:val="647"/>
    <w:uiPriority w:val="0"/>
    <w:qFormat/>
    <w:rPr>
      <w:rFonts w:ascii="Arial" w:hAnsi="Arial" w:eastAsia="楷体_GB2312"/>
      <w:sz w:val="26"/>
      <w:szCs w:val="20"/>
    </w:rPr>
  </w:style>
  <w:style w:type="paragraph" w:styleId="656">
    <w:name w:val="Plain Text"/>
    <w:basedOn w:val="647"/>
    <w:next w:val="657"/>
    <w:uiPriority w:val="0"/>
    <w:qFormat/>
    <w:pPr>
      <w:jc w:val="left"/>
      <w:widowControl/>
    </w:pPr>
    <w:rPr>
      <w:rFonts w:hAnsi="Courier New"/>
      <w:szCs w:val="20"/>
    </w:rPr>
  </w:style>
  <w:style w:type="paragraph" w:styleId="657" w:customStyle="1">
    <w:name w:val="目录 71"/>
    <w:next w:val="647"/>
    <w:uiPriority w:val="0"/>
    <w:qFormat/>
    <w:pPr>
      <w:ind w:left="2125"/>
      <w:jc w:val="both"/>
    </w:pPr>
    <w:rPr>
      <w:rFonts w:hint="default" w:ascii="Times New Roman" w:hAnsi="Times New Roman" w:eastAsia="宋体" w:cs="Times New Roman"/>
      <w:sz w:val="21"/>
      <w:lang w:val="en-US" w:eastAsia="zh-CN" w:bidi="ar-SA"/>
    </w:rPr>
  </w:style>
  <w:style w:type="paragraph" w:styleId="658">
    <w:name w:val="Footer"/>
    <w:basedOn w:val="647"/>
    <w:next w:val="647"/>
    <w:link w:val="666"/>
    <w:uiPriority w:val="0"/>
    <w:qFormat/>
    <w:pPr>
      <w:jc w:val="left"/>
      <w:tabs>
        <w:tab w:val="center" w:pos="4153" w:leader="none"/>
        <w:tab w:val="right" w:pos="8306" w:leader="none"/>
      </w:tabs>
    </w:pPr>
    <w:rPr>
      <w:sz w:val="18"/>
      <w:szCs w:val="18"/>
    </w:rPr>
  </w:style>
  <w:style w:type="paragraph" w:styleId="659">
    <w:name w:val="Header"/>
    <w:basedOn w:val="647"/>
    <w:link w:val="665"/>
    <w:uiPriority w:val="0"/>
    <w:qFormat/>
    <w:pPr>
      <w:jc w:val="center"/>
      <w:tabs>
        <w:tab w:val="center" w:pos="4153" w:leader="none"/>
        <w:tab w:val="right" w:pos="8306" w:leader="none"/>
      </w:tabs>
      <w:pBdr>
        <w:bottom w:val="single" w:color="auto" w:sz="6" w:space="1"/>
      </w:pBdr>
    </w:pPr>
    <w:rPr>
      <w:sz w:val="18"/>
      <w:szCs w:val="18"/>
    </w:rPr>
  </w:style>
  <w:style w:type="paragraph" w:styleId="660">
    <w:name w:val="Body Text Indent 3"/>
    <w:basedOn w:val="647"/>
    <w:next w:val="647"/>
    <w:uiPriority w:val="0"/>
    <w:qFormat/>
    <w:pPr>
      <w:ind w:firstLine="480"/>
      <w:jc w:val="left"/>
      <w:spacing w:line="440" w:lineRule="atLeast"/>
    </w:pPr>
    <w:rPr>
      <w:rFonts w:ascii="Times New Roman" w:hAnsi="Times New Roman" w:eastAsia="宋体" w:cs="Times New Roman"/>
      <w:sz w:val="24"/>
    </w:rPr>
  </w:style>
  <w:style w:type="paragraph" w:styleId="661">
    <w:name w:val="Normal (Web)"/>
    <w:basedOn w:val="647"/>
    <w:uiPriority w:val="0"/>
    <w:qFormat/>
    <w:pPr>
      <w:jc w:val="left"/>
      <w:spacing w:beforeAutospacing="1" w:afterAutospacing="1"/>
    </w:pPr>
    <w:rPr>
      <w:rFonts w:cs="Times New Roman"/>
      <w:sz w:val="24"/>
    </w:rPr>
  </w:style>
  <w:style w:type="table" w:styleId="662">
    <w:name w:val="Table Grid"/>
    <w:basedOn w:val="6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3">
    <w:name w:val="Emphasis"/>
    <w:uiPriority w:val="0"/>
    <w:qFormat/>
    <w:rPr>
      <w:i/>
    </w:rPr>
  </w:style>
  <w:style w:type="paragraph" w:styleId="664" w:customStyle="1">
    <w:name w:val="Default"/>
    <w:basedOn w:val="647"/>
    <w:uiPriority w:val="0"/>
    <w:semiHidden/>
    <w:qFormat/>
    <w:pPr>
      <w:jc w:val="left"/>
    </w:pPr>
    <w:rPr>
      <w:rFonts w:ascii="宋体" w:hAnsi="Calibri" w:cs="宋体"/>
      <w:color w:val="000000"/>
      <w:sz w:val="24"/>
    </w:rPr>
  </w:style>
  <w:style w:type="character" w:styleId="665" w:customStyle="1">
    <w:name w:val="页眉 Char"/>
    <w:basedOn w:val="649"/>
    <w:link w:val="659"/>
    <w:uiPriority w:val="0"/>
    <w:qFormat/>
    <w:rPr>
      <w:rFonts w:asciiTheme="minorHAnsi" w:hAnsiTheme="minorHAnsi" w:eastAsiaTheme="minorEastAsia" w:cstheme="minorBidi"/>
      <w:sz w:val="18"/>
      <w:szCs w:val="18"/>
    </w:rPr>
  </w:style>
  <w:style w:type="character" w:styleId="666" w:customStyle="1">
    <w:name w:val="页脚 Char"/>
    <w:basedOn w:val="649"/>
    <w:link w:val="658"/>
    <w:uiPriority w:val="0"/>
    <w:qFormat/>
    <w:rPr>
      <w:rFonts w:asciiTheme="minorHAnsi" w:hAnsiTheme="minorHAnsi" w:eastAsiaTheme="minorEastAsia" w:cstheme="minorBidi"/>
      <w:sz w:val="18"/>
      <w:szCs w:val="18"/>
    </w:rPr>
  </w:style>
  <w:style w:type="paragraph" w:styleId="667" w:customStyle="1">
    <w:name w:val="普通正文"/>
    <w:basedOn w:val="647"/>
    <w:uiPriority w:val="0"/>
    <w:qFormat/>
    <w:pPr>
      <w:ind w:firstLine="480"/>
      <w:jc w:val="left"/>
      <w:spacing w:before="120" w:after="120" w:line="360" w:lineRule="auto"/>
    </w:pPr>
    <w:rPr>
      <w:rFonts w:ascii="Arial" w:hAnsi="Arial" w:eastAsia="等线" w:cs="Arial"/>
      <w:sz w:val="24"/>
      <w:szCs w:val="24"/>
    </w:rPr>
  </w:style>
  <w:style w:type="paragraph" w:styleId="668" w:customStyle="1">
    <w:name w:val="正文首行缩进 21"/>
    <w:basedOn w:val="669"/>
    <w:uiPriority w:val="0"/>
    <w:qFormat/>
    <w:pPr>
      <w:ind w:firstLine="420"/>
    </w:pPr>
  </w:style>
  <w:style w:type="paragraph" w:styleId="669" w:customStyle="1">
    <w:name w:val="正文文本缩进1"/>
    <w:basedOn w:val="647"/>
    <w:uiPriority w:val="0"/>
    <w:qFormat/>
    <w:pPr>
      <w:ind w:left="420"/>
      <w:spacing w:after="120"/>
    </w:pPr>
  </w:style>
  <w:style w:type="paragraph" w:styleId="670" w:customStyle="1">
    <w:name w:val="JSEP表文字"/>
    <w:basedOn w:val="647"/>
    <w:next w:val="647"/>
    <w:uiPriority w:val="0"/>
    <w:qFormat/>
    <w:pPr>
      <w:jc w:val="center"/>
      <w:spacing w:line="360" w:lineRule="exact"/>
    </w:pPr>
    <w:rPr>
      <w:rFonts w:eastAsia="仿宋_GB2312"/>
      <w:sz w:val="24"/>
      <w:szCs w:val="22"/>
    </w:rPr>
  </w:style>
  <w:style w:type="paragraph" w:styleId="671" w:customStyle="1">
    <w:name w:val="正文(首行缩进)"/>
    <w:uiPriority w:val="0"/>
    <w:qFormat/>
    <w:pPr>
      <w:ind w:firstLine="200"/>
      <w:jc w:val="both"/>
      <w:spacing w:after="200" w:line="420" w:lineRule="atLeast"/>
    </w:pPr>
    <w:rPr>
      <w:rFonts w:eastAsia="仿宋_GB2312" w:asciiTheme="minorHAnsi" w:hAnsiTheme="minorHAnsi" w:cstheme="minorBidi"/>
      <w:spacing w:val="2"/>
      <w:sz w:val="24"/>
      <w:szCs w:val="22"/>
      <w:lang w:val="en-US" w:eastAsia="zh-CN" w:bidi="ar-SA"/>
    </w:rPr>
  </w:style>
  <w:style w:type="paragraph" w:styleId="672" w:customStyle="1">
    <w:name w:val="JSEP正文"/>
    <w:basedOn w:val="647"/>
    <w:uiPriority w:val="0"/>
    <w:qFormat/>
    <w:pPr>
      <w:ind w:firstLine="200"/>
      <w:spacing w:line="360" w:lineRule="auto"/>
    </w:pPr>
    <w:rPr>
      <w:rFonts w:ascii="Times New Roman" w:hAnsi="Times New Roman" w:eastAsia="仿宋_GB2312"/>
      <w:sz w:val="28"/>
    </w:rPr>
  </w:style>
  <w:style w:type="paragraph" w:styleId="673" w:customStyle="1">
    <w:name w:val="JSEP图格式"/>
    <w:basedOn w:val="647"/>
    <w:next w:val="674"/>
    <w:uiPriority w:val="0"/>
    <w:qFormat/>
    <w:pPr>
      <w:jc w:val="center"/>
      <w:keepNext/>
      <w:tabs>
        <w:tab w:val="center" w:pos="4253" w:leader="none"/>
        <w:tab w:val="right" w:pos="8222" w:leader="none"/>
      </w:tabs>
    </w:pPr>
    <w:rPr>
      <w:rFonts w:ascii="Times New Roman" w:hAnsi="Times New Roman" w:eastAsia="仿宋_GB2312"/>
      <w:sz w:val="24"/>
    </w:rPr>
  </w:style>
  <w:style w:type="paragraph" w:styleId="674" w:customStyle="1">
    <w:name w:val="JSEP图标题"/>
    <w:basedOn w:val="647"/>
    <w:next w:val="672"/>
    <w:uiPriority w:val="0"/>
    <w:qFormat/>
    <w:pPr>
      <w:numPr>
        <w:ilvl w:val="4"/>
        <w:numId w:val="1"/>
      </w:numPr>
      <w:ind w:left="0"/>
      <w:jc w:val="center"/>
      <w:spacing w:line="500" w:lineRule="exact"/>
    </w:pPr>
    <w:rPr>
      <w:rFonts w:ascii="Times New Roman" w:hAnsi="Times New Roman" w:eastAsia="仿宋_GB2312"/>
      <w:b/>
      <w:sz w:val="28"/>
    </w:rPr>
  </w:style>
  <w:style w:type="paragraph" w:styleId="675" w:customStyle="1">
    <w:name w:val="表格首行"/>
    <w:basedOn w:val="647"/>
    <w:uiPriority w:val="0"/>
    <w:qFormat/>
    <w:pPr>
      <w:jc w:val="center"/>
      <w:spacing w:line="360" w:lineRule="exact"/>
    </w:pPr>
    <w:rPr>
      <w:rFonts w:ascii="Times New Roman" w:hAnsi="Times New Roman" w:eastAsia="仿宋_GB2312" w:cs="Times New Roman"/>
      <w:b/>
      <w:sz w:val="24"/>
      <w:szCs w:val="22"/>
    </w:rPr>
  </w:style>
  <w:style w:type="paragraph" w:styleId="676" w:customStyle="1">
    <w:name w:val="图片"/>
    <w:basedOn w:val="647"/>
    <w:uiPriority w:val="0"/>
    <w:qFormat/>
    <w:pPr>
      <w:jc w:val="center"/>
    </w:pPr>
    <w:rPr>
      <w:rFonts w:ascii="Times New Roman" w:hAnsi="Times New Roman" w:eastAsia="仿宋_GB2312" w:cs="Times New Roman"/>
      <w:sz w:val="28"/>
      <w:szCs w:val="22"/>
    </w:rPr>
  </w:style>
  <w:style w:type="table" w:styleId="677" w:customStyle="1">
    <w:name w:val="(环评报告表）1"/>
    <w:basedOn w:val="650"/>
    <w:uiPriority w:val="0"/>
    <w:qFormat/>
    <w:rPr>
      <w:rFonts w:ascii="等线" w:hAnsi="等线" w:eastAsia="等线" w:cs="Times New Roman"/>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8" w:customStyle="1">
    <w:name w:val="表内"/>
    <w:basedOn w:val="647"/>
    <w:uiPriority w:val="0"/>
    <w:qFormat/>
    <w:pPr>
      <w:jc w:val="center"/>
      <w:spacing w:line="360" w:lineRule="exact"/>
    </w:pPr>
    <w:rPr>
      <w:rFonts w:ascii="Times New Roman" w:hAnsi="Times New Roman" w:eastAsia="仿宋_GB2312" w:cs="Times New Roman"/>
      <w:sz w:val="24"/>
      <w:szCs w:val="22"/>
    </w:rPr>
  </w:style>
  <w:style w:type="paragraph" w:styleId="679" w:customStyle="1">
    <w:name w:val="目录 51"/>
    <w:next w:val="647"/>
    <w:uiPriority w:val="0"/>
    <w:qFormat/>
    <w:pPr>
      <w:ind w:left="1275"/>
      <w:jc w:val="both"/>
    </w:pPr>
    <w:rPr>
      <w:rFonts w:hint="default" w:ascii="Times New Roman" w:hAnsi="Times New Roman" w:eastAsia="宋体" w:cs="Times New Roman"/>
      <w:sz w:val="21"/>
      <w:lang w:val="en-US" w:eastAsia="zh-CN" w:bidi="ar-SA"/>
    </w:rPr>
  </w:style>
  <w:style w:type="paragraph" w:styleId="680" w:customStyle="1">
    <w:name w:val="纯文本1"/>
    <w:basedOn w:val="647"/>
    <w:uiPriority w:val="0"/>
    <w:qFormat/>
    <w:rPr>
      <w:rFonts w:hAnsi="Courier New" w:eastAsia="楷体_GB2312"/>
      <w:sz w:val="26"/>
    </w:rPr>
  </w:style>
  <w:style w:type="character" w:styleId="681" w:customStyle="1">
    <w:name w:val="font11"/>
    <w:basedOn w:val="649"/>
    <w:uiPriority w:val="0"/>
    <w:qFormat/>
    <w:rPr>
      <w:rFonts w:hint="eastAsia" w:ascii="宋体" w:hAnsi="宋体" w:eastAsia="宋体" w:cs="宋体"/>
      <w:color w:val="ff0000"/>
      <w:sz w:val="22"/>
      <w:szCs w:val="22"/>
      <w:u w:val="none"/>
    </w:rPr>
  </w:style>
  <w:style w:type="character" w:styleId="682" w:customStyle="1">
    <w:name w:val="font01"/>
    <w:basedOn w:val="649"/>
    <w:uiPriority w:val="0"/>
    <w:qFormat/>
    <w:rPr>
      <w:rFonts w:hint="eastAsia" w:ascii="宋体" w:hAnsi="宋体" w:eastAsia="宋体" w:cs="宋体"/>
      <w:color w:val="000000"/>
      <w:sz w:val="22"/>
      <w:szCs w:val="22"/>
      <w:u w:val="none"/>
    </w:rPr>
  </w:style>
  <w:style w:type="character" w:styleId="683" w:customStyle="1">
    <w:name w:val="font41"/>
    <w:basedOn w:val="649"/>
    <w:uiPriority w:val="0"/>
    <w:qFormat/>
    <w:rPr>
      <w:rFonts w:hint="default" w:ascii="Times New Roman" w:hAnsi="Times New Roman" w:cs="Times New Roman"/>
      <w:color w:val="000000"/>
      <w:sz w:val="22"/>
      <w:szCs w:val="22"/>
      <w:u w:val="none"/>
    </w:rPr>
  </w:style>
  <w:style w:type="character" w:styleId="684" w:customStyle="1">
    <w:name w:val="font31"/>
    <w:basedOn w:val="649"/>
    <w:uiPriority w:val="0"/>
    <w:qFormat/>
    <w:rPr>
      <w:rFonts w:hint="eastAsia" w:ascii="宋体" w:hAnsi="宋体" w:eastAsia="宋体" w:cs="宋体"/>
      <w:color w:val="ff0000"/>
      <w:sz w:val="22"/>
      <w:szCs w:val="22"/>
      <w:u w:val="none"/>
    </w:rPr>
  </w:style>
  <w:style w:type="numbering" w:styleId="8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盐城市弘盛业务</cp:lastModifiedBy>
  <cp:revision>1</cp:revision>
  <dcterms:created xsi:type="dcterms:W3CDTF">2014-10-29T12:08:00Z</dcterms:created>
  <dcterms:modified xsi:type="dcterms:W3CDTF">2026-08-14T08:07:38Z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700D7FCBD3ED4924BC7E01243596577D_13</vt:lpwstr>
  </property>
  <property fmtid="{D5CDD505-2E9C-101B-9397-08002B2CF9AE}" pid="4" name="KSOTemplateDocerSaveRecord">
    <vt:lpwstr>eyJoZGlkIjoiMmIwN2I0N2VmMTcyZjlkMzM2YWY4NDViZDQ4ZjRiMjAiLCJ1c2VySWQiOiI0MDY4NzMzMTIifQ==</vt:lpwstr>
  </property>
</Properties>
</file>