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spacing w:before="120" w:beforeAutospacing="0" w:after="120" w:afterAutospacing="0" w:line="360" w:lineRule="auto"/>
        <w:rPr>
          <w:color w:val="auto"/>
          <w:highlight w:val="none"/>
        </w:rPr>
      </w:pPr>
      <w:r>
        <w:rPr>
          <w:color w:val="auto"/>
          <w:highlight w:val="none"/>
        </w:rPr>
        <w:t xml:space="preserve"> </w:t>
      </w:r>
      <w:r>
        <w:rPr>
          <w:color w:val="auto"/>
          <w:highlight w:val="none"/>
        </w:rPr>
      </w:r>
      <w:r/>
    </w:p>
    <w:p>
      <w:pPr>
        <w:pStyle w:val="887"/>
        <w:jc w:val="center"/>
        <w:spacing w:before="120" w:beforeAutospacing="0" w:after="120" w:afterAutospacing="0" w:line="360" w:lineRule="auto"/>
        <w:rPr>
          <w:rFonts w:hint="eastAsia" w:eastAsiaTheme="minorEastAsia"/>
          <w:color w:val="auto"/>
          <w:highlight w:val="none"/>
          <w:lang w:eastAsia="zh-CN"/>
        </w:rPr>
      </w:pPr>
      <w:r>
        <w:rPr>
          <w:rFonts w:ascii="Arial" w:hAnsi="Arial" w:cs="Arial"/>
          <w:b/>
          <w:color w:val="auto"/>
          <w:sz w:val="84"/>
          <w:szCs w:val="84"/>
          <w:highlight w:val="none"/>
        </w:rPr>
        <w:t xml:space="preserve">竞争性</w:t>
      </w:r>
      <w:r>
        <w:rPr>
          <w:rFonts w:hint="eastAsia" w:ascii="Arial" w:hAnsi="Arial" w:cs="Arial"/>
          <w:b/>
          <w:color w:val="auto"/>
          <w:sz w:val="84"/>
          <w:szCs w:val="84"/>
          <w:highlight w:val="none"/>
          <w:lang w:eastAsia="zh-CN"/>
        </w:rPr>
        <w:t xml:space="preserve">磋商邀请文件</w:t>
      </w:r>
      <w:r/>
    </w:p>
    <w:p>
      <w:pPr>
        <w:pStyle w:val="887"/>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87"/>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87"/>
        <w:ind w:firstLine="2249"/>
        <w:jc w:val="both"/>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t xml:space="preserve">项目名称：</w:t>
      </w:r>
      <w:r>
        <w:rPr>
          <w:rFonts w:hint="eastAsia"/>
          <w:color w:val="auto"/>
          <w:sz w:val="32"/>
          <w:highlight w:val="none"/>
        </w:rPr>
        <w:t xml:space="preserve">国企监管平台</w:t>
      </w:r>
      <w:r/>
    </w:p>
    <w:p>
      <w:pPr>
        <w:pStyle w:val="887"/>
        <w:ind w:firstLine="2249"/>
        <w:jc w:val="both"/>
        <w:spacing w:before="120" w:beforeAutospacing="0" w:after="120" w:afterAutospacing="0" w:line="360" w:lineRule="auto"/>
        <w:rPr>
          <w:rFonts w:hint="eastAsia"/>
          <w:color w:val="auto"/>
          <w:sz w:val="32"/>
          <w:highlight w:val="none"/>
        </w:rPr>
      </w:pPr>
      <w:r>
        <w:rPr>
          <w:rFonts w:ascii="Arial" w:hAnsi="Arial" w:cs="Arial"/>
          <w:b/>
          <w:color w:val="auto"/>
          <w:sz w:val="32"/>
          <w:szCs w:val="32"/>
          <w:highlight w:val="none"/>
        </w:rPr>
        <w:t xml:space="preserve">项目编号：</w:t>
      </w:r>
      <w:r>
        <w:rPr>
          <w:rFonts w:hint="eastAsia"/>
          <w:color w:val="auto"/>
          <w:sz w:val="32"/>
          <w:highlight w:val="none"/>
        </w:rPr>
        <w:t xml:space="preserve">JSZC-320900-JZCG-C2026-0018</w:t>
      </w:r>
      <w:r/>
    </w:p>
    <w:p>
      <w:pPr>
        <w:pStyle w:val="887"/>
        <w:spacing w:beforeAutospacing="0" w:afterAutospacing="0" w:line="360" w:lineRule="auto"/>
        <w:rPr>
          <w:color w:val="auto"/>
          <w:highlight w:val="none"/>
        </w:rPr>
      </w:pPr>
      <w:r>
        <w:rPr>
          <w:color w:val="auto"/>
          <w:highlight w:val="none"/>
        </w:rPr>
        <w:t xml:space="preserve"> </w:t>
      </w:r>
      <w:r/>
    </w:p>
    <w:p>
      <w:pPr>
        <w:pStyle w:val="887"/>
        <w:spacing w:beforeAutospacing="0" w:afterAutospacing="0" w:line="360" w:lineRule="auto"/>
        <w:rPr>
          <w:color w:val="auto"/>
          <w:highlight w:val="none"/>
        </w:rPr>
      </w:pPr>
      <w:r>
        <w:rPr>
          <w:color w:val="auto"/>
          <w:highlight w:val="none"/>
        </w:rPr>
        <w:t xml:space="preserve"> </w:t>
      </w:r>
      <w:r/>
    </w:p>
    <w:p>
      <w:pPr>
        <w:pStyle w:val="887"/>
        <w:spacing w:beforeAutospacing="0" w:afterAutospacing="0" w:line="360" w:lineRule="auto"/>
        <w:rPr>
          <w:color w:val="auto"/>
          <w:highlight w:val="none"/>
        </w:rPr>
      </w:pPr>
      <w:r>
        <w:rPr>
          <w:color w:val="auto"/>
          <w:highlight w:val="none"/>
        </w:rPr>
        <w:t xml:space="preserve"> </w:t>
      </w:r>
      <w:r/>
    </w:p>
    <w:p>
      <w:pPr>
        <w:pStyle w:val="887"/>
        <w:spacing w:beforeAutospacing="0" w:afterAutospacing="0" w:line="360" w:lineRule="auto"/>
        <w:rPr>
          <w:color w:val="auto"/>
          <w:highlight w:val="none"/>
        </w:rPr>
      </w:pPr>
      <w:r>
        <w:rPr>
          <w:color w:val="auto"/>
          <w:highlight w:val="none"/>
        </w:rPr>
        <w:t xml:space="preserve"> </w:t>
      </w:r>
      <w:r/>
    </w:p>
    <w:p>
      <w:pPr>
        <w:pStyle w:val="887"/>
        <w:spacing w:beforeAutospacing="0" w:afterAutospacing="0" w:line="360" w:lineRule="auto"/>
        <w:rPr>
          <w:color w:val="auto"/>
          <w:highlight w:val="none"/>
        </w:rPr>
      </w:pPr>
      <w:r>
        <w:rPr>
          <w:color w:val="auto"/>
          <w:highlight w:val="none"/>
        </w:rPr>
        <w:t xml:space="preserve"> </w:t>
      </w:r>
      <w:r/>
    </w:p>
    <w:p>
      <w:pPr>
        <w:pStyle w:val="887"/>
        <w:spacing w:beforeAutospacing="0" w:afterAutospacing="0" w:line="360" w:lineRule="auto"/>
        <w:rPr>
          <w:color w:val="auto"/>
          <w:highlight w:val="none"/>
        </w:rPr>
      </w:pPr>
      <w:r>
        <w:rPr>
          <w:color w:val="auto"/>
          <w:highlight w:val="none"/>
        </w:rPr>
        <w:t xml:space="preserve"> </w:t>
      </w:r>
      <w:r/>
    </w:p>
    <w:p>
      <w:pPr>
        <w:pStyle w:val="887"/>
        <w:spacing w:beforeAutospacing="0" w:afterAutospacing="0" w:line="360" w:lineRule="auto"/>
        <w:rPr>
          <w:color w:val="auto"/>
          <w:highlight w:val="none"/>
        </w:rPr>
      </w:pPr>
      <w:r>
        <w:rPr>
          <w:color w:val="auto"/>
          <w:highlight w:val="none"/>
        </w:rPr>
        <w:t xml:space="preserve"> </w:t>
      </w:r>
      <w:r/>
    </w:p>
    <w:p>
      <w:pPr>
        <w:pStyle w:val="887"/>
        <w:jc w:val="center"/>
        <w:spacing w:before="120" w:beforeAutospacing="0" w:after="120" w:afterAutospacing="0" w:line="360" w:lineRule="auto"/>
        <w:rPr>
          <w:rFonts w:hint="default" w:ascii="Arial" w:hAnsi="Arial" w:cs="Arial" w:eastAsiaTheme="minorEastAsia"/>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盐城市财政局</w:t>
      </w:r>
      <w:r/>
    </w:p>
    <w:p>
      <w:pPr>
        <w:pStyle w:val="887"/>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5</w:t>
      </w:r>
      <w:r>
        <w:rPr>
          <w:rFonts w:ascii="Arial" w:hAnsi="Arial" w:cs="Arial"/>
          <w:b/>
          <w:color w:val="auto"/>
          <w:sz w:val="32"/>
          <w:szCs w:val="32"/>
          <w:highlight w:val="none"/>
        </w:rPr>
        <w:t xml:space="preserve">月</w:t>
      </w:r>
      <w:r/>
    </w:p>
    <w:p>
      <w:pPr>
        <w:pStyle w:val="887"/>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887"/>
        <w:jc w:val="center"/>
        <w:spacing w:before="120" w:beforeAutospacing="0" w:after="120" w:afterAutospacing="0" w:line="360" w:lineRule="auto"/>
        <w:rPr>
          <w:color w:val="auto"/>
          <w:highlight w:val="none"/>
        </w:rPr>
      </w:pPr>
      <w:r>
        <w:rPr>
          <w:color w:val="auto"/>
          <w:highlight w:val="none"/>
        </w:rPr>
        <w:t xml:space="preserve"> </w:t>
      </w:r>
      <w:r/>
    </w:p>
    <w:p>
      <w:pPr>
        <w:pStyle w:val="887"/>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523127445"/>
      <w:r/>
      <w:bookmarkStart w:id="1" w:name="_Toc20823272"/>
      <w:r/>
      <w:bookmarkStart w:id="2" w:name="_Toc513029200"/>
      <w:r/>
      <w:bookmarkStart w:id="3" w:name="_Toc479757206"/>
      <w:r/>
      <w:bookmarkStart w:id="4" w:name="_Toc16938516"/>
      <w:r/>
      <w:bookmarkStart w:id="5" w:name="_Toc120614210"/>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87"/>
        <w:jc w:val="both"/>
        <w:spacing w:beforeAutospacing="0" w:afterAutospacing="0" w:line="480" w:lineRule="auto"/>
        <w:rPr>
          <w:color w:val="auto"/>
          <w:highlight w:val="none"/>
        </w:rPr>
      </w:pPr>
      <w:r>
        <w:rPr>
          <w:color w:val="auto"/>
          <w:highlight w:val="none"/>
        </w:rPr>
        <w:t xml:space="preserve"> </w:t>
      </w:r>
      <w:r/>
    </w:p>
    <w:p>
      <w:pPr>
        <w:pStyle w:val="887"/>
        <w:ind w:left="2160" w:hanging="1440"/>
        <w:jc w:val="both"/>
        <w:spacing w:beforeAutospacing="0" w:afterAutospacing="0" w:line="480" w:lineRule="auto"/>
        <w:tabs>
          <w:tab w:val="left" w:pos="1441" w:leader="none"/>
        </w:tabs>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竞争性磋商邀请</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w:t>
      </w:r>
      <w:r/>
    </w:p>
    <w:p>
      <w:pPr>
        <w:pStyle w:val="887"/>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供应商须知…………………………………</w:t>
      </w:r>
      <w:r>
        <w:rPr>
          <w:rFonts w:hint="eastAsia" w:ascii="黑体" w:hAnsi="宋体" w:eastAsia="黑体" w:cs="黑体"/>
          <w:color w:val="auto"/>
          <w:sz w:val="36"/>
          <w:szCs w:val="36"/>
          <w:highlight w:val="none"/>
          <w:lang w:val="en-US" w:eastAsia="zh-CN"/>
        </w:rPr>
        <w:t xml:space="preserve">4</w:t>
      </w:r>
      <w:r>
        <w:rPr>
          <w:rFonts w:hint="eastAsia" w:ascii="黑体" w:hAnsi="宋体" w:eastAsia="黑体" w:cs="黑体"/>
          <w:color w:val="auto"/>
          <w:sz w:val="36"/>
          <w:szCs w:val="36"/>
          <w:highlight w:val="none"/>
        </w:rPr>
        <w:t xml:space="preserve">  </w:t>
      </w:r>
      <w:r/>
    </w:p>
    <w:p>
      <w:pPr>
        <w:pStyle w:val="887"/>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16</w:t>
      </w:r>
      <w:r/>
    </w:p>
    <w:p>
      <w:pPr>
        <w:pStyle w:val="887"/>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24</w:t>
      </w:r>
      <w:r/>
    </w:p>
    <w:p>
      <w:pPr>
        <w:pStyle w:val="887"/>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评审方法与评审标准………………………</w:t>
      </w:r>
      <w:r>
        <w:rPr>
          <w:rFonts w:hint="eastAsia" w:ascii="黑体" w:hAnsi="宋体" w:eastAsia="黑体" w:cs="黑体"/>
          <w:color w:val="auto"/>
          <w:sz w:val="36"/>
          <w:szCs w:val="36"/>
          <w:highlight w:val="none"/>
          <w:lang w:val="en-US" w:eastAsia="zh-CN"/>
        </w:rPr>
        <w:t xml:space="preserve">33</w:t>
      </w:r>
      <w:r/>
    </w:p>
    <w:p>
      <w:pPr>
        <w:pStyle w:val="887"/>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响应文件格式………………………………</w:t>
      </w:r>
      <w:r>
        <w:rPr>
          <w:rFonts w:hint="eastAsia" w:ascii="黑体" w:hAnsi="宋体" w:eastAsia="黑体" w:cs="黑体"/>
          <w:color w:val="auto"/>
          <w:sz w:val="36"/>
          <w:szCs w:val="36"/>
          <w:highlight w:val="none"/>
          <w:lang w:val="en-US" w:eastAsia="zh-CN"/>
        </w:rPr>
        <w:t xml:space="preserve">42</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color w:val="auto"/>
          <w:highlight w:val="none"/>
        </w:rPr>
        <w:t xml:space="preserve"> </w:t>
      </w:r>
      <w:r>
        <w:rPr>
          <w:color w:val="auto"/>
          <w:highlight w:val="none"/>
        </w:rPr>
      </w:r>
      <w:r/>
    </w:p>
    <w:p>
      <w:pPr>
        <w:pStyle w:val="887"/>
        <w:jc w:val="both"/>
        <w:spacing w:beforeAutospacing="0" w:afterAutospacing="0"/>
        <w:rPr>
          <w:color w:val="auto"/>
          <w:highlight w:val="none"/>
        </w:rPr>
      </w:pPr>
      <w:r>
        <w:rPr>
          <w:color w:val="auto"/>
          <w:highlight w:val="none"/>
        </w:rPr>
        <w:t xml:space="preserve"> </w:t>
      </w:r>
      <w:r/>
    </w:p>
    <w:p>
      <w:pPr>
        <w:pStyle w:val="887"/>
        <w:jc w:val="center"/>
        <w:keepNext/>
        <w:spacing w:beforeAutospacing="0" w:afterAutospacing="0"/>
        <w:rPr>
          <w:rFonts w:hint="eastAsia" w:ascii="仿宋" w:hAnsi="仿宋" w:eastAsia="仿宋" w:cs="仿宋"/>
          <w:color w:val="auto"/>
          <w:sz w:val="28"/>
          <w:szCs w:val="28"/>
          <w:highlight w:val="none"/>
          <w:lang w:val="en-US" w:eastAsia="zh-CN"/>
        </w:rPr>
      </w:pPr>
      <w:r/>
      <w:bookmarkStart w:id="6"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竞争性磋商邀请</w:t>
      </w:r>
      <w:r>
        <w:rPr>
          <w:rFonts w:hint="eastAsia" w:ascii="仿宋" w:hAnsi="仿宋" w:eastAsia="仿宋" w:cs="仿宋"/>
          <w:color w:val="auto"/>
          <w:sz w:val="28"/>
          <w:szCs w:val="28"/>
          <w:highlight w:val="none"/>
          <w:lang w:val="en-US" w:eastAsia="zh-CN"/>
        </w:rPr>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27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8278"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全市国有企业监管平台JSZC-320900-JZCG-C2026-0018 采购项目的潜在供应商应在盐城市财政局（被邀请供应商，在规定时间内线下领取磋商文件，系统获取磋商文件的供应商不具备本次投标资格） 获取采购文件，并于2026-05-18 09:30 （北京时间）前提交响应文件。</w:t>
            </w:r>
            <w:r/>
          </w:p>
        </w:tc>
      </w:tr>
    </w:tbl>
    <w:p>
      <w:pPr>
        <w:pStyle w:val="887"/>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7" w:name="_Toc38985263"/>
      <w:r/>
      <w:bookmarkStart w:id="8" w:name="_Toc35393621"/>
      <w:r/>
      <w:bookmarkStart w:id="9" w:name="_Toc28359002"/>
      <w:r/>
      <w:bookmarkStart w:id="10" w:name="_Toc28359079"/>
      <w:r/>
      <w:bookmarkStart w:id="11" w:name="_Hlk24379207"/>
      <w:r/>
      <w:bookmarkStart w:id="12" w:name="_Toc35393790"/>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887"/>
        <w:ind w:firstLine="480"/>
        <w:jc w:val="both"/>
        <w:spacing w:beforeAutospacing="0" w:afterAutospacing="0"/>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1.项目编号：JSZC-320900-JZCG-C2026-0018</w:t>
      </w:r>
      <w:r/>
    </w:p>
    <w:p>
      <w:pPr>
        <w:pStyle w:val="887"/>
        <w:ind w:firstLine="480"/>
        <w:jc w:val="both"/>
        <w:spacing w:beforeAutospacing="0" w:afterAutospacing="0"/>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2.项目名称：</w:t>
      </w:r>
      <w:bookmarkStart w:id="13" w:name="OLE_LINK27"/>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国企监管平台</w:t>
      </w:r>
      <w:bookmarkEnd w:id="13"/>
      <w:r/>
      <w:r/>
    </w:p>
    <w:p>
      <w:pPr>
        <w:pStyle w:val="887"/>
        <w:ind w:firstLine="480"/>
        <w:jc w:val="both"/>
        <w:spacing w:beforeAutospacing="0" w:afterAutospacing="0"/>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3.采购方式：竞争性磋商</w:t>
      </w:r>
      <w:r/>
    </w:p>
    <w:p>
      <w:pPr>
        <w:pStyle w:val="887"/>
        <w:ind w:firstLine="480"/>
        <w:jc w:val="both"/>
        <w:spacing w:beforeAutospacing="0" w:afterAutospacing="0"/>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4.预算金额：45万元</w:t>
      </w:r>
      <w:r/>
    </w:p>
    <w:p>
      <w:pPr>
        <w:pStyle w:val="887"/>
        <w:ind w:firstLine="480"/>
        <w:jc w:val="both"/>
        <w:spacing w:beforeAutospacing="0" w:afterAutospacing="0"/>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5.最高限价：45万元</w:t>
      </w:r>
      <w:r/>
    </w:p>
    <w:p>
      <w:pPr>
        <w:pStyle w:val="887"/>
        <w:ind w:firstLine="480"/>
        <w:jc w:val="both"/>
        <w:spacing w:beforeAutospacing="0" w:afterAutospacing="0"/>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6.采购需求：</w:t>
      </w:r>
      <w:bookmarkStart w:id="14" w:name="OLE_LINK9"/>
      <w:r/>
      <w:bookmarkStart w:id="15" w:name="OLE_LINK10"/>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国企监管平台项目，具体详见项目需求。</w:t>
      </w:r>
      <w:bookmarkEnd w:id="14"/>
      <w:r/>
      <w:bookmarkEnd w:id="15"/>
      <w:r/>
      <w:r/>
    </w:p>
    <w:p>
      <w:pPr>
        <w:pStyle w:val="887"/>
        <w:ind w:firstLine="480"/>
        <w:jc w:val="both"/>
        <w:spacing w:beforeAutospacing="0" w:afterAutospacing="0"/>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7.合同履行期限：90日历天</w:t>
      </w:r>
      <w:r/>
    </w:p>
    <w:p>
      <w:pPr>
        <w:pStyle w:val="887"/>
        <w:ind w:firstLine="480"/>
        <w:jc w:val="both"/>
        <w:spacing w:beforeAutospacing="0" w:afterAutospacing="0"/>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8.本项目不接受联合体参与磋商。</w:t>
      </w:r>
      <w:r/>
    </w:p>
    <w:p>
      <w:pPr>
        <w:pStyle w:val="887"/>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6" w:name="_Toc35393622"/>
      <w:r/>
      <w:bookmarkStart w:id="17" w:name="_Toc35393791"/>
      <w:r/>
      <w:bookmarkStart w:id="18" w:name="_Toc38985264"/>
      <w:r/>
      <w:bookmarkStart w:id="19" w:name="_Toc28359003"/>
      <w:r/>
      <w:bookmarkStart w:id="20" w:name="_Toc28359080"/>
      <w:r>
        <w:rPr>
          <w:rFonts w:hint="eastAsia" w:ascii="宋体" w:hAnsi="宋体" w:eastAsia="宋体" w:cs="宋体"/>
          <w:b/>
          <w:color w:val="auto"/>
          <w:sz w:val="24"/>
          <w:szCs w:val="24"/>
          <w:highlight w:val="none"/>
        </w:rPr>
        <w:t xml:space="preserve">二、申请人的资格要求：</w:t>
      </w:r>
      <w:bookmarkEnd w:id="16"/>
      <w:r/>
      <w:bookmarkEnd w:id="17"/>
      <w:r/>
      <w:bookmarkEnd w:id="18"/>
      <w:r/>
      <w:bookmarkEnd w:id="19"/>
      <w:r/>
      <w:bookmarkEnd w:id="20"/>
      <w:r/>
      <w:r/>
    </w:p>
    <w:p>
      <w:pPr>
        <w:pStyle w:val="887"/>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887"/>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887"/>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 2024或者2025</w:t>
      </w:r>
      <w:r>
        <w:rPr>
          <w:rFonts w:hint="eastAsia" w:ascii="宋体" w:hAnsi="宋体" w:eastAsia="宋体" w:cs="宋体"/>
          <w:color w:val="auto"/>
          <w:sz w:val="24"/>
          <w:szCs w:val="24"/>
          <w:highlight w:val="none"/>
        </w:rPr>
        <w:t xml:space="preserve">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887"/>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887"/>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87"/>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887"/>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887"/>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87"/>
        <w:ind w:firstLine="480"/>
        <w:jc w:val="both"/>
        <w:spacing w:beforeAutospacing="0" w:afterAutospacing="0" w:line="360" w:lineRule="auto"/>
        <w:rPr>
          <w:rFonts w:hint="eastAsia" w:ascii="宋体" w:hAnsi="宋体" w:eastAsia="宋体" w:cs="宋体"/>
          <w:color w:val="auto"/>
          <w:sz w:val="24"/>
          <w:szCs w:val="24"/>
          <w:highlight w:val="lightGray"/>
          <w:shd w:val="clear" w:color="auto" w:fill="auto"/>
        </w:rPr>
      </w:pP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rPr>
        <w:t xml:space="preserve">关系的不同供应商，不得参加同一合同项下的政府采购活动</w:t>
      </w:r>
      <w:r>
        <w:rPr>
          <w:rFonts w:hint="eastAsia" w:ascii="宋体" w:hAnsi="宋体" w:cs="宋体"/>
          <w:b/>
          <w:bCs/>
          <w:color w:val="auto"/>
          <w:sz w:val="24"/>
          <w:szCs w:val="20"/>
          <w:highlight w:val="lightGray"/>
        </w:rPr>
        <w:t xml:space="preserve">（自行承诺</w:t>
      </w:r>
      <w:r>
        <w:rPr>
          <w:rFonts w:hint="eastAsia" w:ascii="宋体" w:hAnsi="宋体" w:cs="宋体"/>
          <w:color w:val="auto"/>
          <w:sz w:val="24"/>
          <w:szCs w:val="20"/>
          <w:highlight w:val="lightGray"/>
        </w:rPr>
        <w:t xml:space="preserve">）</w:t>
      </w:r>
      <w:r>
        <w:rPr>
          <w:rFonts w:hint="eastAsia" w:ascii="宋体" w:hAnsi="宋体" w:eastAsia="宋体" w:cs="宋体"/>
          <w:color w:val="auto"/>
          <w:sz w:val="24"/>
          <w:szCs w:val="24"/>
          <w:highlight w:val="lightGray"/>
          <w:shd w:val="clear" w:color="auto" w:fill="auto"/>
        </w:rPr>
        <w:t xml:space="preserve">。</w:t>
      </w:r>
      <w:r>
        <w:rPr>
          <w:highlight w:val="lightGray"/>
        </w:rPr>
      </w:r>
      <w:r/>
    </w:p>
    <w:p>
      <w:pPr>
        <w:pStyle w:val="887"/>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落实政府采购政策需满足的资格要求：无</w:t>
      </w:r>
      <w:r/>
    </w:p>
    <w:p>
      <w:pPr>
        <w:pStyle w:val="887"/>
        <w:ind w:left="0" w:right="0" w:firstLine="560"/>
        <w:jc w:val="both"/>
        <w:keepLines w:val="0"/>
        <w:keepNext w:val="0"/>
        <w:spacing w:before="0" w:beforeAutospacing="0" w:after="0" w:afterAutospacing="0"/>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p>
    <w:p>
      <w:pPr>
        <w:pStyle w:val="887"/>
        <w:ind w:left="0" w:right="0" w:firstLine="560"/>
        <w:jc w:val="both"/>
        <w:keepLines w:val="0"/>
        <w:keepNext w:val="0"/>
        <w:spacing w:before="0" w:beforeAutospacing="0" w:after="0" w:afterAutospacing="0"/>
        <w:shd w:val="clear" w:color="auto" w:fill="ffffff"/>
        <w:widowControl/>
        <w:rPr>
          <w:rFonts w:hint="eastAsia" w:ascii="宋体" w:hAnsi="宋体" w:eastAsia="宋体" w:cs="宋体"/>
          <w:color w:val="auto"/>
          <w:sz w:val="24"/>
          <w:szCs w:val="24"/>
          <w:highlight w:val="yellow"/>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无</w:t>
      </w:r>
      <w:r>
        <w:rPr>
          <w:rFonts w:hint="eastAsia" w:ascii="宋体" w:hAnsi="宋体" w:eastAsia="宋体" w:cs="宋体"/>
          <w:color w:val="auto"/>
          <w:sz w:val="24"/>
          <w:szCs w:val="24"/>
          <w:highlight w:val="yellow"/>
          <w:shd w:val="clear" w:color="auto" w:fill="auto"/>
        </w:rPr>
      </w:r>
      <w:r/>
    </w:p>
    <w:p>
      <w:pPr>
        <w:pStyle w:val="887"/>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磋商邀请文件</w:t>
      </w:r>
      <w:r/>
    </w:p>
    <w:p>
      <w:pPr>
        <w:ind w:left="0" w:right="0" w:firstLine="540"/>
        <w:jc w:val="both"/>
        <w:spacing w:before="0" w:after="0" w:line="276" w:lineRule="auto"/>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bookmarkStart w:id="21" w:name="_Toc35393624"/>
      <w:r/>
      <w:bookmarkStart w:id="22" w:name="_Toc28359082"/>
      <w:r/>
      <w:bookmarkStart w:id="23" w:name="_Toc28359005"/>
      <w:r/>
      <w:bookmarkStart w:id="24" w:name="_Toc38985266"/>
      <w:r/>
      <w:bookmarkStart w:id="25" w:name="_Toc35393793"/>
      <w:r>
        <w:rPr>
          <w:rFonts w:hint="eastAsia" w:ascii="宋体" w:hAnsi="宋体" w:eastAsia="宋体" w:cs="宋体"/>
          <w:color w:val="auto"/>
          <w:sz w:val="24"/>
          <w:szCs w:val="24"/>
          <w:highlight w:val="none"/>
          <w:shd w:val="clear" w:color="auto" w:fill="auto"/>
          <w:lang w:val="en-US" w:eastAsia="zh-CN" w:bidi="ar-SA"/>
        </w:rPr>
        <w:t xml:space="preserve">1.时间：</w:t>
      </w:r>
      <w:r>
        <w:rPr>
          <w:rFonts w:hint="eastAsia" w:ascii="宋体" w:hAnsi="宋体" w:eastAsia="宋体" w:cs="宋体"/>
          <w:color w:val="auto"/>
          <w:sz w:val="24"/>
          <w:szCs w:val="24"/>
          <w:highlight w:val="none"/>
          <w:shd w:val="clear" w:color="auto" w:fill="auto"/>
          <w:lang w:val="en-US" w:eastAsia="zh-CN" w:bidi="ar-SA"/>
        </w:rPr>
        <w:t xml:space="preserve">自磋商邀请文件发布之日起5个工作日。</w:t>
      </w:r>
      <w:bookmarkEnd w:id="21"/>
      <w:r/>
      <w:bookmarkEnd w:id="22"/>
      <w:r/>
      <w:bookmarkEnd w:id="23"/>
      <w:r/>
      <w:bookmarkEnd w:id="24"/>
      <w:r/>
      <w:bookmarkEnd w:id="25"/>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shd w:val="clear" w:color="auto" w:fill="auto"/>
          <w:lang w:val="en-US" w:eastAsia="zh-CN" w:bidi="ar-SA"/>
        </w:rPr>
        <w:t xml:space="preserve">     2.地点：</w:t>
      </w:r>
      <w:r>
        <w:rPr>
          <w:rFonts w:ascii="FangSong" w:hAnsi="FangSong" w:eastAsia="FangSong" w:cs="FangSong"/>
          <w:color w:val="000000"/>
          <w:sz w:val="28"/>
        </w:rPr>
        <w:t xml:space="preserve">盐城市财政局（被邀请供应商，在规定时间内线下领取磋商文件，系统获取磋商文件的供应商不具备本次投标资格） </w:t>
      </w:r>
      <w:r>
        <w:rPr>
          <w:rFonts w:hint="eastAsia" w:ascii="宋体" w:hAnsi="宋体" w:eastAsia="宋体" w:cs="宋体"/>
          <w:color w:val="auto"/>
          <w:sz w:val="24"/>
          <w:szCs w:val="24"/>
          <w:highlight w:val="none"/>
          <w:shd w:val="clear" w:color="auto" w:fill="auto"/>
          <w:lang w:val="en-US" w:eastAsia="zh-CN" w:bidi="ar-SA"/>
        </w:rPr>
      </w:r>
      <w:r/>
    </w:p>
    <w:p>
      <w:pPr>
        <w:ind w:left="0" w:right="0" w:firstLine="540"/>
        <w:jc w:val="both"/>
        <w:spacing w:before="0" w:after="0" w:line="6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shd w:val="clear" w:color="auto" w:fill="auto"/>
          <w:lang w:val="en-US" w:eastAsia="zh-CN" w:bidi="ar-SA"/>
        </w:rPr>
        <w:t xml:space="preserve">3.方式：</w:t>
      </w:r>
      <w:r>
        <w:rPr>
          <w:rFonts w:ascii="FangSong" w:hAnsi="FangSong" w:eastAsia="FangSong" w:cs="FangSong"/>
          <w:color w:val="000000"/>
          <w:sz w:val="28"/>
        </w:rPr>
        <w:t xml:space="preserve">被邀请供应商，在规定时间内线下领取磋商文件。（系统获取磋商文件的供应商不具备本次投标资格）  </w:t>
      </w:r>
      <w:r>
        <w:rPr>
          <w:rFonts w:ascii="SimSun" w:hAnsi="SimSun" w:eastAsia="SimSun" w:cs="SimSun"/>
          <w:b/>
          <w:color w:val="000000"/>
          <w:sz w:val="24"/>
        </w:rPr>
        <w:t xml:space="preserve"> </w:t>
      </w:r>
      <w:r/>
    </w:p>
    <w:p>
      <w:pPr>
        <w:ind w:left="0" w:right="0" w:firstLine="0"/>
        <w:jc w:val="both"/>
        <w:spacing w:before="0" w:after="0" w:line="276" w:lineRule="auto"/>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    4.售价：0元</w:t>
      </w:r>
      <w:r/>
    </w:p>
    <w:p>
      <w:pPr>
        <w:pStyle w:val="887"/>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 xml:space="preserve">四、响应文件</w:t>
      </w:r>
      <w:r>
        <w:rPr>
          <w:rFonts w:hint="eastAsia" w:ascii="宋体" w:hAnsi="宋体" w:eastAsia="宋体" w:cs="宋体"/>
          <w:b/>
          <w:color w:val="auto"/>
          <w:sz w:val="24"/>
          <w:szCs w:val="24"/>
          <w:highlight w:val="none"/>
          <w:shd w:val="clear" w:color="auto" w:fill="auto"/>
          <w:lang w:val="en-US" w:eastAsia="zh-CN"/>
        </w:rPr>
        <w:t xml:space="preserve">提交</w:t>
      </w:r>
      <w:r/>
    </w:p>
    <w:p>
      <w:pPr>
        <w:pStyle w:val="887"/>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cs="Times New Roman"/>
          <w:color w:val="auto"/>
          <w:highlight w:val="none"/>
        </w:rPr>
        <w:t xml:space="preserve">202</w:t>
      </w:r>
      <w:r>
        <w:rPr>
          <w:rFonts w:hint="eastAsia" w:cs="Times New Roman"/>
          <w:color w:val="auto"/>
          <w:highlight w:val="none"/>
          <w:lang w:val="en-US" w:eastAsia="zh-CN"/>
        </w:rPr>
        <w:t xml:space="preserve">6</w:t>
      </w:r>
      <w:r>
        <w:rPr>
          <w:rFonts w:hint="eastAsia" w:cs="Times New Roman"/>
          <w:color w:val="auto"/>
          <w:highlight w:val="none"/>
        </w:rPr>
        <w:t xml:space="preserve">年5</w:t>
      </w:r>
      <w:r>
        <w:rPr>
          <w:rFonts w:hint="eastAsia"/>
          <w:bCs/>
          <w:color w:val="auto"/>
          <w:highlight w:val="none"/>
        </w:rPr>
        <w:t xml:space="preserve">月18</w:t>
      </w:r>
      <w:r>
        <w:rPr>
          <w:rFonts w:hint="eastAsia"/>
          <w:bCs/>
          <w:color w:val="auto"/>
          <w:highlight w:val="none"/>
        </w:rPr>
        <w:t xml:space="preserve">日</w:t>
      </w:r>
      <w:r>
        <w:rPr>
          <w:rFonts w:hint="eastAsia"/>
          <w:color w:val="auto"/>
          <w:szCs w:val="21"/>
          <w:highlight w:val="none"/>
        </w:rPr>
        <w:t xml:space="preserve">09</w:t>
      </w:r>
      <w:r>
        <w:rPr>
          <w:rFonts w:hint="eastAsia"/>
          <w:color w:val="auto"/>
          <w:szCs w:val="21"/>
          <w:highlight w:val="none"/>
          <w:u w:val="none"/>
        </w:rPr>
        <w:t xml:space="preserve">:</w:t>
      </w:r>
      <w:r>
        <w:rPr>
          <w:rFonts w:hint="eastAsia"/>
          <w:color w:val="auto"/>
          <w:szCs w:val="21"/>
          <w:highlight w:val="none"/>
          <w:u w:val="none"/>
        </w:rPr>
        <w:t xml:space="preserve">30</w:t>
      </w:r>
      <w:r>
        <w:rPr>
          <w:rFonts w:hint="eastAsia" w:ascii="宋体" w:hAnsi="宋体" w:eastAsia="宋体" w:cs="宋体"/>
          <w:color w:val="auto"/>
          <w:sz w:val="24"/>
          <w:szCs w:val="24"/>
          <w:highlight w:val="none"/>
          <w:shd w:val="clear" w:color="auto" w:fill="auto"/>
        </w:rPr>
        <w:t xml:space="preserve">（北京时间）。</w:t>
      </w:r>
      <w:r/>
    </w:p>
    <w:p>
      <w:pPr>
        <w:pStyle w:val="887"/>
        <w:ind w:firstLine="480"/>
        <w:jc w:val="both"/>
        <w:spacing w:beforeAutospacing="0" w:afterAutospacing="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pStyle w:val="887"/>
        <w:ind w:firstLine="498"/>
        <w:jc w:val="both"/>
        <w:keepLines/>
        <w:keepNext/>
        <w:spacing w:before="145" w:beforeAutospacing="0" w:after="145" w:afterAutospacing="0" w:line="360" w:lineRule="auto"/>
        <w:rPr>
          <w:rFonts w:hint="eastAsia" w:ascii="宋体" w:hAnsi="宋体" w:eastAsia="宋体" w:cs="宋体"/>
          <w:b/>
          <w:color w:val="auto"/>
          <w:sz w:val="24"/>
          <w:szCs w:val="24"/>
          <w:highlight w:val="none"/>
          <w:shd w:val="clear" w:color="auto" w:fill="auto"/>
        </w:rPr>
      </w:pPr>
      <w:r/>
      <w:bookmarkStart w:id="26" w:name="_Toc35393795"/>
      <w:r/>
      <w:bookmarkStart w:id="27" w:name="_Toc35393626"/>
      <w:r/>
      <w:bookmarkStart w:id="28" w:name="_Toc38985268"/>
      <w:r>
        <w:rPr>
          <w:rFonts w:hint="eastAsia" w:ascii="宋体" w:hAnsi="宋体" w:eastAsia="宋体" w:cs="宋体"/>
          <w:b/>
          <w:color w:val="auto"/>
          <w:sz w:val="24"/>
          <w:szCs w:val="24"/>
          <w:highlight w:val="none"/>
          <w:shd w:val="clear" w:color="auto" w:fill="auto"/>
        </w:rPr>
        <w:t xml:space="preserve">五、开启</w:t>
      </w:r>
      <w:r/>
    </w:p>
    <w:p>
      <w:pPr>
        <w:pStyle w:val="887"/>
        <w:ind w:left="0" w:right="0" w:firstLine="560"/>
        <w:jc w:val="both"/>
        <w:keepLines w:val="0"/>
        <w:keepNext w:val="0"/>
        <w:spacing w:before="0" w:beforeAutospacing="0" w:after="0" w:afterAutospacing="0"/>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时间：</w:t>
      </w:r>
      <w:r>
        <w:rPr>
          <w:rFonts w:hint="eastAsia" w:cs="Times New Roman"/>
          <w:color w:val="auto"/>
          <w:highlight w:val="none"/>
        </w:rPr>
        <w:t xml:space="preserve">202</w:t>
      </w:r>
      <w:r>
        <w:rPr>
          <w:rFonts w:hint="eastAsia" w:cs="Times New Roman"/>
          <w:color w:val="auto"/>
          <w:highlight w:val="none"/>
          <w:lang w:val="en-US" w:eastAsia="zh-CN"/>
        </w:rPr>
        <w:t xml:space="preserve">6</w:t>
      </w:r>
      <w:r>
        <w:rPr>
          <w:rFonts w:hint="eastAsia" w:cs="Times New Roman"/>
          <w:color w:val="auto"/>
          <w:highlight w:val="none"/>
        </w:rPr>
        <w:t xml:space="preserve">年5</w:t>
      </w:r>
      <w:r>
        <w:rPr>
          <w:rFonts w:hint="eastAsia"/>
          <w:bCs/>
          <w:color w:val="auto"/>
          <w:highlight w:val="none"/>
        </w:rPr>
        <w:t xml:space="preserve">月18</w:t>
      </w:r>
      <w:r>
        <w:rPr>
          <w:rFonts w:hint="eastAsia"/>
          <w:bCs/>
          <w:color w:val="auto"/>
          <w:highlight w:val="none"/>
        </w:rPr>
        <w:t xml:space="preserve">日09:30</w:t>
      </w:r>
      <w:r>
        <w:rPr>
          <w:rFonts w:hint="eastAsia" w:ascii="宋体" w:hAnsi="宋体" w:eastAsia="宋体" w:cs="宋体"/>
          <w:i w:val="0"/>
          <w:iCs w:val="0"/>
          <w:caps w:val="0"/>
          <w:color w:val="auto"/>
          <w:spacing w:val="0"/>
          <w:sz w:val="24"/>
          <w:szCs w:val="24"/>
          <w:highlight w:val="none"/>
          <w:shd w:val="clear" w:color="auto" w:fill="auto"/>
        </w:rPr>
        <w:t xml:space="preserve">（北京时间）</w:t>
      </w:r>
      <w:r>
        <w:rPr>
          <w:rFonts w:hint="eastAsia" w:ascii="宋体" w:hAnsi="宋体" w:eastAsia="宋体" w:cs="宋体"/>
          <w:color w:val="auto"/>
          <w:sz w:val="24"/>
          <w:szCs w:val="24"/>
          <w:highlight w:val="none"/>
          <w:shd w:val="clear" w:color="auto" w:fill="auto"/>
        </w:rPr>
        <w:t xml:space="preserve">。</w:t>
      </w:r>
      <w:bookmarkEnd w:id="26"/>
      <w:r/>
      <w:bookmarkEnd w:id="27"/>
      <w:r/>
      <w:bookmarkEnd w:id="28"/>
      <w:r/>
      <w:r/>
    </w:p>
    <w:p>
      <w:pPr>
        <w:pStyle w:val="887"/>
        <w:ind w:firstLine="480"/>
        <w:jc w:val="both"/>
        <w:spacing w:beforeAutospacing="0" w:afterAutospacing="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地点：</w:t>
      </w:r>
      <w:r>
        <w:rPr>
          <w:rFonts w:ascii="FangSong" w:hAnsi="FangSong" w:eastAsia="FangSong" w:cs="FangSong"/>
          <w:color w:val="000000"/>
          <w:sz w:val="28"/>
        </w:rPr>
        <w:t xml:space="preserve">盐城市公共资源交易中心开标区开标四室</w:t>
      </w:r>
      <w:r>
        <w:rPr>
          <w:rFonts w:hint="eastAsia" w:ascii="宋体" w:hAnsi="宋体" w:eastAsia="宋体" w:cs="宋体"/>
          <w:i w:val="0"/>
          <w:iCs w:val="0"/>
          <w:caps w:val="0"/>
          <w:color w:val="auto"/>
          <w:spacing w:val="0"/>
          <w:sz w:val="24"/>
          <w:szCs w:val="24"/>
          <w:highlight w:val="none"/>
          <w:shd w:val="clear" w:color="auto" w:fill="auto"/>
        </w:rPr>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lang w:eastAsia="zh-CN"/>
        </w:rPr>
        <w:t xml:space="preserve">。</w:t>
      </w:r>
      <w:r/>
    </w:p>
    <w:p>
      <w:pPr>
        <w:pStyle w:val="879"/>
        <w:ind w:right="0" w:firstLine="482"/>
        <w:jc w:val="both"/>
        <w:keepLines w:val="0"/>
        <w:keepNext w:val="0"/>
        <w:spacing w:before="0" w:beforeAutospacing="0" w:after="0" w:afterAutospacing="0" w:line="23" w:lineRule="atLeas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29" w:name="_Toc28359094"/>
      <w:r>
        <w:rPr>
          <w:rFonts w:hint="eastAsia" w:ascii="宋体" w:hAnsi="宋体" w:eastAsia="宋体" w:cs="宋体"/>
          <w:b/>
          <w:bCs w:val="0"/>
          <w:color w:val="auto"/>
          <w:sz w:val="24"/>
          <w:szCs w:val="24"/>
          <w:highlight w:val="none"/>
          <w:shd w:val="clear" w:color="auto" w:fill="auto"/>
          <w:lang w:val="en-US" w:eastAsia="zh-CN" w:bidi="ar-SA"/>
        </w:rPr>
        <w:t xml:space="preserve">六、公告期限</w:t>
      </w:r>
      <w:bookmarkEnd w:id="29"/>
      <w:r/>
      <w:r/>
    </w:p>
    <w:p>
      <w:pPr>
        <w:pStyle w:val="887"/>
        <w:ind w:left="0" w:right="0" w:firstLine="560"/>
        <w:jc w:val="both"/>
        <w:keepLines w:val="0"/>
        <w:keepNext w:val="0"/>
        <w:spacing w:before="0" w:beforeAutospacing="0" w:after="0" w:afterAutospacing="0"/>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自本</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磋商邀请</w:t>
      </w:r>
      <w:r>
        <w:rPr>
          <w:rFonts w:hint="eastAsia" w:ascii="宋体" w:hAnsi="宋体" w:eastAsia="宋体" w:cs="宋体"/>
          <w:i w:val="0"/>
          <w:iCs w:val="0"/>
          <w:caps w:val="0"/>
          <w:color w:val="auto"/>
          <w:spacing w:val="0"/>
          <w:sz w:val="24"/>
          <w:szCs w:val="24"/>
          <w:highlight w:val="none"/>
          <w:shd w:val="clear" w:color="auto" w:fill="auto"/>
        </w:rPr>
        <w:t xml:space="preserve">发布之日起3个工作日。</w:t>
      </w:r>
      <w:r/>
    </w:p>
    <w:p>
      <w:pPr>
        <w:pStyle w:val="887"/>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七</w:t>
      </w:r>
      <w:r>
        <w:rPr>
          <w:rFonts w:hint="eastAsia" w:ascii="宋体" w:hAnsi="宋体" w:eastAsia="宋体" w:cs="宋体"/>
          <w:b/>
          <w:color w:val="auto"/>
          <w:sz w:val="24"/>
          <w:szCs w:val="24"/>
          <w:highlight w:val="none"/>
          <w:shd w:val="clear" w:color="auto" w:fill="auto"/>
        </w:rPr>
        <w:t xml:space="preserve">、其他补充事宜</w:t>
      </w:r>
      <w:r/>
    </w:p>
    <w:p>
      <w:pPr>
        <w:pStyle w:val="88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87"/>
        <w:ind w:left="0" w:right="0" w:firstLine="560"/>
        <w:jc w:val="both"/>
        <w:keepLines w:val="0"/>
        <w:keepNext w:val="0"/>
        <w:spacing w:before="0" w:beforeAutospacing="0" w:after="0" w:afterAutospacing="0"/>
        <w:shd w:val="clear" w:color="auto" w:fill="ffffff"/>
        <w:widowControl/>
        <w:rPr>
          <w:rFonts w:hint="eastAsia" w:ascii="宋体" w:hAnsi="宋体" w:cs="宋体"/>
          <w:i w:val="0"/>
          <w:iCs w:val="0"/>
          <w:caps w:val="0"/>
          <w:color w:val="auto"/>
          <w:spacing w:val="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r>
      <w:r>
        <w:rPr>
          <w:rFonts w:ascii="宋体" w:hAnsi="宋体" w:eastAsia="宋体" w:cs="宋体"/>
          <w:color w:val="333333"/>
          <w:sz w:val="24"/>
          <w:szCs w:val="24"/>
          <w:highlight w:val="white"/>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ascii="宋体" w:hAnsi="宋体" w:cs="宋体"/>
          <w:sz w:val="24"/>
          <w:szCs w:val="24"/>
        </w:rPr>
      </w:r>
      <w:r/>
    </w:p>
    <w:p>
      <w:pPr>
        <w:pStyle w:val="88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2.潜在供应商访问电子招标响应交易平台的网络地址和方法： </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2.1“苏采云”系统用户注册--获取“CA 数字证书”--CA 绑定与登录--参与投标--下载磋商邀请文件（后缀名为“.kedt”）--将后缀名为“.kedt”的磋商邀请文件导入政府采购客户端工具--制作响应文件--导出加密的响应文件（后缀名为 zip）--通过“苏采云”系统上传响应文件。具体见《“苏采云”系统供应商操作手册》(手册下载地址:苏采云系统-右侧消息通知栏)。</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2.2 潜在投标人访问“苏采云”系统方法：江苏省政府采购网首页-“苏采云”链接。 </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2.3 磋商邀请文件（后缀名为“.kedt”）、供应商操作手册及政府采购客户端 工具可通过“苏采云”系统相应链接进行下载。 </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2.4 采购代理机构将数据电文形式的磋商邀请文件加载至“苏采云”系统，供潜在供应商下载或者查阅。 </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如潜在投标人未按上述要求操作，将自行承担所产生的风险。</w:t>
      </w:r>
      <w:r/>
    </w:p>
    <w:p>
      <w:pPr>
        <w:pStyle w:val="887"/>
        <w:ind w:right="0" w:firstLine="48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 有关本次磋商邀请的事项若存在变动或修改，盐城市政府采购中心</w:t>
      </w:r>
      <w:r>
        <w:rPr>
          <w:rFonts w:hint="eastAsia" w:ascii="宋体" w:hAnsi="宋体" w:eastAsia="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书面更正形式通知所有获取</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的供应商</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w:t>
      </w:r>
      <w:r/>
    </w:p>
    <w:p>
      <w:pPr>
        <w:pStyle w:val="88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 本次磋商邀请不收取磋商保证金，不收取质量保证金。</w:t>
      </w:r>
      <w:r/>
    </w:p>
    <w:p>
      <w:pPr>
        <w:pStyle w:val="879"/>
        <w:ind w:left="0" w:right="0" w:firstLine="482"/>
        <w:jc w:val="both"/>
        <w:keepLines w:val="0"/>
        <w:keepNext w:val="0"/>
        <w:spacing w:before="0" w:beforeAutospacing="0" w:after="0" w:afterAutospacing="0" w:line="23" w:lineRule="atLeas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4"/>
          <w:szCs w:val="24"/>
          <w:highlight w:val="none"/>
          <w:shd w:val="clear" w:color="auto" w:fill="auto"/>
          <w:lang w:val="en-US" w:eastAsia="zh-CN" w:bidi="ar-SA"/>
        </w:rPr>
        <w:t xml:space="preserve">八、凡对本次采购提出询问，请按以下方式联系。</w:t>
      </w:r>
      <w:bookmarkEnd w:id="30"/>
      <w:r/>
      <w:r/>
    </w:p>
    <w:p>
      <w:pPr>
        <w:pStyle w:val="88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1.采购人信息</w:t>
      </w:r>
      <w:r/>
    </w:p>
    <w:p>
      <w:pPr>
        <w:pStyle w:val="887"/>
        <w:ind w:left="0" w:right="0" w:firstLine="560"/>
        <w:jc w:val="both"/>
        <w:keepLines w:val="0"/>
        <w:keepNext w:val="0"/>
        <w:spacing w:before="0" w:beforeAutospacing="0" w:after="0" w:afterAutospacing="0"/>
        <w:shd w:val="clear" w:color="auto" w:fill="ffffff"/>
        <w:widowControl/>
        <w:rPr>
          <w:rFonts w:hint="default"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称：盐城市财政局</w:t>
      </w:r>
      <w:r/>
    </w:p>
    <w:p>
      <w:pPr>
        <w:pStyle w:val="88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地址：盐城市盐都区世纪大道东路21号盐城城投商务楼  </w:t>
      </w:r>
      <w:r/>
    </w:p>
    <w:p>
      <w:pPr>
        <w:pStyle w:val="88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联系人：缪先生              </w:t>
      </w:r>
      <w:r/>
    </w:p>
    <w:p>
      <w:pPr>
        <w:pStyle w:val="88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联系方式：15950208337     </w:t>
      </w:r>
      <w:bookmarkStart w:id="31" w:name="_Toc28359009"/>
      <w:r/>
      <w:bookmarkEnd w:id="31"/>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88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2.采购代理机构信息</w:t>
      </w:r>
      <w:r/>
    </w:p>
    <w:p>
      <w:pPr>
        <w:pStyle w:val="88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称：盐城市政府采购中心</w:t>
      </w:r>
      <w:r/>
    </w:p>
    <w:p>
      <w:pPr>
        <w:pStyle w:val="88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址：盐城市府西路1号市公共资源交易中心5楼</w:t>
      </w:r>
      <w:r/>
    </w:p>
    <w:p>
      <w:pPr>
        <w:pStyle w:val="88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联系人：倪女士                     </w:t>
      </w:r>
      <w:r/>
    </w:p>
    <w:p>
      <w:pPr>
        <w:pStyle w:val="88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w:t>
      </w:r>
      <w:bookmarkStart w:id="32" w:name="_Toc28359087"/>
      <w:r/>
      <w:bookmarkStart w:id="33" w:name="_Toc2835901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0515-69083502       </w:t>
      </w:r>
      <w:bookmarkEnd w:id="32"/>
      <w:r/>
      <w:bookmarkEnd w:id="33"/>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88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项目联系方式</w:t>
      </w:r>
      <w:r/>
    </w:p>
    <w:p>
      <w:pPr>
        <w:pStyle w:val="88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项目联系人：倪女士</w:t>
      </w:r>
      <w:r/>
    </w:p>
    <w:p>
      <w:pPr>
        <w:pStyle w:val="88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电　　 话：0515-69083502　　　　　　　　　　　　</w:t>
      </w:r>
      <w:r/>
    </w:p>
    <w:p>
      <w:pPr>
        <w:rPr>
          <w:rFonts w:hint="eastAsia" w:ascii="仿宋" w:hAnsi="仿宋" w:eastAsia="仿宋" w:cs="仿宋"/>
          <w:b/>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rPr>
        <w:br w:type="page" w:clear="all"/>
      </w:r>
      <w:r/>
    </w:p>
    <w:p>
      <w:pPr>
        <w:pStyle w:val="887"/>
        <w:ind w:right="840"/>
        <w:jc w:val="both"/>
        <w:spacing w:beforeAutospacing="0" w:afterAutospacing="0"/>
        <w:rPr>
          <w:color w:val="auto"/>
          <w:highlight w:val="none"/>
        </w:rPr>
      </w:pPr>
      <w:r>
        <w:rPr>
          <w:color w:val="auto"/>
          <w:highlight w:val="none"/>
        </w:rPr>
        <w:t xml:space="preserve"> </w:t>
      </w:r>
      <w:r/>
    </w:p>
    <w:p>
      <w:pPr>
        <w:pStyle w:val="887"/>
        <w:jc w:val="center"/>
        <w:keepLines/>
        <w:keepNext/>
        <w:spacing w:before="260" w:beforeAutospacing="0" w:after="260" w:afterAutospacing="0" w:line="415" w:lineRule="auto"/>
        <w:rPr>
          <w:color w:val="auto"/>
          <w:highlight w:val="none"/>
        </w:rPr>
      </w:pPr>
      <w:r/>
      <w:bookmarkStart w:id="35" w:name="_Toc120614211"/>
      <w:r>
        <w:rPr>
          <w:rFonts w:hint="eastAsia" w:ascii="黑体" w:hAnsi="宋体" w:eastAsia="黑体" w:cs="黑体"/>
          <w:b/>
          <w:color w:val="auto"/>
          <w:sz w:val="44"/>
          <w:szCs w:val="44"/>
          <w:highlight w:val="none"/>
        </w:rPr>
        <w:t xml:space="preserve">第二章  </w:t>
      </w:r>
      <w:bookmarkEnd w:id="35"/>
      <w:r>
        <w:rPr>
          <w:rFonts w:hint="eastAsia" w:ascii="黑体" w:hAnsi="宋体" w:eastAsia="黑体" w:cs="黑体"/>
          <w:b/>
          <w:color w:val="auto"/>
          <w:sz w:val="44"/>
          <w:szCs w:val="44"/>
          <w:highlight w:val="none"/>
        </w:rPr>
        <w:t xml:space="preserve">供应商须知</w:t>
      </w:r>
      <w:r/>
    </w:p>
    <w:p>
      <w:pPr>
        <w:pStyle w:val="887"/>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36" w:name="_Toc120614214"/>
      <w:r/>
      <w:bookmarkStart w:id="37" w:name="_Toc16938519"/>
      <w:r/>
      <w:bookmarkStart w:id="38" w:name="_Toc20823275"/>
      <w:r/>
      <w:bookmarkStart w:id="39" w:name="_Toc513029203"/>
      <w:r>
        <w:rPr>
          <w:rFonts w:hint="eastAsia" w:ascii="宋体" w:hAnsi="宋体" w:eastAsia="宋体" w:cs="宋体"/>
          <w:b/>
          <w:color w:val="auto"/>
          <w:sz w:val="24"/>
          <w:szCs w:val="24"/>
          <w:highlight w:val="none"/>
        </w:rPr>
        <w:t xml:space="preserve">一、总则</w:t>
      </w:r>
      <w:bookmarkEnd w:id="36"/>
      <w:r/>
      <w:bookmarkEnd w:id="37"/>
      <w:r/>
      <w:bookmarkEnd w:id="38"/>
      <w:r/>
      <w:bookmarkEnd w:id="39"/>
      <w:r/>
      <w:r/>
    </w:p>
    <w:p>
      <w:pPr>
        <w:pStyle w:val="887"/>
        <w:ind w:firstLine="420"/>
        <w:jc w:val="both"/>
        <w:keepLines/>
        <w:keepNext/>
        <w:spacing w:beforeAutospacing="0" w:afterAutospacing="0"/>
        <w:rPr>
          <w:rFonts w:hint="eastAsia" w:ascii="宋体" w:hAnsi="宋体" w:eastAsia="宋体" w:cs="宋体"/>
          <w:color w:val="auto"/>
          <w:sz w:val="24"/>
          <w:szCs w:val="24"/>
          <w:highlight w:val="none"/>
        </w:rPr>
      </w:pPr>
      <w:r/>
      <w:bookmarkStart w:id="40" w:name="_Toc20823276"/>
      <w:r/>
      <w:bookmarkStart w:id="41" w:name="_Toc458694821"/>
      <w:r/>
      <w:bookmarkStart w:id="42" w:name="_Toc16938520"/>
      <w:r/>
      <w:bookmarkStart w:id="43" w:name="_Toc513029204"/>
      <w:r/>
      <w:bookmarkStart w:id="44" w:name="_Hlt16619475"/>
      <w:r>
        <w:rPr>
          <w:rFonts w:hint="eastAsia" w:ascii="宋体" w:hAnsi="宋体" w:eastAsia="宋体" w:cs="宋体"/>
          <w:color w:val="auto"/>
          <w:sz w:val="24"/>
          <w:szCs w:val="24"/>
          <w:highlight w:val="none"/>
        </w:rPr>
        <w:t xml:space="preserve">1</w:t>
      </w:r>
      <w:bookmarkEnd w:id="40"/>
      <w:r>
        <w:rPr>
          <w:rFonts w:hint="eastAsia" w:ascii="宋体" w:hAnsi="宋体" w:eastAsia="宋体" w:cs="宋体"/>
          <w:color w:val="auto"/>
          <w:sz w:val="24"/>
          <w:szCs w:val="24"/>
          <w:highlight w:val="none"/>
        </w:rPr>
        <w:t xml:space="preserve">、采购方式</w:t>
      </w:r>
      <w:bookmarkEnd w:id="41"/>
      <w:r/>
      <w:bookmarkEnd w:id="42"/>
      <w:r/>
      <w:bookmarkEnd w:id="43"/>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仅适用于磋商</w:t>
      </w:r>
      <w:r>
        <w:rPr>
          <w:rFonts w:hint="eastAsia" w:ascii="宋体" w:hAnsi="宋体" w:eastAsia="宋体" w:cs="宋体"/>
          <w:color w:val="auto"/>
          <w:sz w:val="24"/>
          <w:szCs w:val="24"/>
          <w:highlight w:val="none"/>
          <w:lang w:val="en-US" w:eastAsia="zh-CN"/>
        </w:rPr>
        <w:t xml:space="preserve">邀请</w:t>
      </w:r>
      <w:r>
        <w:rPr>
          <w:rFonts w:hint="eastAsia" w:ascii="宋体" w:hAnsi="宋体" w:eastAsia="宋体" w:cs="宋体"/>
          <w:color w:val="auto"/>
          <w:sz w:val="24"/>
          <w:szCs w:val="24"/>
          <w:highlight w:val="none"/>
        </w:rPr>
        <w:t xml:space="preserve">中所述项目。</w:t>
      </w:r>
      <w:r/>
    </w:p>
    <w:p>
      <w:pPr>
        <w:pStyle w:val="887"/>
        <w:ind w:firstLine="420"/>
        <w:jc w:val="both"/>
        <w:keepLines/>
        <w:keepNext/>
        <w:spacing w:beforeAutospacing="0" w:afterAutospacing="0"/>
        <w:rPr>
          <w:rFonts w:hint="eastAsia" w:ascii="宋体" w:hAnsi="宋体" w:eastAsia="宋体" w:cs="宋体"/>
          <w:color w:val="auto"/>
          <w:sz w:val="24"/>
          <w:szCs w:val="24"/>
          <w:highlight w:val="none"/>
        </w:rPr>
      </w:pPr>
      <w:r/>
      <w:bookmarkStart w:id="45" w:name="_Toc20823277"/>
      <w:r/>
      <w:bookmarkStart w:id="46" w:name="_Toc16938521"/>
      <w:r/>
      <w:bookmarkStart w:id="47" w:name="_Toc513029205"/>
      <w:r>
        <w:rPr>
          <w:rFonts w:hint="eastAsia" w:ascii="宋体" w:hAnsi="宋体" w:eastAsia="宋体" w:cs="宋体"/>
          <w:color w:val="auto"/>
          <w:sz w:val="24"/>
          <w:szCs w:val="24"/>
          <w:highlight w:val="none"/>
        </w:rPr>
        <w:t xml:space="preserve">2、合格的</w:t>
      </w:r>
      <w:bookmarkEnd w:id="45"/>
      <w:r/>
      <w:bookmarkEnd w:id="46"/>
      <w:r/>
      <w:bookmarkEnd w:id="47"/>
      <w:r>
        <w:rPr>
          <w:rFonts w:hint="eastAsia" w:ascii="宋体" w:hAnsi="宋体" w:eastAsia="宋体" w:cs="宋体"/>
          <w:color w:val="auto"/>
          <w:sz w:val="24"/>
          <w:szCs w:val="24"/>
          <w:highlight w:val="none"/>
        </w:rPr>
        <w:t xml:space="preserve">供应商</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w:t>
      </w:r>
      <w:r>
        <w:rPr>
          <w:rFonts w:hint="eastAsia" w:ascii="宋体" w:hAnsi="宋体" w:eastAsia="宋体" w:cs="宋体"/>
          <w:color w:val="auto"/>
          <w:sz w:val="24"/>
          <w:szCs w:val="24"/>
          <w:highlight w:val="none"/>
          <w:lang w:val="en-US" w:eastAsia="zh-CN"/>
        </w:rPr>
        <w:t xml:space="preserve">邀请</w:t>
      </w:r>
      <w:r>
        <w:rPr>
          <w:rFonts w:hint="eastAsia" w:ascii="宋体" w:hAnsi="宋体" w:eastAsia="宋体" w:cs="宋体"/>
          <w:color w:val="auto"/>
          <w:sz w:val="24"/>
          <w:szCs w:val="24"/>
          <w:highlight w:val="none"/>
        </w:rPr>
        <w:t xml:space="preserve">中供应商资格要求的规定。</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实质性要求和条件的规定。</w:t>
      </w:r>
      <w:r/>
    </w:p>
    <w:p>
      <w:pPr>
        <w:ind w:firstLine="420"/>
        <w:spacing w:line="400" w:lineRule="exact"/>
        <w:rPr>
          <w:rFonts w:hint="eastAsia" w:ascii="宋体" w:hAnsi="宋体" w:eastAsia="宋体" w:cs="宋体"/>
          <w:color w:val="auto"/>
          <w:sz w:val="24"/>
          <w:szCs w:val="24"/>
          <w:highlight w:val="none"/>
          <w:lang w:val="en-US" w:eastAsia="zh-CN" w:bidi="ar-SA"/>
        </w:rPr>
      </w:pPr>
      <w:r/>
      <w:bookmarkStart w:id="48" w:name="_Toc513029206"/>
      <w:r/>
      <w:bookmarkStart w:id="49" w:name="_Toc16938522"/>
      <w:r/>
      <w:bookmarkStart w:id="50" w:name="_Toc20823278"/>
      <w:r/>
      <w:bookmarkStart w:id="51" w:name="_Toc513029207"/>
      <w:r/>
      <w:bookmarkStart w:id="52" w:name="_Toc16938523"/>
      <w:r/>
      <w:bookmarkStart w:id="53" w:name="_Toc462564067"/>
      <w:r/>
      <w:bookmarkStart w:id="54" w:name="_Toc20823279"/>
      <w:r>
        <w:rPr>
          <w:rFonts w:hint="eastAsia" w:ascii="宋体" w:hAnsi="宋体" w:eastAsia="宋体" w:cs="宋体"/>
          <w:color w:val="auto"/>
          <w:sz w:val="24"/>
          <w:szCs w:val="24"/>
          <w:highlight w:val="none"/>
          <w:lang w:val="en-US" w:eastAsia="zh-CN" w:bidi="ar-SA"/>
        </w:rPr>
        <w:t xml:space="preserve">3、适用法律</w:t>
      </w:r>
      <w:bookmarkEnd w:id="48"/>
      <w:r/>
      <w:bookmarkEnd w:id="49"/>
      <w:r/>
      <w:bookmarkEnd w:id="50"/>
      <w:r>
        <w:rPr>
          <w:rFonts w:hint="eastAsia" w:ascii="宋体" w:hAnsi="宋体" w:eastAsia="宋体" w:cs="宋体"/>
          <w:color w:val="auto"/>
          <w:sz w:val="24"/>
          <w:szCs w:val="24"/>
          <w:highlight w:val="none"/>
          <w:lang w:val="en-US" w:eastAsia="zh-CN" w:bidi="ar-SA"/>
        </w:rPr>
        <w:t xml:space="preserve">和标准</w:t>
      </w:r>
      <w:r/>
    </w:p>
    <w:p>
      <w:pPr>
        <w:pStyle w:val="887"/>
        <w:ind w:firstLine="420"/>
        <w:jc w:val="both"/>
        <w:spacing w:beforeAutospacing="0" w:afterAutospacing="0"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 本次招标及由此产生的合同受中华人民共和国有关的法律法规制约和保护。</w:t>
      </w:r>
      <w:r/>
    </w:p>
    <w:p>
      <w:pPr>
        <w:ind w:firstLine="42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 在本项目政府采购活动过程中，如果所执行的标准有更新的，按照最新标准执行。</w:t>
      </w:r>
      <w:r/>
    </w:p>
    <w:p>
      <w:pPr>
        <w:pStyle w:val="887"/>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4、磋商费用</w:t>
      </w:r>
      <w:bookmarkEnd w:id="51"/>
      <w:r/>
      <w:bookmarkEnd w:id="52"/>
      <w:r/>
      <w:bookmarkEnd w:id="53"/>
      <w:r/>
      <w:bookmarkEnd w:id="54"/>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4.1供应商应自行承担所有与参加本次磋商有关的费用，无论磋商过程中的做法和结果如何，盐城市政府采购中心（以下简称采购中心）在任何情况下均无义务和责任承担这些费用。</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4.2本次磋商采购中心和采购人不收取标书工本费与成交服务费。</w:t>
      </w:r>
      <w:r/>
    </w:p>
    <w:p>
      <w:pPr>
        <w:pStyle w:val="887"/>
        <w:ind w:firstLine="301"/>
        <w:jc w:val="both"/>
        <w:keepLines/>
        <w:keepNext/>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的约束力</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的规定和约束。</w:t>
      </w:r>
      <w:r/>
    </w:p>
    <w:p>
      <w:pPr>
        <w:pStyle w:val="887"/>
        <w:ind w:firstLine="321"/>
        <w:jc w:val="both"/>
        <w:keepLines/>
        <w:keepNext/>
        <w:spacing w:before="145" w:beforeAutospacing="0" w:after="145" w:afterAutospacing="0" w:line="360" w:lineRule="auto"/>
        <w:rPr>
          <w:rFonts w:hint="eastAsia" w:ascii="宋体" w:hAnsi="宋体" w:eastAsia="宋体" w:cs="宋体"/>
          <w:color w:val="auto"/>
          <w:sz w:val="24"/>
          <w:szCs w:val="24"/>
          <w:highlight w:val="none"/>
          <w:lang w:eastAsia="zh-CN"/>
        </w:rPr>
      </w:pPr>
      <w:r/>
      <w:bookmarkStart w:id="55" w:name="_Toc513029209"/>
      <w:r/>
      <w:bookmarkStart w:id="56" w:name="_Toc120614215"/>
      <w:r/>
      <w:bookmarkStart w:id="57" w:name="_Toc20823281"/>
      <w:r/>
      <w:bookmarkStart w:id="58" w:name="_Toc16938525"/>
      <w:r>
        <w:rPr>
          <w:rFonts w:hint="eastAsia" w:ascii="宋体" w:hAnsi="宋体" w:eastAsia="宋体" w:cs="宋体"/>
          <w:b/>
          <w:color w:val="auto"/>
          <w:sz w:val="24"/>
          <w:szCs w:val="24"/>
          <w:highlight w:val="none"/>
        </w:rPr>
        <w:t xml:space="preserve">二、</w:t>
      </w:r>
      <w:bookmarkEnd w:id="55"/>
      <w:r/>
      <w:bookmarkEnd w:id="56"/>
      <w:r/>
      <w:bookmarkEnd w:id="57"/>
      <w:r/>
      <w:bookmarkEnd w:id="58"/>
      <w:r>
        <w:rPr>
          <w:rFonts w:hint="eastAsia" w:ascii="宋体" w:hAnsi="宋体" w:eastAsia="宋体" w:cs="宋体"/>
          <w:b/>
          <w:color w:val="auto"/>
          <w:sz w:val="24"/>
          <w:szCs w:val="24"/>
          <w:highlight w:val="none"/>
          <w:lang w:eastAsia="zh-CN"/>
        </w:rPr>
        <w:t xml:space="preserve">磋商邀请文件</w:t>
      </w:r>
      <w:r/>
    </w:p>
    <w:p>
      <w:pPr>
        <w:pStyle w:val="887"/>
        <w:ind w:firstLine="420"/>
        <w:jc w:val="both"/>
        <w:keepLines/>
        <w:keepNext/>
        <w:spacing w:beforeAutospacing="0" w:afterAutospacing="0"/>
        <w:rPr>
          <w:rFonts w:hint="eastAsia" w:ascii="宋体" w:hAnsi="宋体" w:eastAsia="宋体" w:cs="宋体"/>
          <w:color w:val="auto"/>
          <w:sz w:val="24"/>
          <w:szCs w:val="24"/>
          <w:highlight w:val="none"/>
        </w:rPr>
      </w:pPr>
      <w:r/>
      <w:bookmarkStart w:id="59" w:name="_Toc20823282"/>
      <w:r/>
      <w:bookmarkStart w:id="60" w:name="_Toc16938526"/>
      <w:r/>
      <w:bookmarkStart w:id="61" w:name="_Toc513029210"/>
      <w:r>
        <w:rPr>
          <w:rFonts w:hint="eastAsia" w:ascii="宋体" w:hAnsi="宋体" w:eastAsia="宋体" w:cs="宋体"/>
          <w:color w:val="auto"/>
          <w:sz w:val="24"/>
          <w:szCs w:val="24"/>
          <w:highlight w:val="none"/>
        </w:rPr>
        <w:t xml:space="preserve">6、磋商</w:t>
      </w:r>
      <w:r>
        <w:rPr>
          <w:rFonts w:hint="eastAsia" w:ascii="宋体" w:hAnsi="宋体" w:eastAsia="宋体" w:cs="宋体"/>
          <w:color w:val="auto"/>
          <w:sz w:val="24"/>
          <w:szCs w:val="24"/>
          <w:highlight w:val="none"/>
          <w:lang w:val="en-US" w:eastAsia="zh-CN"/>
        </w:rPr>
        <w:t xml:space="preserve">邀请</w:t>
      </w:r>
      <w:r>
        <w:rPr>
          <w:rFonts w:hint="eastAsia" w:ascii="宋体" w:hAnsi="宋体" w:eastAsia="宋体" w:cs="宋体"/>
          <w:color w:val="auto"/>
          <w:sz w:val="24"/>
          <w:szCs w:val="24"/>
          <w:highlight w:val="none"/>
        </w:rPr>
        <w:t xml:space="preserve">文件构成</w:t>
      </w:r>
      <w:bookmarkEnd w:id="59"/>
      <w:r/>
      <w:bookmarkEnd w:id="60"/>
      <w:r/>
      <w:bookmarkEnd w:id="61"/>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w:t>
      </w:r>
      <w:r>
        <w:rPr>
          <w:rFonts w:hint="eastAsia" w:ascii="宋体" w:hAnsi="宋体" w:eastAsia="宋体" w:cs="宋体"/>
          <w:color w:val="auto"/>
          <w:sz w:val="24"/>
          <w:szCs w:val="24"/>
          <w:highlight w:val="none"/>
          <w:lang w:val="en-US" w:eastAsia="zh-CN"/>
        </w:rPr>
        <w:t xml:space="preserve">邀请</w:t>
      </w:r>
      <w:r>
        <w:rPr>
          <w:rFonts w:hint="eastAsia" w:ascii="宋体" w:hAnsi="宋体" w:eastAsia="宋体" w:cs="宋体"/>
          <w:color w:val="auto"/>
          <w:sz w:val="24"/>
          <w:szCs w:val="24"/>
          <w:highlight w:val="none"/>
        </w:rPr>
        <w:t xml:space="preserve">文件由以下部分组成：</w:t>
      </w:r>
      <w:r/>
    </w:p>
    <w:p>
      <w:pPr>
        <w:pStyle w:val="887"/>
        <w:numPr>
          <w:ilvl w:val="0"/>
          <w:numId w:val="1"/>
        </w:numPr>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val="en-US" w:eastAsia="zh-CN"/>
        </w:rPr>
        <w:t xml:space="preserve">邀请</w:t>
      </w:r>
      <w:r/>
    </w:p>
    <w:p>
      <w:pPr>
        <w:pStyle w:val="887"/>
        <w:numPr>
          <w:ilvl w:val="0"/>
          <w:numId w:val="1"/>
        </w:numPr>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供应商须知</w:t>
      </w:r>
      <w:r/>
    </w:p>
    <w:p>
      <w:pPr>
        <w:pStyle w:val="887"/>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887"/>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887"/>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pStyle w:val="887"/>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是否齐全，如有缺漏请立即与采购中心联系解决。</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中所有的事项、格式、条款和规范等要求。按</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要求和规定编制响应文件，并保证所提供的全部资料的真实性，以使其响应文件对</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作出实质性响应，否则其风险由供应商自行承担。</w:t>
      </w:r>
      <w:r/>
    </w:p>
    <w:p>
      <w:pPr>
        <w:pStyle w:val="887"/>
        <w:ind w:firstLine="560"/>
        <w:jc w:val="both"/>
        <w:keepLines/>
        <w:keepNext/>
        <w:spacing w:beforeAutospacing="0" w:afterAutospacing="0"/>
        <w:rPr>
          <w:rFonts w:hint="eastAsia" w:ascii="宋体" w:hAnsi="宋体" w:eastAsia="宋体" w:cs="宋体"/>
          <w:color w:val="auto"/>
          <w:sz w:val="24"/>
          <w:szCs w:val="24"/>
          <w:highlight w:val="none"/>
        </w:rPr>
      </w:pPr>
      <w:r/>
      <w:bookmarkStart w:id="62" w:name="_Toc513029211"/>
      <w:r/>
      <w:bookmarkStart w:id="63" w:name="_Toc16938527"/>
      <w:r/>
      <w:bookmarkStart w:id="64" w:name="_Toc20823283"/>
      <w:r/>
      <w:bookmarkStart w:id="65" w:name="_Toc462564070"/>
      <w:r>
        <w:rPr>
          <w:rFonts w:hint="eastAsia" w:ascii="宋体" w:hAnsi="宋体" w:eastAsia="宋体" w:cs="宋体"/>
          <w:color w:val="auto"/>
          <w:sz w:val="24"/>
          <w:szCs w:val="24"/>
          <w:highlight w:val="none"/>
        </w:rPr>
        <w:t xml:space="preserve">7、磋商</w:t>
      </w:r>
      <w:r>
        <w:rPr>
          <w:rFonts w:hint="eastAsia" w:ascii="宋体" w:hAnsi="宋体" w:eastAsia="宋体" w:cs="宋体"/>
          <w:color w:val="auto"/>
          <w:sz w:val="24"/>
          <w:szCs w:val="24"/>
          <w:highlight w:val="none"/>
          <w:lang w:val="en-US" w:eastAsia="zh-CN"/>
        </w:rPr>
        <w:t xml:space="preserve">邀请</w:t>
      </w:r>
      <w:r>
        <w:rPr>
          <w:rFonts w:hint="eastAsia" w:ascii="宋体" w:hAnsi="宋体" w:eastAsia="宋体" w:cs="宋体"/>
          <w:color w:val="auto"/>
          <w:sz w:val="24"/>
          <w:szCs w:val="24"/>
          <w:highlight w:val="none"/>
        </w:rPr>
        <w:t xml:space="preserve">文件的澄清</w:t>
      </w:r>
      <w:bookmarkEnd w:id="62"/>
      <w:r/>
      <w:bookmarkEnd w:id="63"/>
      <w:r/>
      <w:bookmarkEnd w:id="64"/>
      <w:r/>
      <w:bookmarkEnd w:id="65"/>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进行澄清的供应商，应在磋商截止期5日前按磋商</w:t>
      </w:r>
      <w:r>
        <w:rPr>
          <w:rFonts w:hint="eastAsia" w:ascii="宋体" w:hAnsi="宋体" w:eastAsia="宋体" w:cs="宋体"/>
          <w:color w:val="auto"/>
          <w:sz w:val="24"/>
          <w:szCs w:val="24"/>
          <w:highlight w:val="none"/>
          <w:lang w:val="en-US" w:eastAsia="zh-CN"/>
        </w:rPr>
        <w:t xml:space="preserve">邀请</w:t>
      </w:r>
      <w:r>
        <w:rPr>
          <w:rFonts w:hint="eastAsia" w:ascii="宋体" w:hAnsi="宋体" w:eastAsia="宋体" w:cs="宋体"/>
          <w:color w:val="auto"/>
          <w:sz w:val="24"/>
          <w:szCs w:val="24"/>
          <w:highlight w:val="none"/>
        </w:rPr>
        <w:t xml:space="preserve">中的通讯地址，以书面形式通知采购中心。</w:t>
      </w:r>
      <w:r/>
    </w:p>
    <w:p>
      <w:pPr>
        <w:pStyle w:val="887"/>
        <w:ind w:firstLine="560"/>
        <w:jc w:val="both"/>
        <w:keepLines/>
        <w:keepNext/>
        <w:spacing w:beforeAutospacing="0" w:afterAutospacing="0"/>
        <w:rPr>
          <w:rFonts w:hint="eastAsia" w:ascii="宋体" w:hAnsi="宋体" w:eastAsia="宋体" w:cs="宋体"/>
          <w:color w:val="auto"/>
          <w:sz w:val="24"/>
          <w:szCs w:val="24"/>
          <w:highlight w:val="none"/>
        </w:rPr>
      </w:pPr>
      <w:r/>
      <w:bookmarkStart w:id="66" w:name="_Toc16938528"/>
      <w:r/>
      <w:bookmarkStart w:id="67" w:name="_Toc513029212"/>
      <w:r/>
      <w:bookmarkStart w:id="68" w:name="_Toc462564071"/>
      <w:r/>
      <w:bookmarkStart w:id="69" w:name="_Toc20823284"/>
      <w:r>
        <w:rPr>
          <w:rFonts w:hint="eastAsia" w:ascii="宋体" w:hAnsi="宋体" w:eastAsia="宋体" w:cs="宋体"/>
          <w:color w:val="auto"/>
          <w:sz w:val="24"/>
          <w:szCs w:val="24"/>
          <w:highlight w:val="none"/>
        </w:rPr>
        <w:t xml:space="preserve">8、磋商</w:t>
      </w:r>
      <w:r>
        <w:rPr>
          <w:rFonts w:hint="eastAsia" w:ascii="宋体" w:hAnsi="宋体" w:eastAsia="宋体" w:cs="宋体"/>
          <w:color w:val="auto"/>
          <w:sz w:val="24"/>
          <w:szCs w:val="24"/>
          <w:highlight w:val="none"/>
          <w:lang w:val="en-US" w:eastAsia="zh-CN"/>
        </w:rPr>
        <w:t xml:space="preserve">邀请</w:t>
      </w:r>
      <w:r>
        <w:rPr>
          <w:rFonts w:hint="eastAsia" w:ascii="宋体" w:hAnsi="宋体" w:eastAsia="宋体" w:cs="宋体"/>
          <w:color w:val="auto"/>
          <w:sz w:val="24"/>
          <w:szCs w:val="24"/>
          <w:highlight w:val="none"/>
        </w:rPr>
        <w:t xml:space="preserve">文件的澄清和修改</w:t>
      </w:r>
      <w:bookmarkEnd w:id="66"/>
      <w:r/>
      <w:bookmarkEnd w:id="67"/>
      <w:r/>
      <w:bookmarkEnd w:id="68"/>
      <w:r/>
      <w:bookmarkEnd w:id="69"/>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在响应文件提交截止时间前，采购中心可以对磋商</w:t>
      </w:r>
      <w:r>
        <w:rPr>
          <w:rFonts w:hint="eastAsia" w:ascii="宋体" w:hAnsi="宋体" w:eastAsia="宋体" w:cs="宋体"/>
          <w:color w:val="auto"/>
          <w:sz w:val="24"/>
          <w:szCs w:val="24"/>
          <w:highlight w:val="none"/>
          <w:lang w:val="en-US" w:eastAsia="zh-CN"/>
        </w:rPr>
        <w:t xml:space="preserve">邀请</w:t>
      </w:r>
      <w:r>
        <w:rPr>
          <w:rFonts w:hint="eastAsia" w:ascii="宋体" w:hAnsi="宋体" w:eastAsia="宋体" w:cs="宋体"/>
          <w:color w:val="auto"/>
          <w:sz w:val="24"/>
          <w:szCs w:val="24"/>
          <w:highlight w:val="none"/>
        </w:rPr>
        <w:t xml:space="preserve">文件进行澄清和修改, 澄清或者修改的内容作为</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的组成部分。澄清或者修改的内容可能影响响应文件编制的，采购中心将在提交首次响应文件截止时间至少5日前，</w:t>
      </w:r>
      <w:r>
        <w:rPr>
          <w:rFonts w:hint="eastAsia" w:ascii="宋体" w:hAnsi="宋体" w:eastAsia="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书面更正形式通知所有获取</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的供应商, 更正内容将作为</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的组成部分，并对供应商具有约束力。不足5日的，采购中心将顺延提交首次响应文件截止时间。</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8.2采购中心可以视采购项目的具体情况，组织供应商进行现场考察或召开磋商前答疑会，但不单独或分别组织只有一个供应商参加的现场考察和答疑会。</w:t>
      </w:r>
      <w:r/>
    </w:p>
    <w:p>
      <w:pPr>
        <w:pStyle w:val="887"/>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70" w:name="_Toc20823285"/>
      <w:r/>
      <w:bookmarkStart w:id="71" w:name="_Toc120614216"/>
      <w:r/>
      <w:bookmarkStart w:id="72" w:name="_Toc513029213"/>
      <w:r/>
      <w:bookmarkStart w:id="73" w:name="_Toc462564072"/>
      <w:r/>
      <w:bookmarkStart w:id="74" w:name="_Toc16938529"/>
      <w:r>
        <w:rPr>
          <w:rFonts w:hint="eastAsia" w:ascii="宋体" w:hAnsi="宋体" w:eastAsia="宋体" w:cs="宋体"/>
          <w:b/>
          <w:color w:val="auto"/>
          <w:sz w:val="24"/>
          <w:szCs w:val="24"/>
          <w:highlight w:val="none"/>
        </w:rPr>
        <w:t xml:space="preserve">三、响应文件的编制</w:t>
      </w:r>
      <w:bookmarkEnd w:id="70"/>
      <w:r/>
      <w:bookmarkEnd w:id="71"/>
      <w:r/>
      <w:bookmarkEnd w:id="72"/>
      <w:r/>
      <w:bookmarkEnd w:id="73"/>
      <w:r/>
      <w:bookmarkEnd w:id="74"/>
      <w:r/>
      <w:r/>
    </w:p>
    <w:p>
      <w:pPr>
        <w:pStyle w:val="887"/>
        <w:ind w:firstLine="560"/>
        <w:jc w:val="both"/>
        <w:keepLines/>
        <w:keepNext/>
        <w:spacing w:beforeAutospacing="0" w:afterAutospacing="0"/>
        <w:rPr>
          <w:rFonts w:hint="eastAsia" w:ascii="宋体" w:hAnsi="宋体" w:eastAsia="宋体" w:cs="宋体"/>
          <w:color w:val="auto"/>
          <w:sz w:val="24"/>
          <w:szCs w:val="24"/>
          <w:highlight w:val="none"/>
        </w:rPr>
      </w:pPr>
      <w:r/>
      <w:bookmarkStart w:id="75" w:name="_Toc16938530"/>
      <w:r/>
      <w:bookmarkStart w:id="76" w:name="_Toc513029214"/>
      <w:r/>
      <w:bookmarkStart w:id="77" w:name="_Toc20823286"/>
      <w:r/>
      <w:bookmarkStart w:id="78" w:name="_Toc462564073"/>
      <w:r>
        <w:rPr>
          <w:rFonts w:hint="eastAsia" w:ascii="宋体" w:hAnsi="宋体" w:eastAsia="宋体" w:cs="宋体"/>
          <w:color w:val="auto"/>
          <w:sz w:val="24"/>
          <w:szCs w:val="24"/>
          <w:highlight w:val="none"/>
        </w:rPr>
        <w:t xml:space="preserve">9、响应文件的语言及度量衡单位</w:t>
      </w:r>
      <w:bookmarkEnd w:id="75"/>
      <w:r/>
      <w:bookmarkEnd w:id="76"/>
      <w:r/>
      <w:bookmarkEnd w:id="77"/>
      <w:r/>
      <w:bookmarkEnd w:id="78"/>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9.1供应商提交的响应文件以及供应商与采购中心就有关磋商的所有来往通知、函件和文件均应使用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pStyle w:val="887"/>
        <w:ind w:firstLine="420"/>
        <w:jc w:val="both"/>
        <w:keepLines/>
        <w:keepNext/>
        <w:spacing w:beforeAutospacing="0" w:afterAutospacing="0"/>
        <w:rPr>
          <w:rFonts w:hint="eastAsia" w:ascii="宋体" w:hAnsi="宋体" w:eastAsia="宋体" w:cs="宋体"/>
          <w:color w:val="auto"/>
          <w:sz w:val="24"/>
          <w:szCs w:val="24"/>
          <w:highlight w:val="none"/>
        </w:rPr>
      </w:pPr>
      <w:r/>
      <w:bookmarkStart w:id="79" w:name="_Toc513029215"/>
      <w:r/>
      <w:bookmarkStart w:id="80" w:name="_Toc462564074"/>
      <w:r/>
      <w:bookmarkStart w:id="81" w:name="_Toc20823287"/>
      <w:r/>
      <w:bookmarkStart w:id="82" w:name="_Toc16938531"/>
      <w:r>
        <w:rPr>
          <w:rFonts w:hint="eastAsia" w:ascii="宋体" w:hAnsi="宋体" w:eastAsia="宋体" w:cs="宋体"/>
          <w:color w:val="auto"/>
          <w:sz w:val="24"/>
          <w:szCs w:val="24"/>
          <w:highlight w:val="none"/>
        </w:rPr>
        <w:t xml:space="preserve">10、响应文件构成</w:t>
      </w:r>
      <w:bookmarkEnd w:id="79"/>
      <w:r/>
      <w:bookmarkEnd w:id="80"/>
      <w:r/>
      <w:bookmarkEnd w:id="81"/>
      <w:r/>
      <w:bookmarkEnd w:id="82"/>
      <w:r/>
      <w:r/>
    </w:p>
    <w:p>
      <w:pPr>
        <w:pStyle w:val="887"/>
        <w:ind w:firstLine="480"/>
        <w:jc w:val="both"/>
        <w:spacing w:beforeAutospacing="0" w:afterAutospacing="0" w:line="0" w:lineRule="atLeas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10.1供应商编写的响应文件应包括资格证明文件、符合性证明文件、分项报价表、技术要求响应及偏离表、商务要求响应及偏离表、其他证明文件、磋商响应函等部分。</w:t>
      </w:r>
      <w:r/>
    </w:p>
    <w:p>
      <w:pPr>
        <w:pStyle w:val="887"/>
        <w:ind w:firstLine="420"/>
        <w:jc w:val="both"/>
        <w:keepLines/>
        <w:keepNext/>
        <w:spacing w:beforeAutospacing="0" w:afterAutospacing="0"/>
        <w:rPr>
          <w:rFonts w:hint="eastAsia" w:ascii="宋体" w:hAnsi="宋体" w:eastAsia="宋体" w:cs="宋体"/>
          <w:color w:val="auto"/>
          <w:sz w:val="24"/>
          <w:szCs w:val="24"/>
          <w:highlight w:val="none"/>
        </w:rPr>
      </w:pPr>
      <w:r/>
      <w:bookmarkStart w:id="83" w:name="_Toc49090509"/>
      <w:r/>
      <w:bookmarkStart w:id="84" w:name="_Toc513029219"/>
      <w:r/>
      <w:bookmarkStart w:id="85" w:name="_Toc14577355"/>
      <w:r/>
      <w:bookmarkStart w:id="86" w:name="_Toc14577354"/>
      <w:r/>
      <w:bookmarkStart w:id="87" w:name="_Toc49090507"/>
      <w:r/>
      <w:bookmarkStart w:id="88" w:name="_Toc14577357"/>
      <w:r/>
      <w:bookmarkStart w:id="89" w:name="_Toc49090508"/>
      <w:r/>
      <w:bookmarkStart w:id="90" w:name="_Toc513029216"/>
      <w:r/>
      <w:bookmarkStart w:id="91" w:name="_Hlt26668975"/>
      <w:r/>
      <w:bookmarkStart w:id="92" w:name="_Hlt26954838"/>
      <w:r/>
      <w:bookmarkStart w:id="93" w:name="_Hlt26670360"/>
      <w:r>
        <w:rPr>
          <w:rFonts w:hint="eastAsia" w:ascii="宋体" w:hAnsi="宋体" w:eastAsia="宋体" w:cs="宋体"/>
          <w:color w:val="auto"/>
          <w:sz w:val="24"/>
          <w:szCs w:val="24"/>
          <w:highlight w:val="none"/>
        </w:rPr>
        <w:t xml:space="preserve">11、证明磋商响应标的符合</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规定的文件</w:t>
      </w:r>
      <w:bookmarkEnd w:id="83"/>
      <w:r/>
      <w:bookmarkEnd w:id="84"/>
      <w:r/>
      <w:bookmarkEnd w:id="85"/>
      <w:r/>
      <w:bookmarkEnd w:id="86"/>
      <w:r/>
      <w:bookmarkEnd w:id="87"/>
      <w:r/>
      <w:bookmarkEnd w:id="88"/>
      <w:r/>
      <w:bookmarkEnd w:id="89"/>
      <w:r/>
      <w:bookmarkEnd w:id="90"/>
      <w:r/>
      <w:r/>
    </w:p>
    <w:p>
      <w:pPr>
        <w:pStyle w:val="887"/>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11.1供应商应按照</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要求提交证明文件，证明其及磋商响应标的符合</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规定。</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对证明文件无明确形式要求的，证明文件可以以文字资料、图纸和数据等形式提交。</w:t>
      </w:r>
      <w:r/>
    </w:p>
    <w:p>
      <w:pPr>
        <w:pStyle w:val="887"/>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12、分项报价表</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规定格式填报分项报价表。</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中另有规定的按规定执行。</w:t>
      </w:r>
      <w:r/>
    </w:p>
    <w:p>
      <w:pPr>
        <w:pStyle w:val="887"/>
        <w:ind w:firstLine="420"/>
        <w:jc w:val="both"/>
        <w:keepLines/>
        <w:keepNext/>
        <w:spacing w:beforeAutospacing="0" w:afterAutospacing="0"/>
        <w:rPr>
          <w:rFonts w:hint="eastAsia" w:ascii="宋体" w:hAnsi="宋体" w:eastAsia="宋体" w:cs="宋体"/>
          <w:color w:val="auto"/>
          <w:sz w:val="24"/>
          <w:szCs w:val="24"/>
          <w:highlight w:val="none"/>
        </w:rPr>
      </w:pPr>
      <w:r/>
      <w:bookmarkStart w:id="94" w:name="_Hlt26954731"/>
      <w:r/>
      <w:bookmarkStart w:id="95" w:name="_Hlt26670486"/>
      <w:r/>
      <w:bookmarkStart w:id="96" w:name="_Hlt26670482"/>
      <w:r/>
      <w:bookmarkStart w:id="97" w:name="_Hlt26954846"/>
      <w:r/>
      <w:bookmarkStart w:id="98" w:name="_Hlt26954848"/>
      <w:r>
        <w:rPr>
          <w:rFonts w:hint="eastAsia" w:ascii="宋体" w:hAnsi="宋体" w:eastAsia="宋体" w:cs="宋体"/>
          <w:color w:val="auto"/>
          <w:sz w:val="24"/>
          <w:szCs w:val="24"/>
          <w:highlight w:val="none"/>
        </w:rPr>
        <w:t xml:space="preserve">13、技术要求响应及偏离表、商务要求响应及偏离表</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中的技术要求与商务要求逐项作出响应或偏离，并说明原因。</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pStyle w:val="887"/>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要求提供有关售后服务的管理制度，售后服务机构的分布情况，售后服务人员的数量、素质、技术水平及售后服务的反应能力等。</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14.2供应商需根据</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要求提供培训计划。</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要求提供磋商响应标的的主要组成部分、功能设计、实现思路及关键技术等。</w:t>
      </w:r>
      <w:r/>
    </w:p>
    <w:p>
      <w:pPr>
        <w:pStyle w:val="887"/>
        <w:ind w:firstLine="420"/>
        <w:jc w:val="both"/>
        <w:keepLines/>
        <w:keepNext/>
        <w:spacing w:beforeAutospacing="0" w:afterAutospacing="0"/>
        <w:rPr>
          <w:rFonts w:hint="eastAsia" w:ascii="宋体" w:hAnsi="宋体" w:eastAsia="宋体" w:cs="宋体"/>
          <w:color w:val="auto"/>
          <w:sz w:val="24"/>
          <w:szCs w:val="24"/>
          <w:highlight w:val="none"/>
        </w:rPr>
      </w:pPr>
      <w:r/>
      <w:bookmarkStart w:id="99" w:name="_Toc14577359"/>
      <w:r/>
      <w:bookmarkStart w:id="100" w:name="_Toc49090510"/>
      <w:r>
        <w:rPr>
          <w:rFonts w:hint="eastAsia" w:ascii="宋体" w:hAnsi="宋体" w:eastAsia="宋体" w:cs="宋体"/>
          <w:color w:val="auto"/>
          <w:sz w:val="24"/>
          <w:szCs w:val="24"/>
          <w:highlight w:val="none"/>
        </w:rPr>
        <w:t xml:space="preserve">15、磋商响应函</w:t>
      </w:r>
      <w:bookmarkEnd w:id="99"/>
      <w:r/>
      <w:bookmarkEnd w:id="100"/>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中提供的格式完整、正确填写磋商响应函。</w:t>
      </w:r>
      <w:r/>
    </w:p>
    <w:p>
      <w:pPr>
        <w:pStyle w:val="887"/>
        <w:ind w:firstLine="420"/>
        <w:jc w:val="both"/>
        <w:keepLines/>
        <w:keepNext/>
        <w:spacing w:beforeAutospacing="0" w:afterAutospacing="0"/>
        <w:rPr>
          <w:rFonts w:hint="eastAsia" w:ascii="宋体" w:hAnsi="宋体" w:eastAsia="宋体" w:cs="宋体"/>
          <w:color w:val="auto"/>
          <w:sz w:val="24"/>
          <w:szCs w:val="24"/>
          <w:highlight w:val="none"/>
        </w:rPr>
      </w:pPr>
      <w:r/>
      <w:bookmarkStart w:id="101" w:name="_Toc14577360"/>
      <w:r/>
      <w:bookmarkStart w:id="102" w:name="_Toc49090511"/>
      <w:r>
        <w:rPr>
          <w:rFonts w:hint="eastAsia" w:ascii="宋体" w:hAnsi="宋体" w:eastAsia="宋体" w:cs="宋体"/>
          <w:color w:val="auto"/>
          <w:sz w:val="24"/>
          <w:szCs w:val="24"/>
          <w:highlight w:val="none"/>
        </w:rPr>
        <w:t xml:space="preserve">16、磋商有效期</w:t>
      </w:r>
      <w:bookmarkEnd w:id="101"/>
      <w:r/>
      <w:bookmarkEnd w:id="102"/>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16.1磋商有效期为采购中心规定的提交响应文件截止之日后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。磋商有效期比规定短的将被视为非实质性响应</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而予以拒绝。</w:t>
      </w:r>
      <w:r/>
    </w:p>
    <w:p>
      <w:pPr>
        <w:pStyle w:val="887"/>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pStyle w:val="887"/>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03" w:name="_Toc513029224"/>
      <w:r/>
      <w:bookmarkStart w:id="104" w:name="_Toc120614217"/>
      <w:r/>
      <w:bookmarkStart w:id="105" w:name="_Toc20823296"/>
      <w:r/>
      <w:bookmarkStart w:id="106" w:name="_Toc16938540"/>
      <w:r/>
      <w:bookmarkStart w:id="107" w:name="_Hlt26954739"/>
      <w:r/>
      <w:bookmarkStart w:id="108" w:name="_Hlt26954852"/>
      <w:r>
        <w:rPr>
          <w:rFonts w:hint="eastAsia" w:ascii="宋体" w:hAnsi="宋体" w:eastAsia="宋体" w:cs="宋体"/>
          <w:b/>
          <w:color w:val="auto"/>
          <w:sz w:val="24"/>
          <w:szCs w:val="24"/>
          <w:highlight w:val="none"/>
        </w:rPr>
        <w:t xml:space="preserve">四、响应文件的递交</w:t>
      </w:r>
      <w:bookmarkEnd w:id="103"/>
      <w:r/>
      <w:bookmarkEnd w:id="104"/>
      <w:r/>
      <w:bookmarkEnd w:id="105"/>
      <w:r/>
      <w:bookmarkEnd w:id="106"/>
      <w:r/>
      <w:r/>
    </w:p>
    <w:p>
      <w:pPr>
        <w:pStyle w:val="887"/>
        <w:ind w:firstLine="560"/>
        <w:jc w:val="both"/>
        <w:keepLines/>
        <w:keepNext/>
        <w:spacing w:beforeAutospacing="0" w:afterAutospacing="0"/>
        <w:rPr>
          <w:rFonts w:hint="eastAsia" w:ascii="宋体" w:hAnsi="宋体" w:eastAsia="宋体" w:cs="宋体"/>
          <w:color w:val="auto"/>
          <w:sz w:val="24"/>
          <w:szCs w:val="24"/>
          <w:highlight w:val="none"/>
        </w:rPr>
      </w:pPr>
      <w:r/>
      <w:bookmarkStart w:id="109" w:name="_Toc20823297"/>
      <w:r/>
      <w:bookmarkStart w:id="110" w:name="_Toc16938541"/>
      <w:r/>
      <w:bookmarkStart w:id="111" w:name="_Toc513029225"/>
      <w:r/>
      <w:bookmarkStart w:id="112" w:name="_Toc462564084"/>
      <w:r>
        <w:rPr>
          <w:rFonts w:hint="eastAsia" w:ascii="宋体" w:hAnsi="宋体" w:eastAsia="宋体" w:cs="宋体"/>
          <w:color w:val="auto"/>
          <w:sz w:val="24"/>
          <w:szCs w:val="24"/>
          <w:highlight w:val="none"/>
        </w:rPr>
        <w:t xml:space="preserve">18、电子磋商</w:t>
      </w:r>
      <w:bookmarkEnd w:id="109"/>
      <w:r/>
      <w:bookmarkEnd w:id="110"/>
      <w:r/>
      <w:bookmarkEnd w:id="111"/>
      <w:r/>
      <w:bookmarkEnd w:id="112"/>
      <w:r>
        <w:rPr>
          <w:rFonts w:hint="eastAsia" w:ascii="宋体" w:hAnsi="宋体" w:eastAsia="宋体" w:cs="宋体"/>
          <w:color w:val="auto"/>
          <w:sz w:val="24"/>
          <w:szCs w:val="24"/>
          <w:highlight w:val="none"/>
        </w:rPr>
        <w:t xml:space="preserve">响应文件的递交</w:t>
      </w:r>
      <w:r/>
    </w:p>
    <w:p>
      <w:pPr>
        <w:pStyle w:val="887"/>
        <w:ind w:firstLine="60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13" w:name="_Toc20823298"/>
      <w:r/>
      <w:bookmarkEnd w:id="113"/>
      <w:r/>
      <w:bookmarkStart w:id="114" w:name="_Toc16938542"/>
      <w:r/>
      <w:bookmarkEnd w:id="114"/>
      <w:r/>
      <w:bookmarkStart w:id="115" w:name="_Toc513029226"/>
      <w:r/>
      <w:r/>
    </w:p>
    <w:p>
      <w:pPr>
        <w:pStyle w:val="887"/>
        <w:ind w:firstLine="560"/>
        <w:jc w:val="both"/>
        <w:keepLines/>
        <w:keepNext/>
        <w:spacing w:before="280" w:beforeAutospacing="0" w:after="290" w:afterAutospacing="0" w:line="37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19、提交响应文件截止时间</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19.1供应商上传电子响应文件的时间不得迟于磋商</w:t>
      </w:r>
      <w:r>
        <w:rPr>
          <w:rFonts w:hint="eastAsia" w:ascii="宋体" w:hAnsi="宋体" w:eastAsia="宋体" w:cs="宋体"/>
          <w:i/>
          <w:color w:val="auto"/>
          <w:sz w:val="24"/>
          <w:szCs w:val="24"/>
          <w:highlight w:val="none"/>
          <w:u w:val="single"/>
          <w:lang w:val="en-US" w:eastAsia="zh-CN"/>
        </w:rPr>
        <w:t xml:space="preserve">邀请</w:t>
      </w:r>
      <w:r>
        <w:rPr>
          <w:rFonts w:hint="eastAsia" w:ascii="宋体" w:hAnsi="宋体" w:eastAsia="宋体" w:cs="宋体"/>
          <w:i/>
          <w:color w:val="auto"/>
          <w:sz w:val="24"/>
          <w:szCs w:val="24"/>
          <w:highlight w:val="none"/>
          <w:u w:val="single"/>
        </w:rPr>
        <w:t xml:space="preserve">中规定的提交响应文件截止时间。</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第二章第26.3.2条规定做无效响应处理。</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采购中心可以按照规定，通过修改</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酌情延长提交响应文件截止日期，在此情况下，供应商的所有权利和义务以及供应商受制的截止日期均应以延长后新的截止日期为准。</w:t>
      </w:r>
      <w:r/>
    </w:p>
    <w:p>
      <w:pPr>
        <w:pStyle w:val="887"/>
        <w:ind w:firstLine="420"/>
        <w:jc w:val="both"/>
        <w:keepLines/>
        <w:keepNext/>
        <w:spacing w:beforeAutospacing="0" w:afterAutospacing="0"/>
        <w:rPr>
          <w:rFonts w:hint="eastAsia" w:ascii="宋体" w:hAnsi="宋体" w:eastAsia="宋体" w:cs="宋体"/>
          <w:color w:val="auto"/>
          <w:sz w:val="24"/>
          <w:szCs w:val="24"/>
          <w:highlight w:val="none"/>
        </w:rPr>
      </w:pPr>
      <w:r/>
      <w:bookmarkStart w:id="116" w:name="_Toc16938543"/>
      <w:r/>
      <w:bookmarkStart w:id="117" w:name="_Toc20823299"/>
      <w:r/>
      <w:bookmarkStart w:id="118" w:name="_Toc513029227"/>
      <w:r>
        <w:rPr>
          <w:rFonts w:hint="eastAsia" w:ascii="宋体" w:hAnsi="宋体" w:eastAsia="宋体" w:cs="宋体"/>
          <w:color w:val="auto"/>
          <w:sz w:val="24"/>
          <w:szCs w:val="24"/>
          <w:highlight w:val="none"/>
        </w:rPr>
        <w:t xml:space="preserve">20、响应文件</w:t>
      </w:r>
      <w:bookmarkEnd w:id="116"/>
      <w:r/>
      <w:bookmarkEnd w:id="117"/>
      <w:r/>
      <w:bookmarkEnd w:id="118"/>
      <w:r>
        <w:rPr>
          <w:rFonts w:hint="eastAsia" w:ascii="宋体" w:hAnsi="宋体" w:eastAsia="宋体" w:cs="宋体"/>
          <w:color w:val="auto"/>
          <w:sz w:val="24"/>
          <w:szCs w:val="24"/>
          <w:highlight w:val="none"/>
        </w:rPr>
        <w:t xml:space="preserve">的拒收</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采购中心拒绝接收在其规定的提交响应文件截止时间后上传的任何电子响应文件。</w:t>
      </w:r>
      <w:r/>
    </w:p>
    <w:p>
      <w:pPr>
        <w:pStyle w:val="887"/>
        <w:ind w:firstLine="420"/>
        <w:jc w:val="both"/>
        <w:keepLines/>
        <w:keepNext/>
        <w:spacing w:beforeAutospacing="0" w:afterAutospacing="0"/>
        <w:rPr>
          <w:rFonts w:hint="eastAsia" w:ascii="宋体" w:hAnsi="宋体" w:eastAsia="宋体" w:cs="宋体"/>
          <w:color w:val="auto"/>
          <w:sz w:val="24"/>
          <w:szCs w:val="24"/>
          <w:highlight w:val="none"/>
        </w:rPr>
      </w:pPr>
      <w:r/>
      <w:bookmarkStart w:id="119" w:name="_Toc20823300"/>
      <w:r/>
      <w:bookmarkStart w:id="120" w:name="_Toc16938544"/>
      <w:r/>
      <w:bookmarkStart w:id="121" w:name="_Toc513029228"/>
      <w:r>
        <w:rPr>
          <w:rFonts w:hint="eastAsia" w:ascii="宋体" w:hAnsi="宋体" w:eastAsia="宋体" w:cs="宋体"/>
          <w:color w:val="auto"/>
          <w:sz w:val="24"/>
          <w:szCs w:val="24"/>
          <w:highlight w:val="none"/>
        </w:rPr>
        <w:t xml:space="preserve">21、响应文件的撤回和修改</w:t>
      </w:r>
      <w:bookmarkEnd w:id="119"/>
      <w:r/>
      <w:bookmarkEnd w:id="120"/>
      <w:r/>
      <w:bookmarkEnd w:id="121"/>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在提交响应文件截止时间之后，供应商不得对其电子响应文件作任何修改。</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在提交响应文件截止时间至</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中规定的磋商有效期满之间的这段时间内，供应商不得撤回其响应文件。</w:t>
      </w:r>
      <w:r/>
    </w:p>
    <w:p>
      <w:pPr>
        <w:pStyle w:val="887"/>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22" w:name="_Toc16938545"/>
      <w:r/>
      <w:bookmarkStart w:id="123" w:name="_Toc20823301"/>
      <w:r/>
      <w:bookmarkStart w:id="124" w:name="_Toc513029229"/>
      <w:r/>
      <w:bookmarkStart w:id="125" w:name="_Toc120614218"/>
      <w:r>
        <w:rPr>
          <w:rFonts w:hint="eastAsia" w:ascii="宋体" w:hAnsi="宋体" w:eastAsia="宋体" w:cs="宋体"/>
          <w:b/>
          <w:color w:val="auto"/>
          <w:sz w:val="24"/>
          <w:szCs w:val="24"/>
          <w:highlight w:val="none"/>
        </w:rPr>
        <w:t xml:space="preserve">五、响应文件的解密与评审</w:t>
      </w:r>
      <w:bookmarkEnd w:id="122"/>
      <w:r/>
      <w:bookmarkEnd w:id="123"/>
      <w:r/>
      <w:bookmarkEnd w:id="124"/>
      <w:r/>
      <w:bookmarkEnd w:id="125"/>
      <w:r/>
      <w:r/>
    </w:p>
    <w:p>
      <w:pPr>
        <w:pStyle w:val="887"/>
        <w:ind w:firstLine="420"/>
        <w:jc w:val="both"/>
        <w:keepLines/>
        <w:keepNext/>
        <w:spacing w:beforeAutospacing="0" w:afterAutospacing="0"/>
        <w:rPr>
          <w:rFonts w:hint="eastAsia" w:ascii="宋体" w:hAnsi="宋体" w:eastAsia="宋体" w:cs="宋体"/>
          <w:color w:val="auto"/>
          <w:sz w:val="24"/>
          <w:szCs w:val="24"/>
          <w:highlight w:val="none"/>
        </w:rPr>
      </w:pPr>
      <w:r/>
      <w:bookmarkStart w:id="126" w:name="_Toc20823302"/>
      <w:r/>
      <w:bookmarkStart w:id="127" w:name="_Toc513029230"/>
      <w:r/>
      <w:bookmarkStart w:id="128" w:name="_Toc16938546"/>
      <w:r>
        <w:rPr>
          <w:rFonts w:hint="eastAsia" w:ascii="宋体" w:hAnsi="宋体" w:eastAsia="宋体" w:cs="宋体"/>
          <w:color w:val="auto"/>
          <w:sz w:val="24"/>
          <w:szCs w:val="24"/>
          <w:highlight w:val="none"/>
        </w:rPr>
        <w:t xml:space="preserve">22、</w:t>
      </w:r>
      <w:bookmarkEnd w:id="126"/>
      <w:r/>
      <w:bookmarkEnd w:id="127"/>
      <w:r/>
      <w:bookmarkEnd w:id="128"/>
      <w:r>
        <w:rPr>
          <w:rFonts w:hint="eastAsia" w:ascii="宋体" w:hAnsi="宋体" w:eastAsia="宋体" w:cs="宋体"/>
          <w:color w:val="auto"/>
          <w:sz w:val="24"/>
          <w:szCs w:val="24"/>
          <w:highlight w:val="none"/>
        </w:rPr>
        <w:t xml:space="preserve">响应文件解密</w:t>
      </w:r>
      <w:r/>
    </w:p>
    <w:p>
      <w:pPr>
        <w:pStyle w:val="887"/>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pStyle w:val="887"/>
        <w:ind w:firstLine="420"/>
        <w:jc w:val="both"/>
        <w:keepLines/>
        <w:keepNext/>
        <w:spacing w:beforeAutospacing="0" w:afterAutospacing="0"/>
        <w:rPr>
          <w:rFonts w:hint="eastAsia" w:ascii="宋体" w:hAnsi="宋体" w:eastAsia="宋体" w:cs="宋体"/>
          <w:color w:val="auto"/>
          <w:sz w:val="24"/>
          <w:szCs w:val="24"/>
          <w:highlight w:val="none"/>
        </w:rPr>
      </w:pPr>
      <w:r/>
      <w:bookmarkStart w:id="129" w:name="_Toc16938547"/>
      <w:r/>
      <w:bookmarkStart w:id="130" w:name="_Toc20823303"/>
      <w:r/>
      <w:bookmarkStart w:id="131" w:name="_Toc513029231"/>
      <w:r>
        <w:rPr>
          <w:rFonts w:hint="eastAsia" w:ascii="宋体" w:hAnsi="宋体" w:eastAsia="宋体" w:cs="宋体"/>
          <w:color w:val="auto"/>
          <w:sz w:val="24"/>
          <w:szCs w:val="24"/>
          <w:highlight w:val="none"/>
        </w:rPr>
        <w:t xml:space="preserve">23、磋商小组</w:t>
      </w:r>
      <w:bookmarkEnd w:id="129"/>
      <w:r/>
      <w:bookmarkEnd w:id="130"/>
      <w:r/>
      <w:bookmarkEnd w:id="131"/>
      <w:r/>
      <w:r/>
    </w:p>
    <w:p>
      <w:pPr>
        <w:pStyle w:val="887"/>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23.1采购中心将组织磋商小组对响应文件进行评审。磋商小组由采购人代表和有关技术、经济等方面的专家组成，且人员构成符合政府采购有关规定。</w:t>
      </w:r>
      <w:r/>
    </w:p>
    <w:p>
      <w:pPr>
        <w:pStyle w:val="887"/>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23.2磋商小组独立工作，负责评审所有响应文件并确定成交</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887"/>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24.1磋商小组、采购人和采购中心工作人员、相关监督人员等与评审工作有关的人员，对评审情况以及在评审过程中获悉的国家秘密、商业秘密负有保密责任。</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w:t>
      </w:r>
      <w:r>
        <w:rPr>
          <w:rFonts w:hint="eastAsia" w:ascii="宋体" w:hAnsi="宋体" w:eastAsia="宋体" w:cs="宋体"/>
          <w:color w:val="auto"/>
          <w:sz w:val="24"/>
          <w:szCs w:val="24"/>
          <w:highlight w:val="none"/>
          <w:lang w:eastAsia="zh-CN"/>
        </w:rPr>
        <w:t xml:space="preserve">视为</w:t>
      </w:r>
      <w:r>
        <w:rPr>
          <w:rFonts w:hint="eastAsia" w:ascii="宋体" w:hAnsi="宋体" w:eastAsia="宋体" w:cs="宋体"/>
          <w:color w:val="auto"/>
          <w:sz w:val="24"/>
          <w:szCs w:val="24"/>
          <w:highlight w:val="none"/>
        </w:rPr>
        <w:t xml:space="preserve">无效响应文件。</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24.3在项目评审期间，采购中心将设专门人员与供应商联系。</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采购中心和磋商小组不向未成交的供应商解释未成交原因，也不公布评审过程中的相关细节。</w:t>
      </w:r>
      <w:r/>
    </w:p>
    <w:p>
      <w:pPr>
        <w:pStyle w:val="887"/>
        <w:ind w:firstLine="420"/>
        <w:jc w:val="both"/>
        <w:keepLines/>
        <w:keepNext/>
        <w:spacing w:beforeAutospacing="0" w:afterAutospacing="0"/>
        <w:rPr>
          <w:rFonts w:hint="eastAsia" w:ascii="宋体" w:hAnsi="宋体" w:eastAsia="宋体" w:cs="宋体"/>
          <w:color w:val="auto"/>
          <w:sz w:val="24"/>
          <w:szCs w:val="24"/>
          <w:highlight w:val="none"/>
        </w:rPr>
      </w:pPr>
      <w:r/>
      <w:bookmarkStart w:id="132" w:name="_Toc513029232"/>
      <w:r/>
      <w:bookmarkStart w:id="133" w:name="_Toc20823304"/>
      <w:r/>
      <w:bookmarkStart w:id="134" w:name="_Toc16938548"/>
      <w:r>
        <w:rPr>
          <w:rFonts w:hint="eastAsia" w:ascii="宋体" w:hAnsi="宋体" w:eastAsia="宋体" w:cs="宋体"/>
          <w:color w:val="auto"/>
          <w:sz w:val="24"/>
          <w:szCs w:val="24"/>
          <w:highlight w:val="none"/>
        </w:rPr>
        <w:t xml:space="preserve">25、评审过程中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澄清</w:t>
      </w:r>
      <w:bookmarkEnd w:id="132"/>
      <w:r/>
      <w:bookmarkEnd w:id="133"/>
      <w:r/>
      <w:bookmarkEnd w:id="134"/>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pStyle w:val="887"/>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87"/>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 接到磋商小组澄清、说明和更正要求的供应商如未按规定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 更正，其风险由供应商自行承担。</w:t>
      </w:r>
      <w:r/>
    </w:p>
    <w:p>
      <w:pPr>
        <w:pStyle w:val="887"/>
        <w:ind w:firstLine="420"/>
        <w:jc w:val="both"/>
        <w:keepLines/>
        <w:keepNext/>
        <w:spacing w:beforeAutospacing="0" w:afterAutospacing="0"/>
        <w:rPr>
          <w:rFonts w:hint="eastAsia" w:ascii="宋体" w:hAnsi="宋体" w:eastAsia="宋体" w:cs="宋体"/>
          <w:color w:val="auto"/>
          <w:sz w:val="24"/>
          <w:szCs w:val="24"/>
          <w:highlight w:val="none"/>
        </w:rPr>
      </w:pPr>
      <w:r/>
      <w:bookmarkStart w:id="135" w:name="_Toc20823305"/>
      <w:r/>
      <w:bookmarkStart w:id="136" w:name="_Toc16938549"/>
      <w:r/>
      <w:bookmarkStart w:id="137" w:name="_Toc513029233"/>
      <w:r>
        <w:rPr>
          <w:rFonts w:hint="eastAsia" w:ascii="宋体" w:hAnsi="宋体" w:eastAsia="宋体" w:cs="宋体"/>
          <w:color w:val="auto"/>
          <w:sz w:val="24"/>
          <w:szCs w:val="24"/>
          <w:highlight w:val="none"/>
        </w:rPr>
        <w:t xml:space="preserve">26、对响应文件的审</w:t>
      </w:r>
      <w:bookmarkEnd w:id="135"/>
      <w:r/>
      <w:bookmarkEnd w:id="136"/>
      <w:r/>
      <w:bookmarkEnd w:id="137"/>
      <w:r>
        <w:rPr>
          <w:rFonts w:hint="eastAsia" w:ascii="宋体" w:hAnsi="宋体" w:eastAsia="宋体" w:cs="宋体"/>
          <w:color w:val="auto"/>
          <w:sz w:val="24"/>
          <w:szCs w:val="24"/>
          <w:highlight w:val="none"/>
        </w:rPr>
        <w:t xml:space="preserve">查</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的规定，对响应文件中的资格证明文件进行审查，以确定供应商是否具备参加磋商的资格。</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的规定，由磋商小组从响应文件的有效性、完整性和对</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的响应程度进行审查，以确定是否对</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的实质性要求作出响应。</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的要求。实质性响应的响应文件应该是与</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要求的条款、条件和规格相符，没有重大偏离或保留。</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规定的实质性要求存在负偏离，或者在实质上与</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的情形</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要求上传电子响应文件的。</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中规定资格要求的。</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26.3.6不符合</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中规定的实质性要求和条件的</w:t>
      </w:r>
      <w:r>
        <w:rPr>
          <w:rFonts w:hint="eastAsia" w:ascii="宋体" w:hAnsi="宋体" w:eastAsia="宋体" w:cs="宋体"/>
          <w:i/>
          <w:color w:val="auto"/>
          <w:sz w:val="24"/>
          <w:szCs w:val="24"/>
          <w:highlight w:val="none"/>
          <w:u w:val="single"/>
        </w:rPr>
        <w:t xml:space="preserve">（本</w:t>
      </w:r>
      <w:r>
        <w:rPr>
          <w:rFonts w:hint="eastAsia" w:ascii="宋体" w:hAnsi="宋体" w:eastAsia="宋体" w:cs="宋体"/>
          <w:i/>
          <w:color w:val="auto"/>
          <w:sz w:val="24"/>
          <w:szCs w:val="24"/>
          <w:highlight w:val="none"/>
          <w:u w:val="single"/>
          <w:lang w:eastAsia="zh-CN"/>
        </w:rPr>
        <w:t xml:space="preserve">磋商邀请文件</w:t>
      </w:r>
      <w:r>
        <w:rPr>
          <w:rFonts w:hint="eastAsia" w:ascii="宋体" w:hAnsi="宋体" w:eastAsia="宋体" w:cs="宋体"/>
          <w:i/>
          <w:color w:val="auto"/>
          <w:sz w:val="24"/>
          <w:szCs w:val="24"/>
          <w:highlight w:val="none"/>
          <w:u w:val="single"/>
        </w:rPr>
        <w:t xml:space="preserve">中斜体且有下划线部分为实质性要求和条件）。</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26.3.9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26.3.10</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不能证明其报价合理性的，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应当将其作为无效</w:t>
      </w:r>
      <w:r>
        <w:rPr>
          <w:rFonts w:hint="eastAsia" w:ascii="宋体" w:hAnsi="宋体" w:eastAsia="宋体" w:cs="宋体"/>
          <w:color w:val="auto"/>
          <w:sz w:val="24"/>
          <w:szCs w:val="24"/>
          <w:highlight w:val="none"/>
          <w:lang w:val="en-US" w:eastAsia="zh-CN" w:bidi="ar-SA"/>
        </w:rPr>
        <w:t xml:space="preserve">响应</w:t>
      </w:r>
      <w:r>
        <w:rPr>
          <w:rFonts w:hint="eastAsia" w:ascii="宋体" w:hAnsi="宋体" w:eastAsia="宋体" w:cs="宋体"/>
          <w:color w:val="auto"/>
          <w:sz w:val="24"/>
          <w:szCs w:val="24"/>
          <w:highlight w:val="none"/>
        </w:rPr>
        <w:t xml:space="preserve">处理。</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bidi="ar-SA"/>
        </w:rPr>
        <w:t xml:space="preserve">应当启动异常低价响应审查程序：</w:t>
      </w:r>
      <w:r/>
    </w:p>
    <w:p>
      <w:pPr>
        <w:pStyle w:val="887"/>
        <w:ind w:left="0" w:right="0" w:firstLine="480"/>
        <w:jc w:val="both"/>
        <w:spacing w:before="0" w:beforeAutospacing="0" w:after="0" w:afterAutospacing="0"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87"/>
        <w:ind w:left="0" w:right="0" w:firstLine="480"/>
        <w:jc w:val="both"/>
        <w:spacing w:before="0" w:beforeAutospacing="0" w:after="0" w:afterAutospacing="0"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87"/>
        <w:ind w:left="0" w:right="0" w:firstLine="480"/>
        <w:jc w:val="both"/>
        <w:spacing w:before="0" w:beforeAutospacing="0" w:after="0" w:afterAutospacing="0"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3.投标（响应）报价低于采购项目最高限价45%的，即投标（响应）报价&lt;采购项目最高限价×45%；</w:t>
      </w:r>
      <w:r/>
    </w:p>
    <w:p>
      <w:pPr>
        <w:pStyle w:val="887"/>
        <w:ind w:left="0" w:right="0" w:firstLine="480"/>
        <w:jc w:val="both"/>
        <w:spacing w:before="0" w:beforeAutospacing="0" w:after="0" w:afterAutospacing="0"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887"/>
        <w:ind w:left="0" w:right="0" w:firstLine="480"/>
        <w:jc w:val="both"/>
        <w:spacing w:before="0" w:beforeAutospacing="0" w:after="0" w:afterAutospacing="0"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color w:val="auto"/>
          <w:sz w:val="24"/>
          <w:szCs w:val="24"/>
          <w:highlight w:val="none"/>
          <w:lang w:val="en-US" w:eastAsia="zh-CN" w:bidi="ar-SA"/>
        </w:rPr>
        <w:t xml:space="preserve">。</w:t>
      </w:r>
      <w:r/>
    </w:p>
    <w:p>
      <w:pPr>
        <w:pStyle w:val="887"/>
        <w:ind w:left="0" w:right="0" w:firstLine="480"/>
        <w:jc w:val="both"/>
        <w:spacing w:before="0" w:beforeAutospacing="0" w:after="0" w:afterAutospacing="0"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相关法律法规对供应商报价有规定的，从其规定。</w:t>
      </w:r>
      <w:r/>
    </w:p>
    <w:p>
      <w:pPr>
        <w:pStyle w:val="887"/>
        <w:ind w:left="0" w:right="0" w:firstLine="480"/>
        <w:jc w:val="both"/>
        <w:spacing w:before="0" w:beforeAutospacing="0" w:after="0" w:afterAutospacing="0"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87"/>
        <w:ind w:left="0" w:right="0" w:firstLine="480"/>
        <w:jc w:val="both"/>
        <w:spacing w:before="0" w:beforeAutospacing="0" w:after="0" w:afterAutospacing="0"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7"/>
        <w:ind w:left="0" w:right="0" w:firstLine="480"/>
        <w:jc w:val="both"/>
        <w:spacing w:before="0" w:beforeAutospacing="0" w:after="0" w:afterAutospacing="0"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87"/>
        <w:ind w:left="0" w:right="0" w:firstLine="480"/>
        <w:jc w:val="both"/>
        <w:spacing w:before="0" w:beforeAutospacing="0" w:after="0" w:afterAutospacing="0" w:line="0" w:lineRule="atLeast"/>
        <w:rPr>
          <w:color w:val="auto"/>
          <w:highlight w:val="none"/>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要求加盖CA电子公章的。</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未实质性响应</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的响应文件按无效响应处理。</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如果响应文件实质上没有响应</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的要求，磋商小组将予以拒绝，供应商不得通过修改或撤销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合要求的偏离或保留而使其成为实质性响应的文件。</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bookmarkStart w:id="138" w:name="_Toc16938550"/>
      <w:r/>
      <w:bookmarkStart w:id="139" w:name="_Toc513029234"/>
      <w:r/>
      <w:bookmarkStart w:id="140" w:name="_Toc20823306"/>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供应商在项目评审全过程中应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，并安排专人与采购中心及磋商小组联系。</w:t>
      </w:r>
      <w:bookmarkEnd w:id="138"/>
      <w:r/>
      <w:bookmarkEnd w:id="139"/>
      <w:r/>
      <w:bookmarkEnd w:id="140"/>
      <w:r/>
      <w:r/>
    </w:p>
    <w:p>
      <w:pPr>
        <w:pStyle w:val="887"/>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pStyle w:val="887"/>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pStyle w:val="887"/>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87"/>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和磋商情况实质性变动的内容有：采购需求中的技术、服务要求以及合同草案条款。对</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作出的实质性变动是</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的有效组成部分，磋商小组将在苏采云系统中通知所有参加磋商的供应商。供应商应当按照</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的变动情况和磋商小组的要求在苏采云系统中重新提交响应文件，并加盖CA电子公章。</w:t>
      </w:r>
      <w:r/>
    </w:p>
    <w:p>
      <w:pPr>
        <w:pStyle w:val="887"/>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87"/>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87"/>
        <w:ind w:firstLine="480"/>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eastAsia="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pStyle w:val="887"/>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87"/>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pStyle w:val="887"/>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887"/>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所述综合评分法，是指响应文件满足</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87"/>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pStyle w:val="887"/>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第五章规定。</w:t>
      </w:r>
      <w:r/>
    </w:p>
    <w:p>
      <w:pPr>
        <w:pStyle w:val="887"/>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pStyle w:val="887"/>
        <w:ind w:firstLine="360"/>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pStyle w:val="887"/>
        <w:ind w:firstLine="360"/>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pStyle w:val="887"/>
        <w:ind w:firstLine="360"/>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pStyle w:val="887"/>
        <w:ind w:firstLine="360"/>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第二章第27.1.2条第三款规定的情形外，在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过程中符合要求的供应商或者最后报价未超过采购预算的供应商不足3家的。</w:t>
      </w:r>
      <w:r/>
    </w:p>
    <w:p>
      <w:pPr>
        <w:pStyle w:val="887"/>
        <w:ind w:firstLine="360"/>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pStyle w:val="887"/>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41" w:name="_Toc20823307"/>
      <w:r/>
      <w:bookmarkStart w:id="142" w:name="_Toc120614219"/>
      <w:r/>
      <w:bookmarkStart w:id="143" w:name="_Toc16938551"/>
      <w:r/>
      <w:bookmarkStart w:id="144" w:name="_Toc513029235"/>
      <w:r>
        <w:rPr>
          <w:rFonts w:hint="eastAsia" w:ascii="宋体" w:hAnsi="宋体" w:eastAsia="宋体" w:cs="宋体"/>
          <w:b/>
          <w:color w:val="auto"/>
          <w:sz w:val="24"/>
          <w:szCs w:val="24"/>
          <w:highlight w:val="none"/>
        </w:rPr>
        <w:t xml:space="preserve">六、</w:t>
      </w:r>
      <w:bookmarkEnd w:id="141"/>
      <w:r/>
      <w:bookmarkEnd w:id="142"/>
      <w:r/>
      <w:bookmarkEnd w:id="143"/>
      <w:r/>
      <w:bookmarkEnd w:id="144"/>
      <w:r>
        <w:rPr>
          <w:rFonts w:hint="eastAsia" w:ascii="宋体" w:hAnsi="宋体" w:eastAsia="宋体" w:cs="宋体"/>
          <w:b/>
          <w:color w:val="auto"/>
          <w:sz w:val="24"/>
          <w:szCs w:val="24"/>
          <w:highlight w:val="none"/>
        </w:rPr>
        <w:t xml:space="preserve">成交</w:t>
      </w:r>
      <w:r/>
    </w:p>
    <w:p>
      <w:pPr>
        <w:pStyle w:val="887"/>
        <w:ind w:firstLine="600"/>
        <w:jc w:val="both"/>
        <w:keepLines/>
        <w:keepNext/>
        <w:spacing w:beforeAutospacing="0" w:afterAutospacing="0"/>
        <w:rPr>
          <w:rFonts w:hint="eastAsia" w:ascii="宋体" w:hAnsi="宋体" w:eastAsia="宋体" w:cs="宋体"/>
          <w:color w:val="auto"/>
          <w:sz w:val="24"/>
          <w:szCs w:val="24"/>
          <w:highlight w:val="none"/>
        </w:rPr>
      </w:pPr>
      <w:r/>
      <w:bookmarkStart w:id="145" w:name="_Toc20823310"/>
      <w:r/>
      <w:bookmarkStart w:id="146" w:name="_Toc16938554"/>
      <w:r/>
      <w:bookmarkStart w:id="147" w:name="_Toc513029238"/>
      <w:r>
        <w:rPr>
          <w:rFonts w:hint="eastAsia" w:ascii="宋体" w:hAnsi="宋体" w:eastAsia="宋体" w:cs="宋体"/>
          <w:color w:val="auto"/>
          <w:sz w:val="24"/>
          <w:szCs w:val="24"/>
          <w:highlight w:val="none"/>
        </w:rPr>
        <w:t xml:space="preserve">28、</w:t>
      </w:r>
      <w:bookmarkEnd w:id="145"/>
      <w:r>
        <w:rPr>
          <w:rFonts w:hint="eastAsia" w:ascii="宋体" w:hAnsi="宋体" w:eastAsia="宋体" w:cs="宋体"/>
          <w:color w:val="auto"/>
          <w:sz w:val="24"/>
          <w:szCs w:val="24"/>
          <w:highlight w:val="none"/>
        </w:rPr>
        <w:t xml:space="preserve">确定</w:t>
      </w:r>
      <w:bookmarkEnd w:id="146"/>
      <w:r/>
      <w:bookmarkEnd w:id="147"/>
      <w:r>
        <w:rPr>
          <w:rFonts w:hint="eastAsia" w:ascii="宋体" w:hAnsi="宋体" w:eastAsia="宋体" w:cs="宋体"/>
          <w:color w:val="auto"/>
          <w:sz w:val="24"/>
          <w:szCs w:val="24"/>
          <w:highlight w:val="none"/>
        </w:rPr>
        <w:t xml:space="preserve">成交单位</w:t>
      </w:r>
      <w:r/>
    </w:p>
    <w:p>
      <w:pPr>
        <w:pStyle w:val="887"/>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第二章第27.1.2条情形的，可以推荐2名成交候选供应商。评审得分相同的，按照最后报价由低到高的顺序推荐。评审得分且最后报价相同的，按照技术指标优劣顺序推荐。</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规定的方式确定一个供应商获得成交供应商推荐资格，</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未规定的采取随机抽取方式确定，其他同品牌同型号供应商不作为成交候选人。</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28.2采购人从评审报告提出的成交候选供应商中，按照排序由高到低的原则确定成交供应商。采购人确定成交供应商后，采购中心将</w:t>
      </w:r>
      <w:r>
        <w:rPr>
          <w:rFonts w:hint="eastAsia" w:ascii="宋体" w:hAnsi="宋体" w:eastAsia="宋体" w:cs="宋体"/>
          <w:color w:val="auto"/>
          <w:sz w:val="24"/>
          <w:szCs w:val="24"/>
          <w:highlight w:val="none"/>
          <w:lang w:val="en-US" w:eastAsia="zh-CN"/>
        </w:rPr>
        <w:t xml:space="preserve">给投标人</w:t>
      </w:r>
      <w:r>
        <w:rPr>
          <w:rFonts w:hint="eastAsia" w:ascii="宋体" w:hAnsi="宋体" w:eastAsia="宋体" w:cs="宋体"/>
          <w:color w:val="auto"/>
          <w:sz w:val="24"/>
          <w:szCs w:val="24"/>
          <w:highlight w:val="none"/>
        </w:rPr>
        <w:t xml:space="preserve">发布成交结果。</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28.3.2与评审专家、采购人、其他供应商或者采购中心工作人员恶意串通的。</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28.3.3向评审专家、采购人或采购中心工作人员行贿或者提供其他不正当利益的。</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规定的实质性要求，但在评审过程中又未被磋商小组发现的。</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确定的事项签订政府采购合同的。</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pStyle w:val="887"/>
        <w:ind w:firstLine="600"/>
        <w:jc w:val="both"/>
        <w:keepLines/>
        <w:keepNext/>
        <w:spacing w:beforeAutospacing="0" w:afterAutospacing="0"/>
        <w:rPr>
          <w:rFonts w:hint="eastAsia" w:ascii="宋体" w:hAnsi="宋体" w:eastAsia="宋体" w:cs="宋体"/>
          <w:color w:val="auto"/>
          <w:sz w:val="24"/>
          <w:szCs w:val="24"/>
          <w:highlight w:val="none"/>
        </w:rPr>
      </w:pPr>
      <w:r/>
      <w:bookmarkStart w:id="148" w:name="_Toc200451960"/>
      <w:r>
        <w:rPr>
          <w:rFonts w:hint="eastAsia" w:ascii="宋体" w:hAnsi="宋体" w:eastAsia="宋体" w:cs="宋体"/>
          <w:color w:val="auto"/>
          <w:sz w:val="24"/>
          <w:szCs w:val="24"/>
          <w:highlight w:val="none"/>
        </w:rPr>
        <w:t xml:space="preserve">29、质疑处理</w:t>
      </w:r>
      <w:bookmarkEnd w:id="148"/>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w:t>
      </w:r>
      <w:r>
        <w:rPr>
          <w:rFonts w:hint="eastAsia" w:ascii="宋体" w:hAnsi="宋体" w:eastAsia="宋体" w:cs="宋体"/>
          <w:color w:val="auto"/>
          <w:sz w:val="24"/>
          <w:szCs w:val="24"/>
          <w:highlight w:val="none"/>
          <w:lang w:val="en-US" w:eastAsia="zh-CN"/>
        </w:rPr>
        <w:t xml:space="preserve">磋商邀请文件</w:t>
      </w:r>
      <w:r>
        <w:rPr>
          <w:rFonts w:hint="eastAsia" w:ascii="宋体" w:hAnsi="宋体" w:eastAsia="宋体" w:cs="宋体"/>
          <w:color w:val="auto"/>
          <w:sz w:val="24"/>
          <w:szCs w:val="24"/>
          <w:highlight w:val="none"/>
        </w:rPr>
        <w:t xml:space="preserve">的，可以对</w:t>
      </w:r>
      <w:r>
        <w:rPr>
          <w:rFonts w:hint="eastAsia" w:ascii="宋体" w:hAnsi="宋体" w:eastAsia="宋体" w:cs="宋体"/>
          <w:color w:val="auto"/>
          <w:sz w:val="24"/>
          <w:szCs w:val="24"/>
          <w:highlight w:val="none"/>
          <w:lang w:val="en-US" w:eastAsia="zh-CN"/>
        </w:rPr>
        <w:t xml:space="preserve">磋商邀请文件</w:t>
      </w:r>
      <w:r>
        <w:rPr>
          <w:rFonts w:hint="eastAsia" w:ascii="宋体" w:hAnsi="宋体" w:eastAsia="宋体" w:cs="宋体"/>
          <w:color w:val="auto"/>
          <w:sz w:val="24"/>
          <w:szCs w:val="24"/>
          <w:highlight w:val="none"/>
        </w:rPr>
        <w:t xml:space="preserve">提出质疑。</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w:t>
      </w:r>
      <w:r>
        <w:rPr>
          <w:rFonts w:hint="eastAsia" w:ascii="宋体" w:hAnsi="宋体" w:eastAsia="宋体" w:cs="宋体"/>
          <w:color w:val="auto"/>
          <w:sz w:val="24"/>
          <w:szCs w:val="24"/>
          <w:highlight w:val="none"/>
          <w:lang w:val="en-US" w:eastAsia="zh-CN"/>
        </w:rPr>
        <w:t xml:space="preserve">磋商邀请文件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过程和</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结果使自己的权益受到损害的，可以在知道或应知其权益受到损害之日起七个工作日内，以书面形式根据下述29.4条款的规定向采购中心或采购人提出质疑。上述应知其权益受到损害之日，是指：</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w:t>
      </w:r>
      <w:r>
        <w:rPr>
          <w:rFonts w:hint="eastAsia" w:ascii="宋体" w:hAnsi="宋体" w:eastAsia="宋体" w:cs="宋体"/>
          <w:color w:val="auto"/>
          <w:sz w:val="24"/>
          <w:szCs w:val="24"/>
          <w:highlight w:val="none"/>
          <w:lang w:val="en-US" w:eastAsia="zh-CN"/>
        </w:rPr>
        <w:t xml:space="preserve">磋商邀请文件</w:t>
      </w:r>
      <w:r>
        <w:rPr>
          <w:rFonts w:hint="eastAsia" w:ascii="宋体" w:hAnsi="宋体" w:eastAsia="宋体" w:cs="宋体"/>
          <w:color w:val="auto"/>
          <w:sz w:val="24"/>
          <w:szCs w:val="24"/>
          <w:highlight w:val="none"/>
        </w:rPr>
        <w:t xml:space="preserve">提出质疑的，为收到</w:t>
      </w:r>
      <w:r>
        <w:rPr>
          <w:rFonts w:hint="eastAsia" w:ascii="宋体" w:hAnsi="宋体" w:eastAsia="宋体" w:cs="宋体"/>
          <w:color w:val="auto"/>
          <w:sz w:val="24"/>
          <w:szCs w:val="24"/>
          <w:highlight w:val="none"/>
          <w:lang w:val="en-US" w:eastAsia="zh-CN"/>
        </w:rPr>
        <w:t xml:space="preserve">磋商邀请文件</w:t>
      </w:r>
      <w:r>
        <w:rPr>
          <w:rFonts w:hint="eastAsia" w:ascii="宋体" w:hAnsi="宋体" w:eastAsia="宋体" w:cs="宋体"/>
          <w:color w:val="auto"/>
          <w:sz w:val="24"/>
          <w:szCs w:val="24"/>
          <w:highlight w:val="none"/>
        </w:rPr>
        <w:t xml:space="preserve">之日或者</w:t>
      </w:r>
      <w:r>
        <w:rPr>
          <w:rFonts w:hint="eastAsia" w:ascii="宋体" w:hAnsi="宋体" w:eastAsia="宋体" w:cs="宋体"/>
          <w:color w:val="auto"/>
          <w:sz w:val="24"/>
          <w:szCs w:val="24"/>
          <w:highlight w:val="none"/>
          <w:lang w:val="en-US" w:eastAsia="zh-CN"/>
        </w:rPr>
        <w:t xml:space="preserve">磋商邀请文件</w:t>
      </w:r>
      <w:r>
        <w:rPr>
          <w:rFonts w:hint="eastAsia" w:ascii="宋体" w:hAnsi="宋体" w:eastAsia="宋体" w:cs="宋体"/>
          <w:color w:val="auto"/>
          <w:sz w:val="24"/>
          <w:szCs w:val="24"/>
          <w:highlight w:val="none"/>
        </w:rPr>
        <w:t xml:space="preserve">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29.2.3对成交结果提出质疑的，为成交结果期限届满之日。</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中《质疑函范本》要求的格式和内容进行填写。供应商如组成联合体参加磋商，则《质疑函范本》中要求签字、盖章、加盖公章之处，联合体各方均须按要求签字、盖章、加盖公章。</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采购人及采购中心只接收以纸质原件形式送达的质疑,采购人和采购中心不接受未填写快递运单的快件。质疑接收部门为</w:t>
      </w:r>
      <w:r>
        <w:rPr>
          <w:rFonts w:hint="eastAsia" w:ascii="宋体" w:hAnsi="宋体" w:eastAsia="宋体" w:cs="宋体"/>
          <w:color w:val="auto"/>
          <w:sz w:val="24"/>
          <w:szCs w:val="24"/>
          <w:highlight w:val="none"/>
          <w:lang w:val="en-US" w:eastAsia="zh-CN"/>
        </w:rPr>
        <w:t xml:space="preserve">公共资源交易中心业务</w:t>
      </w:r>
      <w:r>
        <w:rPr>
          <w:rFonts w:hint="eastAsia" w:ascii="宋体" w:hAnsi="宋体" w:eastAsia="宋体" w:cs="宋体"/>
          <w:color w:val="auto"/>
          <w:sz w:val="24"/>
          <w:szCs w:val="24"/>
          <w:highlight w:val="none"/>
        </w:rPr>
        <w:t xml:space="preserve">受理处，联系地址：盐城市府西路1号市公共资源交易中心412，联系电话：0515-69083522。</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pStyle w:val="887"/>
        <w:ind w:firstLine="468"/>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87"/>
        <w:ind w:firstLine="60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30、成交通知书</w:t>
      </w:r>
      <w:r/>
    </w:p>
    <w:p>
      <w:pPr>
        <w:pStyle w:val="887"/>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中心将向成交供应商发出成交通知书。请成交供应商在成交结果届满之日起30日内,使用CA数字证书登录苏采云系统及时下载成交通知书。因系统存储空间有限，自成交结果届满之日起30日后，苏采云系统不再保证提供下载成交通知书服务,因未及时下载而造成的不利后果由成交供应商自行承担。</w:t>
      </w:r>
      <w:r/>
    </w:p>
    <w:p>
      <w:pPr>
        <w:pStyle w:val="887"/>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87"/>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49" w:name="_Toc20823308"/>
      <w:r/>
      <w:bookmarkStart w:id="150" w:name="_Toc120614220"/>
      <w:r/>
      <w:bookmarkStart w:id="151" w:name="_Toc513029236"/>
      <w:r/>
      <w:bookmarkStart w:id="152" w:name="_Toc16938552"/>
      <w:r>
        <w:rPr>
          <w:rFonts w:hint="eastAsia" w:ascii="宋体" w:hAnsi="宋体" w:eastAsia="宋体" w:cs="宋体"/>
          <w:b/>
          <w:color w:val="auto"/>
          <w:sz w:val="24"/>
          <w:szCs w:val="24"/>
          <w:highlight w:val="none"/>
        </w:rPr>
        <w:t xml:space="preserve">七、授予合同</w:t>
      </w:r>
      <w:bookmarkEnd w:id="149"/>
      <w:r/>
      <w:bookmarkEnd w:id="150"/>
      <w:r/>
      <w:bookmarkEnd w:id="151"/>
      <w:r/>
      <w:bookmarkEnd w:id="152"/>
      <w:r/>
      <w:r/>
    </w:p>
    <w:p>
      <w:pPr>
        <w:pStyle w:val="887"/>
        <w:ind w:firstLine="600"/>
        <w:jc w:val="both"/>
        <w:keepLines/>
        <w:keepNext/>
        <w:spacing w:beforeAutospacing="0" w:afterAutospacing="0"/>
        <w:rPr>
          <w:rFonts w:hint="eastAsia" w:ascii="宋体" w:hAnsi="宋体" w:eastAsia="宋体" w:cs="宋体"/>
          <w:color w:val="auto"/>
          <w:sz w:val="24"/>
          <w:szCs w:val="24"/>
          <w:highlight w:val="none"/>
        </w:rPr>
      </w:pPr>
      <w:r/>
      <w:bookmarkStart w:id="153" w:name="_Toc513029237"/>
      <w:r/>
      <w:bookmarkStart w:id="154" w:name="_Toc20823309"/>
      <w:r/>
      <w:bookmarkStart w:id="155" w:name="_Toc16938553"/>
      <w:r>
        <w:rPr>
          <w:rFonts w:hint="eastAsia" w:ascii="宋体" w:hAnsi="宋体" w:eastAsia="宋体" w:cs="宋体"/>
          <w:color w:val="auto"/>
          <w:sz w:val="24"/>
          <w:szCs w:val="24"/>
          <w:highlight w:val="none"/>
        </w:rPr>
        <w:t xml:space="preserve">31.签订合同</w:t>
      </w:r>
      <w:bookmarkEnd w:id="153"/>
      <w:r/>
      <w:bookmarkEnd w:id="154"/>
      <w:r/>
      <w:bookmarkEnd w:id="155"/>
      <w:r/>
      <w:r/>
    </w:p>
    <w:p>
      <w:pPr>
        <w:pStyle w:val="887"/>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确定的事项与采购人签订政府采购合同。</w:t>
      </w:r>
      <w:r/>
    </w:p>
    <w:p>
      <w:pPr>
        <w:pStyle w:val="887"/>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eastAsia="宋体" w:cs="宋体"/>
          <w:color w:val="auto"/>
          <w:sz w:val="24"/>
          <w:szCs w:val="24"/>
          <w:highlight w:val="none"/>
          <w:lang w:eastAsia="zh-CN"/>
        </w:rPr>
        <w:t xml:space="preserve">磋商邀请文件</w:t>
      </w:r>
      <w:r>
        <w:rPr>
          <w:rFonts w:hint="eastAsia" w:ascii="宋体" w:hAnsi="宋体" w:eastAsia="宋体" w:cs="宋体"/>
          <w:color w:val="auto"/>
          <w:sz w:val="24"/>
          <w:szCs w:val="24"/>
          <w:highlight w:val="none"/>
        </w:rPr>
        <w:t xml:space="preserve">、成交供应商的响应文件及磋商过程中有关澄清、承诺文件均应作为合同附件。</w:t>
      </w:r>
      <w:r/>
    </w:p>
    <w:p>
      <w:pPr>
        <w:pStyle w:val="887"/>
        <w:ind w:firstLine="60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w:t>
      </w:r>
      <w:r>
        <w:rPr>
          <w:rFonts w:hint="eastAsia" w:ascii="宋体" w:hAnsi="宋体" w:eastAsia="宋体" w:cs="宋体"/>
          <w:color w:val="auto"/>
          <w:sz w:val="24"/>
          <w:szCs w:val="24"/>
          <w:highlight w:val="none"/>
          <w:shd w:val="clear" w:color="auto" w:fill="auto"/>
        </w:rPr>
        <w:t xml:space="preserve">包造成采购人损失的，成交供应商应承担相应赔偿责任。</w:t>
      </w:r>
      <w:r/>
    </w:p>
    <w:p>
      <w:pPr>
        <w:pStyle w:val="887"/>
        <w:ind w:firstLine="60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标的物的追加</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87"/>
        <w:numPr>
          <w:ilvl w:val="0"/>
          <w:numId w:val="0"/>
        </w:numPr>
        <w:ind w:left="474"/>
        <w:jc w:val="both"/>
        <w:spacing w:beforeAutospacing="0" w:afterAutospacing="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887"/>
        <w:ind w:firstLine="48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firstLine="480"/>
        <w:spacing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.3.1中小企业定义：</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.3.7本项目是否专门面向中小企业预留采购份额见第一章《竞争性磋商</w:t>
      </w:r>
      <w:r>
        <w:rPr>
          <w:rFonts w:hint="eastAsia" w:ascii="宋体" w:hAnsi="宋体" w:eastAsia="宋体" w:cs="宋体"/>
          <w:color w:val="auto"/>
          <w:sz w:val="24"/>
          <w:szCs w:val="24"/>
          <w:highlight w:val="none"/>
          <w:shd w:val="clear" w:color="auto" w:fill="auto"/>
          <w:lang w:val="en-US" w:eastAsia="zh-CN"/>
        </w:rPr>
        <w:t xml:space="preserve">公告</w:t>
      </w:r>
      <w:r>
        <w:rPr>
          <w:rFonts w:hint="eastAsia" w:ascii="宋体" w:hAnsi="宋体" w:eastAsia="宋体" w:cs="宋体"/>
          <w:color w:val="auto"/>
          <w:sz w:val="24"/>
          <w:szCs w:val="24"/>
          <w:highlight w:val="none"/>
          <w:shd w:val="clear" w:color="auto" w:fill="auto"/>
        </w:rPr>
        <w:t xml:space="preserve">》。</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887"/>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78"/>
        <w:jc w:val="both"/>
        <w:spacing w:before="0" w:after="0" w:line="85" w:lineRule="atLeast"/>
        <w:rPr>
          <w:rFonts w:hint="eastAsia" w:ascii="宋体" w:hAnsi="宋体" w:eastAsia="宋体" w:cs="宋体"/>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 xml:space="preserve">。</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4"/>
          <w:highlight w:val="none"/>
          <w:lang w:val="en-US" w:eastAsia="zh-CN"/>
        </w:rPr>
        <w:t xml:space="preserve">磋商邀请文件</w:t>
      </w:r>
      <w:r>
        <w:rPr>
          <w:rFonts w:hint="eastAsia" w:ascii="宋体" w:hAnsi="宋体" w:eastAsia="宋体" w:cs="宋体"/>
          <w:color w:val="auto"/>
          <w:sz w:val="24"/>
          <w:szCs w:val="24"/>
          <w:highlight w:val="none"/>
          <w:shd w:val="clear" w:color="auto" w:fill="auto"/>
          <w:lang w:val="en-US" w:eastAsia="zh-CN" w:bidi="ar-SA"/>
        </w:rPr>
        <w:t xml:space="preserve">，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33.8履约保证金政策</w:t>
      </w:r>
      <w:r/>
    </w:p>
    <w:p>
      <w:pPr>
        <w:pStyle w:val="894"/>
        <w:ind w:left="0" w:firstLine="560"/>
        <w:spacing w:after="0" w:line="52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确需收取履约保证金的，履约保证金的缴纳形式：</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 预付款制度</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w:t>
      </w:r>
      <w:r>
        <w:rPr>
          <w:rFonts w:hint="eastAsia" w:ascii="宋体" w:hAnsi="宋体" w:eastAsia="宋体" w:cs="宋体"/>
          <w:color w:val="auto"/>
          <w:sz w:val="24"/>
          <w:szCs w:val="24"/>
          <w:highlight w:val="white"/>
          <w:shd w:val="clear" w:color="auto" w:fill="auto"/>
          <w:lang w:val="en-US" w:eastAsia="zh-CN" w:bidi="ar-SA"/>
        </w:rPr>
        <w:t xml:space="preserve">为_50__%（原</w:t>
      </w:r>
      <w:r>
        <w:rPr>
          <w:rFonts w:hint="eastAsia" w:ascii="宋体" w:hAnsi="宋体" w:eastAsia="宋体" w:cs="宋体"/>
          <w:color w:val="auto"/>
          <w:sz w:val="24"/>
          <w:szCs w:val="24"/>
          <w:highlight w:val="none"/>
          <w:shd w:val="clear" w:color="auto" w:fill="auto"/>
          <w:lang w:val="en-US" w:eastAsia="zh-CN" w:bidi="ar-SA"/>
        </w:rPr>
        <w:t xml:space="preserve">则上不低于合同金额的30%）。在签订合同时，中标、成交供应商明确书面表示无需预付款或者主动要求降低预付款比例的，采购人可就预付款比例作相应调整。</w:t>
      </w:r>
      <w:r/>
    </w:p>
    <w:p>
      <w:pPr>
        <w:pStyle w:val="894"/>
        <w:ind w:left="0" w:firstLine="560"/>
        <w:spacing w:after="0" w:line="52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pStyle w:val="887"/>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887"/>
        <w:ind w:firstLine="2640"/>
        <w:jc w:val="both"/>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87"/>
        <w:jc w:val="both"/>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87"/>
        <w:jc w:val="both"/>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87"/>
        <w:ind w:firstLine="2640"/>
        <w:jc w:val="both"/>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第三章  合同文本</w:t>
      </w:r>
      <w:r/>
    </w:p>
    <w:p>
      <w:pPr>
        <w:pStyle w:val="887"/>
        <w:ind w:firstLine="480"/>
        <w:jc w:val="both"/>
        <w:spacing w:beforeAutospacing="0" w:afterAutospacing="0" w:line="0" w:lineRule="atLeast"/>
        <w:rPr>
          <w:color w:val="auto"/>
          <w:highlight w:val="none"/>
        </w:rPr>
      </w:pPr>
      <w:r/>
      <w:bookmarkStart w:id="156" w:name="_Toc513029243"/>
      <w:r/>
      <w:bookmarkStart w:id="157" w:name="_Toc16938559"/>
      <w:r/>
      <w:bookmarkStart w:id="158" w:name="_Toc20823315"/>
      <w:r>
        <w:rPr>
          <w:rFonts w:hint="eastAsia" w:ascii="宋体" w:hAnsi="宋体" w:eastAsia="宋体" w:cs="宋体"/>
          <w:color w:val="auto"/>
          <w:highlight w:val="none"/>
        </w:rPr>
        <w:t xml:space="preserve">以下为成交后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本项目合同的通用条款，成交供应商不得提出实质性的修改。</w:t>
      </w:r>
      <w:bookmarkEnd w:id="156"/>
      <w:r/>
      <w:bookmarkEnd w:id="157"/>
      <w:r/>
      <w:bookmarkEnd w:id="158"/>
      <w:r/>
      <w:r/>
    </w:p>
    <w:p>
      <w:pPr>
        <w:pStyle w:val="887"/>
        <w:ind w:firstLine="640"/>
        <w:jc w:val="both"/>
        <w:spacing w:beforeAutospacing="0" w:afterAutospacing="0" w:line="0" w:lineRule="atLeast"/>
        <w:rPr>
          <w:color w:val="auto"/>
          <w:highlight w:val="none"/>
          <w:shd w:val="clear" w:color="auto" w:fill="auto"/>
        </w:rPr>
      </w:pPr>
      <w:r>
        <w:rPr>
          <w:rFonts w:hint="eastAsia" w:ascii="宋体" w:hAnsi="宋体" w:eastAsia="宋体" w:cs="宋体"/>
          <w:color w:val="auto"/>
          <w:sz w:val="32"/>
          <w:szCs w:val="32"/>
          <w:highlight w:val="none"/>
          <w:shd w:val="clear" w:color="auto" w:fill="auto"/>
        </w:rPr>
        <w:t xml:space="preserve">备注：请项目经办人提醒采购人按照《政府采购需求管理办法》第二十三条的规定完善合同文本。</w:t>
      </w:r>
      <w:r/>
    </w:p>
    <w:p>
      <w:pPr>
        <w:pStyle w:val="887"/>
        <w:jc w:val="center"/>
        <w:spacing w:before="145" w:beforeAutospacing="0" w:after="145" w:afterAutospacing="0"/>
        <w:rPr>
          <w:color w:val="auto"/>
          <w:highlight w:val="none"/>
        </w:rPr>
      </w:pPr>
      <w:r>
        <w:rPr>
          <w:color w:val="auto"/>
          <w:highlight w:val="none"/>
        </w:rPr>
        <w:t xml:space="preserve"> </w:t>
      </w:r>
      <w:r/>
    </w:p>
    <w:p>
      <w:pPr>
        <w:pStyle w:val="887"/>
        <w:jc w:val="center"/>
        <w:spacing w:before="145" w:beforeAutospacing="0" w:after="145" w:afterAutospacing="0"/>
        <w:rPr>
          <w:color w:val="auto"/>
          <w:highlight w:val="none"/>
        </w:rPr>
      </w:pPr>
      <w:r>
        <w:rPr>
          <w:rFonts w:hint="eastAsia" w:ascii="宋体" w:hAnsi="宋体" w:eastAsia="宋体" w:cs="宋体"/>
          <w:b/>
          <w:color w:val="auto"/>
          <w:sz w:val="30"/>
          <w:szCs w:val="30"/>
          <w:highlight w:val="none"/>
        </w:rPr>
        <w:t xml:space="preserve">盐城市政府采购合同（合同编号）</w:t>
      </w:r>
      <w:r/>
    </w:p>
    <w:p>
      <w:pPr>
        <w:ind w:firstLine="480"/>
        <w:jc w:val="left"/>
        <w:spacing w:line="560" w:lineRule="exact"/>
        <w:widowControl/>
        <w:rPr>
          <w:rFonts w:hint="eastAsia" w:ascii="宋体" w:hAnsi="宋体" w:cs="宋体"/>
          <w:color w:val="auto"/>
          <w:sz w:val="24"/>
          <w:szCs w:val="20"/>
          <w:highlight w:val="none"/>
        </w:rPr>
      </w:pPr>
      <w:r/>
      <w:bookmarkStart w:id="159" w:name="_Toc479757211"/>
      <w:r/>
      <w:bookmarkStart w:id="160" w:name="_Toc120614244"/>
      <w:r/>
      <w:bookmarkStart w:id="161" w:name="_Toc462564139"/>
      <w:r/>
      <w:bookmarkStart w:id="162" w:name="_Toc20823346"/>
      <w:r/>
      <w:bookmarkStart w:id="163" w:name="_Toc16938590"/>
      <w:r/>
      <w:bookmarkStart w:id="164" w:name="_Hlt16619350"/>
      <w:r/>
      <w:bookmarkStart w:id="165" w:name="_Hlt16619369"/>
      <w:r>
        <w:rPr>
          <w:rFonts w:hint="eastAsia" w:ascii="宋体" w:hAnsi="宋体" w:cs="宋体"/>
          <w:color w:val="auto"/>
          <w:sz w:val="24"/>
          <w:szCs w:val="20"/>
          <w:highlight w:val="none"/>
        </w:rPr>
        <w:t xml:space="preserve">项目名称：国企监管平台</w:t>
      </w:r>
      <w:r/>
    </w:p>
    <w:p>
      <w:pPr>
        <w:ind w:firstLine="480"/>
        <w:jc w:val="left"/>
        <w:spacing w:line="560" w:lineRule="exact"/>
        <w:widowControl/>
        <w:rPr>
          <w:rFonts w:hint="eastAsia" w:ascii="宋体" w:hAnsi="宋体" w:cs="宋体" w:eastAsiaTheme="minorEastAsia"/>
          <w:color w:val="auto"/>
          <w:sz w:val="24"/>
          <w:szCs w:val="20"/>
          <w:highlight w:val="none"/>
          <w:lang w:val="en-US" w:eastAsia="zh-CN" w:bidi="ar-SA"/>
        </w:rPr>
      </w:pPr>
      <w:r>
        <w:rPr>
          <w:rFonts w:hint="eastAsia" w:ascii="宋体" w:hAnsi="宋体" w:cs="宋体"/>
          <w:color w:val="auto"/>
          <w:sz w:val="24"/>
          <w:szCs w:val="20"/>
          <w:highlight w:val="none"/>
        </w:rPr>
        <w:t xml:space="preserve">项目编号：</w:t>
      </w:r>
      <w:r>
        <w:rPr>
          <w:rFonts w:hint="eastAsia" w:ascii="宋体" w:hAnsi="宋体" w:cs="宋体" w:eastAsiaTheme="minorEastAsia"/>
          <w:color w:val="auto"/>
          <w:sz w:val="24"/>
          <w:szCs w:val="20"/>
          <w:highlight w:val="none"/>
          <w:lang w:val="en-US" w:eastAsia="zh-CN" w:bidi="ar-SA"/>
        </w:rPr>
        <w:t xml:space="preserve">JSZC-320900-JZCG-C2026-0018</w:t>
      </w:r>
      <w:r/>
    </w:p>
    <w:p>
      <w:pPr>
        <w:ind w:firstLine="480"/>
        <w:jc w:val="left"/>
        <w:spacing w:line="560" w:lineRule="exact"/>
        <w:widowControl/>
        <w:rPr>
          <w:rFonts w:hint="eastAsia" w:ascii="宋体" w:hAnsi="宋体" w:cs="宋体"/>
          <w:color w:val="auto"/>
          <w:sz w:val="24"/>
          <w:szCs w:val="20"/>
          <w:highlight w:val="none"/>
          <w:u w:val="single"/>
        </w:rPr>
      </w:pPr>
      <w:r>
        <w:rPr>
          <w:rFonts w:hint="eastAsia" w:ascii="宋体" w:hAnsi="宋体" w:cs="宋体"/>
          <w:color w:val="auto"/>
          <w:sz w:val="24"/>
          <w:szCs w:val="20"/>
          <w:highlight w:val="none"/>
        </w:rPr>
        <w:t xml:space="preserve">甲方：（买方）</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乙方：（卖方）</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甲、乙双方根据盐城市政府采购中心</w:t>
      </w:r>
      <w:r>
        <w:rPr>
          <w:rFonts w:hint="eastAsia" w:ascii="宋体" w:hAnsi="宋体" w:cs="宋体"/>
          <w:color w:val="auto"/>
          <w:sz w:val="24"/>
          <w:szCs w:val="20"/>
          <w:highlight w:val="none"/>
          <w:u w:val="single"/>
        </w:rPr>
        <w:t xml:space="preserve">国企监管平台</w:t>
      </w:r>
      <w:r>
        <w:rPr>
          <w:rFonts w:hint="eastAsia" w:ascii="宋体" w:hAnsi="宋体" w:cs="宋体"/>
          <w:color w:val="auto"/>
          <w:sz w:val="24"/>
          <w:szCs w:val="20"/>
          <w:highlight w:val="none"/>
        </w:rPr>
        <w:t xml:space="preserve">竞争性磋商的结果，签署本合同。</w:t>
      </w:r>
      <w:r/>
    </w:p>
    <w:p>
      <w:pPr>
        <w:ind w:firstLine="480"/>
        <w:jc w:val="left"/>
        <w:spacing w:line="560" w:lineRule="exact"/>
        <w:widowControl/>
        <w:rPr>
          <w:rFonts w:hint="eastAsia" w:ascii="宋体" w:hAnsi="宋体" w:cs="宋体"/>
          <w:b/>
          <w:bCs/>
          <w:color w:val="auto"/>
          <w:sz w:val="24"/>
          <w:szCs w:val="20"/>
          <w:highlight w:val="none"/>
          <w:lang w:val="zh-CN" w:eastAsia="zh-TW"/>
        </w:rPr>
      </w:pPr>
      <w:r>
        <w:rPr>
          <w:rFonts w:hint="eastAsia" w:ascii="宋体" w:hAnsi="宋体" w:cs="宋体"/>
          <w:b/>
          <w:bCs/>
          <w:color w:val="auto"/>
          <w:sz w:val="24"/>
          <w:szCs w:val="20"/>
          <w:highlight w:val="none"/>
          <w:lang w:val="zh-CN" w:eastAsia="zh-TW"/>
        </w:rPr>
        <w:t xml:space="preserve">一、合同内容</w:t>
      </w:r>
      <w:r/>
    </w:p>
    <w:p>
      <w:pPr>
        <w:ind w:firstLine="480"/>
        <w:jc w:val="left"/>
        <w:spacing w:line="56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lang w:val="zh-CN" w:eastAsia="zh-TW"/>
        </w:rPr>
        <w:t xml:space="preserve">1.1标的名称：</w:t>
      </w:r>
      <w:r>
        <w:rPr>
          <w:rFonts w:hint="eastAsia" w:ascii="宋体" w:hAnsi="宋体" w:cs="宋体"/>
          <w:color w:val="auto"/>
          <w:sz w:val="24"/>
          <w:szCs w:val="20"/>
          <w:highlight w:val="none"/>
        </w:rPr>
        <w:t xml:space="preserve">国企监管平台</w:t>
      </w:r>
      <w:r/>
    </w:p>
    <w:p>
      <w:pPr>
        <w:ind w:firstLine="480"/>
        <w:jc w:val="left"/>
        <w:spacing w:line="560" w:lineRule="exact"/>
        <w:widowControl/>
        <w:rPr>
          <w:rFonts w:hint="default" w:ascii="宋体" w:hAnsi="宋体" w:cs="宋体"/>
          <w:color w:val="auto"/>
          <w:sz w:val="24"/>
          <w:szCs w:val="20"/>
          <w:highlight w:val="none"/>
          <w:lang w:val="en-US"/>
        </w:rPr>
      </w:pPr>
      <w:r>
        <w:rPr>
          <w:rFonts w:hint="eastAsia" w:ascii="宋体" w:hAnsi="宋体" w:cs="宋体"/>
          <w:color w:val="auto"/>
          <w:sz w:val="24"/>
          <w:szCs w:val="20"/>
          <w:highlight w:val="none"/>
          <w:lang w:val="zh-CN" w:eastAsia="zh-TW"/>
        </w:rPr>
        <w:t xml:space="preserve">1.2标的质量：</w:t>
      </w:r>
      <w:r>
        <w:rPr>
          <w:rFonts w:hint="eastAsia" w:ascii="宋体" w:hAnsi="宋体" w:cs="宋体"/>
          <w:color w:val="auto"/>
          <w:sz w:val="24"/>
          <w:szCs w:val="20"/>
          <w:highlight w:val="none"/>
        </w:rPr>
        <w:t xml:space="preserve">详见</w:t>
      </w:r>
      <w:r>
        <w:rPr>
          <w:rFonts w:hint="eastAsia" w:ascii="宋体" w:hAnsi="宋体" w:cs="宋体"/>
          <w:color w:val="auto"/>
          <w:sz w:val="24"/>
          <w:szCs w:val="20"/>
          <w:highlight w:val="none"/>
          <w:lang w:val="en-US" w:eastAsia="zh-CN"/>
        </w:rPr>
        <w:t xml:space="preserve">采购需求</w:t>
      </w:r>
      <w:r/>
    </w:p>
    <w:p>
      <w:pPr>
        <w:ind w:firstLine="480"/>
        <w:jc w:val="left"/>
        <w:spacing w:line="560" w:lineRule="exact"/>
        <w:widowControl/>
        <w:rPr>
          <w:rFonts w:hint="eastAsia" w:ascii="宋体" w:hAnsi="宋体" w:cs="宋体" w:eastAsiaTheme="minorEastAsia"/>
          <w:color w:val="auto"/>
          <w:sz w:val="24"/>
          <w:szCs w:val="20"/>
          <w:highlight w:val="none"/>
          <w:lang w:val="zh-CN" w:eastAsia="zh-CN"/>
        </w:rPr>
      </w:pPr>
      <w:r>
        <w:rPr>
          <w:rFonts w:hint="eastAsia" w:ascii="宋体" w:hAnsi="宋体" w:cs="宋体"/>
          <w:color w:val="auto"/>
          <w:sz w:val="24"/>
          <w:szCs w:val="20"/>
          <w:highlight w:val="none"/>
          <w:lang w:val="zh-CN" w:eastAsia="zh-TW"/>
        </w:rPr>
        <w:t xml:space="preserve">1.3标的数量（规模）：</w:t>
      </w:r>
      <w:r>
        <w:rPr>
          <w:rFonts w:hint="eastAsia" w:ascii="宋体" w:hAnsi="宋体" w:cs="宋体"/>
          <w:color w:val="auto"/>
          <w:sz w:val="24"/>
          <w:szCs w:val="20"/>
          <w:highlight w:val="none"/>
        </w:rPr>
        <w:t xml:space="preserve">详见</w:t>
      </w:r>
      <w:r>
        <w:rPr>
          <w:rFonts w:hint="eastAsia" w:ascii="宋体" w:hAnsi="宋体" w:cs="宋体"/>
          <w:color w:val="auto"/>
          <w:sz w:val="24"/>
          <w:szCs w:val="20"/>
          <w:highlight w:val="none"/>
          <w:lang w:eastAsia="zh-CN"/>
        </w:rPr>
        <w:t xml:space="preserve">磋商邀请文件</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lang w:val="zh-CN" w:eastAsia="zh-TW"/>
        </w:rPr>
        <w:t xml:space="preserve">1.4</w:t>
      </w:r>
      <w:bookmarkStart w:id="166" w:name="OLE_LINK1"/>
      <w:r>
        <w:rPr>
          <w:rFonts w:hint="eastAsia" w:ascii="宋体" w:hAnsi="宋体" w:cs="宋体"/>
          <w:color w:val="auto"/>
          <w:sz w:val="24"/>
          <w:szCs w:val="20"/>
          <w:highlight w:val="none"/>
        </w:rPr>
        <w:t xml:space="preserve">交付周期</w:t>
      </w:r>
      <w:r>
        <w:rPr>
          <w:rFonts w:hint="eastAsia" w:ascii="宋体" w:hAnsi="宋体" w:cs="宋体"/>
          <w:color w:val="auto"/>
          <w:sz w:val="24"/>
          <w:szCs w:val="20"/>
          <w:highlight w:val="none"/>
          <w:lang w:val="zh-CN" w:eastAsia="zh-TW"/>
        </w:rPr>
        <w:t xml:space="preserve">：</w:t>
      </w:r>
      <w:r>
        <w:rPr>
          <w:rFonts w:hint="eastAsia" w:ascii="宋体" w:hAnsi="宋体" w:cs="宋体"/>
          <w:color w:val="auto"/>
          <w:sz w:val="24"/>
          <w:szCs w:val="20"/>
          <w:highlight w:val="none"/>
        </w:rPr>
        <w:t xml:space="preserve">90个日历天</w:t>
      </w:r>
      <w:bookmarkEnd w:id="166"/>
      <w:r/>
      <w:r/>
    </w:p>
    <w:p>
      <w:pPr>
        <w:ind w:firstLine="480"/>
        <w:jc w:val="left"/>
        <w:spacing w:line="560" w:lineRule="exact"/>
        <w:widowControl/>
        <w:rPr>
          <w:rFonts w:hint="eastAsia" w:ascii="宋体" w:hAnsi="宋体" w:cs="宋体" w:eastAsiaTheme="minorEastAsia"/>
          <w:color w:val="auto"/>
          <w:sz w:val="24"/>
          <w:szCs w:val="20"/>
          <w:highlight w:val="none"/>
          <w:lang w:val="zh-CN" w:eastAsia="zh-CN"/>
        </w:rPr>
      </w:pPr>
      <w:r>
        <w:rPr>
          <w:rFonts w:hint="eastAsia" w:ascii="宋体" w:hAnsi="宋体" w:cs="宋体"/>
          <w:color w:val="auto"/>
          <w:sz w:val="24"/>
          <w:szCs w:val="20"/>
          <w:highlight w:val="none"/>
          <w:lang w:val="zh-CN" w:eastAsia="zh-TW"/>
        </w:rPr>
        <w:t xml:space="preserve">1.5履行地点：</w:t>
      </w:r>
      <w:r>
        <w:rPr>
          <w:rFonts w:hint="eastAsia" w:ascii="宋体" w:hAnsi="宋体" w:cs="宋体"/>
          <w:color w:val="auto"/>
          <w:sz w:val="24"/>
          <w:szCs w:val="20"/>
          <w:highlight w:val="none"/>
        </w:rPr>
        <w:t xml:space="preserve">详见</w:t>
      </w:r>
      <w:r>
        <w:rPr>
          <w:rFonts w:hint="eastAsia" w:ascii="宋体" w:hAnsi="宋体" w:cs="宋体"/>
          <w:color w:val="auto"/>
          <w:sz w:val="24"/>
          <w:szCs w:val="20"/>
          <w:highlight w:val="none"/>
          <w:lang w:eastAsia="zh-CN"/>
        </w:rPr>
        <w:t xml:space="preserve">磋商邀请文件</w:t>
      </w:r>
      <w:r/>
    </w:p>
    <w:p>
      <w:pPr>
        <w:ind w:firstLine="480"/>
        <w:jc w:val="left"/>
        <w:spacing w:line="560" w:lineRule="exact"/>
        <w:widowControl/>
        <w:rPr>
          <w:rFonts w:hint="eastAsia" w:ascii="宋体" w:hAnsi="宋体" w:cs="宋体" w:eastAsiaTheme="minorEastAsia"/>
          <w:color w:val="auto"/>
          <w:sz w:val="24"/>
          <w:szCs w:val="20"/>
          <w:highlight w:val="none"/>
          <w:lang w:eastAsia="zh-CN"/>
        </w:rPr>
      </w:pPr>
      <w:r>
        <w:rPr>
          <w:rFonts w:hint="eastAsia" w:ascii="宋体" w:hAnsi="宋体" w:cs="宋体"/>
          <w:color w:val="auto"/>
          <w:sz w:val="24"/>
          <w:szCs w:val="20"/>
          <w:highlight w:val="none"/>
          <w:lang w:val="zh-CN" w:eastAsia="zh-TW"/>
        </w:rPr>
        <w:t xml:space="preserve">1.6履行方式：</w:t>
      </w:r>
      <w:r>
        <w:rPr>
          <w:rFonts w:hint="eastAsia" w:ascii="宋体" w:hAnsi="宋体" w:cs="宋体"/>
          <w:color w:val="auto"/>
          <w:sz w:val="24"/>
          <w:szCs w:val="20"/>
          <w:highlight w:val="none"/>
        </w:rPr>
        <w:t xml:space="preserve">详见</w:t>
      </w:r>
      <w:r>
        <w:rPr>
          <w:rFonts w:hint="eastAsia" w:ascii="宋体" w:hAnsi="宋体" w:cs="宋体"/>
          <w:color w:val="auto"/>
          <w:sz w:val="24"/>
          <w:szCs w:val="20"/>
          <w:highlight w:val="none"/>
          <w:lang w:eastAsia="zh-CN"/>
        </w:rPr>
        <w:t xml:space="preserve">磋商邀请文件</w:t>
      </w:r>
      <w:r/>
    </w:p>
    <w:p>
      <w:pPr>
        <w:ind w:firstLine="480"/>
        <w:jc w:val="left"/>
        <w:spacing w:line="560" w:lineRule="exact"/>
        <w:widowControl/>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二、合同金额（含税价）</w:t>
      </w:r>
      <w:r/>
    </w:p>
    <w:p>
      <w:pPr>
        <w:ind w:firstLine="480"/>
        <w:spacing w:line="500" w:lineRule="exact"/>
        <w:tabs>
          <w:tab w:val="left" w:pos="6321" w:leader="none"/>
        </w:tabs>
        <w:rPr>
          <w:rFonts w:hint="eastAsia" w:ascii="宋体" w:hAnsi="宋体" w:cs="宋体"/>
          <w:color w:val="auto"/>
          <w:sz w:val="24"/>
          <w:szCs w:val="20"/>
          <w:highlight w:val="none"/>
          <w:lang w:bidi="zh-TW"/>
        </w:rPr>
      </w:pPr>
      <w:r>
        <w:rPr>
          <w:rFonts w:hint="eastAsia" w:ascii="宋体" w:hAnsi="宋体" w:cs="宋体"/>
          <w:color w:val="auto"/>
          <w:sz w:val="24"/>
          <w:szCs w:val="20"/>
          <w:highlight w:val="none"/>
          <w:lang w:bidi="zh-TW"/>
        </w:rPr>
        <w:t xml:space="preserve">2.1本合同金额为（大写）：___________（_________元）人民币。</w:t>
      </w:r>
      <w:r/>
    </w:p>
    <w:p>
      <w:pPr>
        <w:ind w:firstLine="480"/>
        <w:spacing w:line="500" w:lineRule="exact"/>
        <w:tabs>
          <w:tab w:val="left" w:pos="6321" w:leader="none"/>
        </w:tabs>
        <w:rPr>
          <w:rFonts w:eastAsia="Arial"/>
          <w:color w:val="auto"/>
          <w:sz w:val="24"/>
          <w:szCs w:val="22"/>
          <w:highlight w:val="none"/>
          <w:lang w:val="zh-CN" w:eastAsia="zh-TW" w:bidi="zh-TW"/>
        </w:rPr>
      </w:pPr>
      <w:r>
        <w:rPr>
          <w:rFonts w:hint="eastAsia" w:ascii="宋体" w:hAnsi="宋体" w:cs="宋体"/>
          <w:color w:val="auto"/>
          <w:sz w:val="24"/>
          <w:szCs w:val="20"/>
          <w:highlight w:val="none"/>
          <w:lang w:bidi="zh-TW"/>
        </w:rPr>
        <w:t xml:space="preserve">2.2 </w:t>
      </w:r>
      <w:r>
        <w:rPr>
          <w:rFonts w:hint="eastAsia" w:ascii="宋体" w:hAnsi="宋体" w:cs="宋体"/>
          <w:bCs/>
          <w:color w:val="auto"/>
          <w:sz w:val="24"/>
          <w:highlight w:val="none"/>
          <w:lang w:bidi="zh-CN"/>
        </w:rPr>
        <w:t xml:space="preserve">本合同价款包含所有乙方提供合同约定服务的报酬、税费及乙方提供合同中服务所支出的必要费用，甲方在上述合同价款之外不再向乙方支付其他任何费用。</w:t>
      </w:r>
      <w:r/>
    </w:p>
    <w:p>
      <w:pPr>
        <w:ind w:firstLine="480"/>
        <w:jc w:val="left"/>
        <w:spacing w:line="560" w:lineRule="exact"/>
        <w:widowControl/>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三、技术资料</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3.1乙方应按</w:t>
      </w:r>
      <w:r>
        <w:rPr>
          <w:rFonts w:hint="eastAsia" w:ascii="宋体" w:hAnsi="宋体" w:cs="宋体"/>
          <w:color w:val="auto"/>
          <w:sz w:val="24"/>
          <w:szCs w:val="20"/>
          <w:highlight w:val="none"/>
          <w:lang w:eastAsia="zh-CN"/>
        </w:rPr>
        <w:t xml:space="preserve">磋商邀请文件</w:t>
      </w:r>
      <w:r>
        <w:rPr>
          <w:rFonts w:hint="eastAsia" w:ascii="宋体" w:hAnsi="宋体" w:cs="宋体"/>
          <w:color w:val="auto"/>
          <w:sz w:val="24"/>
          <w:szCs w:val="20"/>
          <w:highlight w:val="none"/>
        </w:rPr>
        <w:t xml:space="preserve">规定的时间向甲方提供与合同标的有关的技术资料。</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60" w:lineRule="exact"/>
        <w:widowControl/>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四、知识产权</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4.1乙方应保证甲方在使用、接受本合同标的或其任何一部分时不受第三方提出侵犯其专利权、版权、商标权和工业设计权等知识产权的起诉。一旦出现侵权，由乙方负全部责任，甲方因此承担责任的，有权向乙方全额追偿。</w:t>
      </w:r>
      <w:r/>
    </w:p>
    <w:p>
      <w:pPr>
        <w:ind w:firstLine="480"/>
        <w:jc w:val="left"/>
        <w:spacing w:line="560" w:lineRule="exact"/>
        <w:widowControl/>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五、产权担保</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5.1乙方保证所交付的合同标的的所有权完全属于乙方且无任何抵押、查封等产权瑕疵。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5.2乙方应保证</w:t>
      </w:r>
      <w:r>
        <w:rPr>
          <w:rFonts w:hint="eastAsia" w:ascii="宋体" w:hAnsi="宋体" w:cs="宋体"/>
          <w:bCs/>
          <w:color w:val="auto"/>
          <w:sz w:val="24"/>
          <w:highlight w:val="none"/>
          <w:lang w:bidi="zh-CN"/>
        </w:rPr>
        <w:t xml:space="preserve">甲方在使用、接受</w:t>
      </w:r>
      <w:r>
        <w:rPr>
          <w:rFonts w:hint="eastAsia" w:hAnsi="宋体"/>
          <w:color w:val="auto"/>
          <w:sz w:val="24"/>
          <w:highlight w:val="none"/>
        </w:rPr>
        <w:t xml:space="preserve">本合同服务（包含与服务相关的货物）或其任何一部分时</w:t>
      </w:r>
      <w:r>
        <w:rPr>
          <w:rFonts w:hint="eastAsia" w:ascii="宋体" w:hAnsi="宋体" w:cs="宋体"/>
          <w:bCs/>
          <w:color w:val="auto"/>
          <w:sz w:val="24"/>
          <w:highlight w:val="none"/>
          <w:lang w:bidi="zh-CN"/>
        </w:rPr>
        <w:t xml:space="preserve">均</w:t>
      </w:r>
      <w:r>
        <w:rPr>
          <w:rFonts w:hint="eastAsia" w:ascii="宋体" w:hAnsi="宋体" w:cs="宋体"/>
          <w:color w:val="auto"/>
          <w:sz w:val="24"/>
          <w:highlight w:val="none"/>
        </w:rPr>
        <w:t xml:space="preserve">不受任何第三方提出的侵犯其</w:t>
      </w:r>
      <w:r>
        <w:rPr>
          <w:rFonts w:hint="eastAsia" w:hAnsi="宋体"/>
          <w:color w:val="auto"/>
          <w:sz w:val="24"/>
          <w:highlight w:val="none"/>
        </w:rPr>
        <w:t xml:space="preserve">专利权、版权、商标权和工业设计权等</w:t>
      </w:r>
      <w:r>
        <w:rPr>
          <w:rFonts w:hint="eastAsia" w:ascii="宋体" w:hAnsi="宋体" w:cs="宋体"/>
          <w:color w:val="auto"/>
          <w:sz w:val="24"/>
          <w:highlight w:val="none"/>
        </w:rPr>
        <w:t xml:space="preserve">知识产权的起诉；如果任何第三方提出侵权指控，那么乙方须与该第三方交涉并承担由此发生的一切责任、费用和赔偿。</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5.3 本合同涉及技术成果的归属和收益归甲方所有。</w:t>
      </w:r>
      <w:r/>
    </w:p>
    <w:p>
      <w:pPr>
        <w:pStyle w:val="896"/>
        <w:rPr>
          <w:color w:val="auto"/>
          <w:highlight w:val="none"/>
        </w:rPr>
      </w:pPr>
      <w:r>
        <w:rPr>
          <w:color w:val="auto"/>
          <w:highlight w:val="none"/>
        </w:rPr>
      </w:r>
      <w:r/>
    </w:p>
    <w:p>
      <w:pPr>
        <w:ind w:firstLine="480"/>
        <w:jc w:val="left"/>
        <w:spacing w:line="560" w:lineRule="exact"/>
        <w:widowControl/>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六、履约保证金</w:t>
      </w:r>
      <w:r/>
    </w:p>
    <w:p>
      <w:pPr>
        <w:ind w:firstLine="480"/>
        <w:jc w:val="left"/>
        <w:spacing w:line="560" w:lineRule="exact"/>
        <w:widowControl/>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本项目无履约保证金</w:t>
      </w:r>
      <w:r/>
    </w:p>
    <w:p>
      <w:pPr>
        <w:ind w:firstLine="480"/>
        <w:jc w:val="left"/>
        <w:spacing w:line="560" w:lineRule="exact"/>
        <w:widowControl/>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七、合同转包或分包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7.1未经甲方书面同意，乙方不得转让本合同项下权利义务。未经甲方书面同意擅自转包或分包的，甲方有权解除本合同并对乙方已履行部分的工作量不予结算，同时有权要求乙方承担按照合同总金额20%计算的违约金，如违约金不足以弥补甲方损失的，乙方应补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7.2经甲方书面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0"/>
        <w:jc w:val="left"/>
        <w:spacing w:line="560" w:lineRule="exact"/>
        <w:widowControl/>
        <w:rPr>
          <w:rFonts w:hint="eastAsia" w:ascii="宋体" w:hAnsi="宋体" w:cs="宋体"/>
          <w:b/>
          <w:bCs/>
          <w:color w:val="auto"/>
          <w:sz w:val="24"/>
          <w:szCs w:val="20"/>
          <w:highlight w:val="none"/>
          <w:lang w:val="zh-CN" w:eastAsia="zh-TW"/>
        </w:rPr>
      </w:pPr>
      <w:r>
        <w:rPr>
          <w:rFonts w:hint="eastAsia" w:ascii="宋体" w:hAnsi="宋体" w:cs="宋体"/>
          <w:b/>
          <w:bCs/>
          <w:color w:val="auto"/>
          <w:sz w:val="24"/>
          <w:szCs w:val="20"/>
          <w:highlight w:val="none"/>
          <w:lang w:val="zh-CN" w:eastAsia="zh-TW"/>
        </w:rPr>
        <w:t xml:space="preserve">八、合同款项支付</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8.1合同款项的支付方式及进度安排</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8.1.1预付款支付时间：合同签订后，甲方收到预付款发票后1</w:t>
      </w:r>
      <w:r>
        <w:rPr>
          <w:rFonts w:ascii="宋体" w:hAnsi="宋体" w:cs="宋体"/>
          <w:color w:val="auto"/>
          <w:sz w:val="24"/>
          <w:szCs w:val="20"/>
          <w:highlight w:val="none"/>
        </w:rPr>
        <w:t xml:space="preserve">0</w:t>
      </w:r>
      <w:r>
        <w:rPr>
          <w:rFonts w:hint="eastAsia" w:ascii="宋体" w:hAnsi="宋体" w:cs="宋体"/>
          <w:color w:val="auto"/>
          <w:sz w:val="24"/>
          <w:szCs w:val="20"/>
          <w:highlight w:val="none"/>
        </w:rPr>
        <w:t xml:space="preserve">个工作日内，支付预付款，预付款支付比例：合同金额的50%。</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8.1.2尾款支付时间：项目验收合格后，甲方收到发票后1</w:t>
      </w:r>
      <w:r>
        <w:rPr>
          <w:rFonts w:ascii="宋体" w:hAnsi="宋体" w:cs="宋体"/>
          <w:color w:val="auto"/>
          <w:sz w:val="24"/>
          <w:szCs w:val="20"/>
          <w:highlight w:val="none"/>
        </w:rPr>
        <w:t xml:space="preserve">0</w:t>
      </w:r>
      <w:r>
        <w:rPr>
          <w:rFonts w:hint="eastAsia" w:ascii="宋体" w:hAnsi="宋体" w:cs="宋体"/>
          <w:color w:val="auto"/>
          <w:sz w:val="24"/>
          <w:szCs w:val="20"/>
          <w:highlight w:val="none"/>
        </w:rPr>
        <w:t xml:space="preserve">个工作日内，支付尾款，尾款支付比例：合同金额的50%。</w:t>
      </w:r>
      <w:r/>
    </w:p>
    <w:p>
      <w:pPr>
        <w:ind w:right="-53" w:firstLine="480"/>
        <w:spacing w:line="520" w:lineRule="exact"/>
        <w:rPr>
          <w:rFonts w:hint="eastAsia" w:ascii="宋体" w:hAnsi="宋体" w:cs="宋体"/>
          <w:bCs/>
          <w:color w:val="auto"/>
          <w:sz w:val="24"/>
          <w:highlight w:val="none"/>
          <w:lang w:bidi="zh-CN"/>
        </w:rPr>
      </w:pPr>
      <w:r>
        <w:rPr>
          <w:rFonts w:hint="eastAsia" w:ascii="宋体" w:hAnsi="宋体" w:cs="宋体"/>
          <w:bCs/>
          <w:color w:val="auto"/>
          <w:sz w:val="24"/>
          <w:highlight w:val="none"/>
          <w:lang w:bidi="zh-CN"/>
        </w:rPr>
        <w:t xml:space="preserve">以上付款均无银行利息，一律通过对公账户结转。付款之前乙方均应提供符合甲方要求的发票，因乙方迟延提供发票或提供发票不符合要求引起的延迟付款，甲方不承担责任。</w:t>
      </w:r>
      <w:r/>
    </w:p>
    <w:p>
      <w:pPr>
        <w:ind w:firstLine="480"/>
        <w:spacing w:line="44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40" w:leader="none"/>
          <w:tab w:val="left" w:pos="11760" w:leader="none"/>
          <w:tab w:val="left" w:pos="12180" w:leader="none"/>
          <w:tab w:val="left" w:pos="12600" w:leader="none"/>
          <w:tab w:val="left" w:pos="13020" w:leader="none"/>
          <w:tab w:val="left" w:pos="13440" w:leader="none"/>
          <w:tab w:val="left" w:pos="13860" w:leader="none"/>
          <w:tab w:val="left" w:pos="14280" w:leader="none"/>
          <w:tab w:val="left" w:pos="14700" w:leader="none"/>
          <w:tab w:val="left" w:pos="15120" w:leader="none"/>
          <w:tab w:val="left" w:pos="15540" w:leader="none"/>
          <w:tab w:val="left" w:pos="15960" w:leader="none"/>
          <w:tab w:val="left" w:pos="16380" w:leader="none"/>
          <w:tab w:val="left" w:pos="16800" w:leader="none"/>
        </w:tabs>
        <w:rPr>
          <w:rFonts w:hint="eastAsia" w:ascii="仿宋_GB2312" w:hAnsi="宋体"/>
          <w:color w:val="auto"/>
          <w:sz w:val="24"/>
          <w:highlight w:val="none"/>
        </w:rPr>
      </w:pPr>
      <w:r>
        <w:rPr>
          <w:rFonts w:hint="eastAsia" w:ascii="宋体" w:hAnsi="宋体" w:cs="宋体"/>
          <w:bCs/>
          <w:color w:val="auto"/>
          <w:sz w:val="24"/>
          <w:highlight w:val="none"/>
          <w:lang w:bidi="zh-CN"/>
        </w:rPr>
        <w:t xml:space="preserve">5.2 </w:t>
      </w:r>
      <w:r>
        <w:rPr>
          <w:rFonts w:hint="eastAsia" w:ascii="仿宋_GB2312" w:hAnsi="宋体"/>
          <w:color w:val="auto"/>
          <w:sz w:val="24"/>
          <w:highlight w:val="none"/>
        </w:rPr>
        <w:t xml:space="preserve">乙方账户信息：</w:t>
      </w:r>
      <w:r/>
    </w:p>
    <w:p>
      <w:pPr>
        <w:ind w:firstLine="480"/>
        <w:spacing w:line="440" w:lineRule="exact"/>
        <w:tabs>
          <w:tab w:val="left" w:pos="4275" w:leader="none"/>
          <w:tab w:val="left" w:pos="5760" w:leader="none"/>
          <w:tab w:val="left" w:pos="6020" w:leader="none"/>
          <w:tab w:val="left" w:pos="6300" w:leader="none"/>
        </w:tabs>
        <w:rPr>
          <w:rFonts w:hint="eastAsia" w:ascii="仿宋_GB2312" w:hAnsi="宋体"/>
          <w:color w:val="auto"/>
          <w:sz w:val="24"/>
          <w:highlight w:val="none"/>
        </w:rPr>
      </w:pPr>
      <w:r>
        <w:rPr>
          <w:rFonts w:hint="eastAsia" w:ascii="仿宋_GB2312" w:hAnsi="宋体"/>
          <w:color w:val="auto"/>
          <w:sz w:val="24"/>
          <w:highlight w:val="none"/>
        </w:rPr>
        <w:t xml:space="preserve">户  名：</w:t>
      </w:r>
      <w:r>
        <w:rPr>
          <w:rFonts w:hint="eastAsia" w:ascii="宋体" w:hAnsi="宋体" w:cs="宋体"/>
          <w:bCs/>
          <w:color w:val="auto"/>
          <w:sz w:val="24"/>
          <w:highlight w:val="none"/>
          <w:u w:val="single"/>
          <w:lang w:bidi="zh-CN"/>
        </w:rPr>
        <w:t xml:space="preserve">                                   </w:t>
      </w:r>
      <w:r/>
    </w:p>
    <w:p>
      <w:pPr>
        <w:ind w:firstLine="480"/>
        <w:spacing w:line="440" w:lineRule="exact"/>
        <w:rPr>
          <w:rFonts w:hint="eastAsia" w:ascii="仿宋_GB2312" w:hAnsi="宋体"/>
          <w:color w:val="auto"/>
          <w:sz w:val="24"/>
          <w:highlight w:val="none"/>
        </w:rPr>
      </w:pPr>
      <w:r>
        <w:rPr>
          <w:rFonts w:hint="eastAsia" w:ascii="仿宋_GB2312" w:hAnsi="宋体"/>
          <w:color w:val="auto"/>
          <w:sz w:val="24"/>
          <w:highlight w:val="none"/>
        </w:rPr>
        <w:t xml:space="preserve">开户行：</w:t>
      </w:r>
      <w:r>
        <w:rPr>
          <w:rFonts w:hint="eastAsia" w:ascii="宋体" w:hAnsi="宋体" w:cs="宋体"/>
          <w:bCs/>
          <w:color w:val="auto"/>
          <w:sz w:val="24"/>
          <w:highlight w:val="none"/>
          <w:u w:val="single"/>
          <w:lang w:bidi="zh-CN"/>
        </w:rPr>
        <w:t xml:space="preserve">                                   </w:t>
      </w:r>
      <w:r/>
    </w:p>
    <w:p>
      <w:pPr>
        <w:ind w:firstLine="480"/>
        <w:spacing w:line="440" w:lineRule="exact"/>
        <w:widowControl/>
        <w:rPr>
          <w:rFonts w:hint="eastAsia" w:ascii="宋体" w:hAnsi="宋体" w:cs="宋体"/>
          <w:color w:val="auto"/>
          <w:sz w:val="24"/>
          <w:szCs w:val="20"/>
          <w:highlight w:val="none"/>
        </w:rPr>
      </w:pPr>
      <w:r>
        <w:rPr>
          <w:rFonts w:hint="eastAsia" w:ascii="仿宋_GB2312" w:hAnsi="宋体"/>
          <w:color w:val="auto"/>
          <w:sz w:val="24"/>
          <w:highlight w:val="none"/>
        </w:rPr>
        <w:t xml:space="preserve">账  号：</w:t>
      </w:r>
      <w:r>
        <w:rPr>
          <w:rFonts w:hint="eastAsia" w:ascii="宋体" w:hAnsi="宋体" w:cs="宋体"/>
          <w:bCs/>
          <w:color w:val="auto"/>
          <w:sz w:val="24"/>
          <w:highlight w:val="none"/>
          <w:u w:val="single"/>
          <w:lang w:bidi="zh-CN"/>
        </w:rPr>
        <w:t xml:space="preserve">                                   </w:t>
      </w:r>
      <w:r/>
    </w:p>
    <w:p>
      <w:pPr>
        <w:ind w:firstLine="480"/>
        <w:jc w:val="left"/>
        <w:spacing w:line="560" w:lineRule="exact"/>
        <w:widowControl/>
        <w:rPr>
          <w:rFonts w:hint="eastAsia" w:ascii="宋体" w:hAnsi="宋体" w:cs="宋体"/>
          <w:b/>
          <w:bCs/>
          <w:color w:val="auto"/>
          <w:sz w:val="24"/>
          <w:szCs w:val="20"/>
          <w:highlight w:val="none"/>
          <w:lang w:val="zh-CN" w:eastAsia="zh-TW"/>
        </w:rPr>
      </w:pPr>
      <w:r>
        <w:rPr>
          <w:rFonts w:hint="eastAsia" w:ascii="宋体" w:hAnsi="宋体" w:cs="宋体"/>
          <w:b/>
          <w:bCs/>
          <w:color w:val="auto"/>
          <w:sz w:val="24"/>
          <w:szCs w:val="20"/>
          <w:highlight w:val="none"/>
          <w:lang w:val="zh-CN" w:eastAsia="zh-TW"/>
        </w:rPr>
        <w:t xml:space="preserve">九、税费</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9.1本合同执行中相关的一切税费均由乙方负担。</w:t>
      </w:r>
      <w:r/>
    </w:p>
    <w:p>
      <w:pPr>
        <w:ind w:right="-53" w:firstLine="482"/>
        <w:spacing w:line="520" w:lineRule="exact"/>
        <w:rPr>
          <w:rFonts w:hint="eastAsia" w:ascii="宋体" w:hAnsi="宋体" w:cs="宋体"/>
          <w:b/>
          <w:bCs/>
          <w:color w:val="auto"/>
          <w:sz w:val="24"/>
          <w:highlight w:val="none"/>
          <w:lang w:bidi="zh-CN"/>
        </w:rPr>
      </w:pPr>
      <w:r>
        <w:rPr>
          <w:rFonts w:hint="eastAsia" w:ascii="宋体" w:hAnsi="宋体" w:cs="宋体"/>
          <w:b/>
          <w:bCs/>
          <w:color w:val="auto"/>
          <w:sz w:val="24"/>
          <w:highlight w:val="none"/>
          <w:lang w:bidi="zh-CN"/>
        </w:rPr>
        <w:t xml:space="preserve">十、甲方权利义务</w:t>
      </w:r>
      <w:r/>
    </w:p>
    <w:p>
      <w:pPr>
        <w:ind w:right="-53" w:firstLine="480"/>
        <w:spacing w:line="520" w:lineRule="exact"/>
        <w:rPr>
          <w:rFonts w:hint="eastAsia" w:ascii="宋体" w:hAnsi="宋体" w:cs="宋体"/>
          <w:bCs/>
          <w:color w:val="auto"/>
          <w:sz w:val="24"/>
          <w:highlight w:val="none"/>
          <w:lang w:bidi="zh-CN"/>
        </w:rPr>
      </w:pPr>
      <w:r>
        <w:rPr>
          <w:rFonts w:hint="eastAsia" w:ascii="宋体" w:hAnsi="宋体" w:cs="宋体"/>
          <w:bCs/>
          <w:color w:val="auto"/>
          <w:sz w:val="24"/>
          <w:highlight w:val="none"/>
          <w:lang w:bidi="zh-CN"/>
        </w:rPr>
        <w:t xml:space="preserve">10.1 甲方应按照本合同及招标文件的约定提供本项目服务的必要条件与准备，并执行本合同及招标文件中约定的甲方应负责的其他相关工作。</w:t>
      </w:r>
      <w:r/>
    </w:p>
    <w:p>
      <w:pPr>
        <w:ind w:right="-53" w:firstLine="480"/>
        <w:spacing w:line="520" w:lineRule="exact"/>
        <w:rPr>
          <w:rFonts w:hint="eastAsia" w:ascii="宋体" w:hAnsi="宋体" w:cs="宋体"/>
          <w:bCs/>
          <w:color w:val="auto"/>
          <w:sz w:val="24"/>
          <w:highlight w:val="none"/>
          <w:lang w:bidi="zh-CN"/>
        </w:rPr>
      </w:pPr>
      <w:r>
        <w:rPr>
          <w:rFonts w:hint="eastAsia" w:ascii="宋体" w:hAnsi="宋体" w:cs="宋体"/>
          <w:bCs/>
          <w:color w:val="auto"/>
          <w:sz w:val="24"/>
          <w:highlight w:val="none"/>
          <w:lang w:bidi="zh-CN"/>
        </w:rPr>
        <w:t xml:space="preserve">10.2 甲方如发现乙方不完全履行协议义务，可根据履行的实际情况，有权拒绝继续支付费用</w:t>
      </w:r>
      <w:r>
        <w:rPr>
          <w:rFonts w:ascii="宋体" w:hAnsi="宋体" w:cs="宋体"/>
          <w:bCs/>
          <w:color w:val="auto"/>
          <w:sz w:val="24"/>
          <w:highlight w:val="none"/>
          <w:lang w:bidi="zh-CN"/>
        </w:rPr>
        <w:t xml:space="preserve">或</w:t>
      </w:r>
      <w:r>
        <w:rPr>
          <w:rFonts w:hint="eastAsia" w:ascii="宋体" w:hAnsi="宋体" w:cs="宋体"/>
          <w:bCs/>
          <w:color w:val="auto"/>
          <w:sz w:val="24"/>
          <w:highlight w:val="none"/>
          <w:lang w:bidi="zh-CN"/>
        </w:rPr>
        <w:t xml:space="preserve">追回已支付的服务费用。</w:t>
      </w:r>
      <w:r/>
    </w:p>
    <w:p>
      <w:pPr>
        <w:ind w:right="-53" w:firstLine="480"/>
        <w:spacing w:line="520" w:lineRule="exact"/>
        <w:rPr>
          <w:rFonts w:hint="eastAsia" w:ascii="宋体" w:hAnsi="宋体" w:cs="宋体"/>
          <w:bCs/>
          <w:color w:val="auto"/>
          <w:sz w:val="24"/>
          <w:highlight w:val="none"/>
          <w:lang w:bidi="zh-CN"/>
        </w:rPr>
      </w:pPr>
      <w:r>
        <w:rPr>
          <w:rFonts w:hint="eastAsia" w:ascii="宋体" w:hAnsi="宋体" w:cs="宋体"/>
          <w:bCs/>
          <w:color w:val="auto"/>
          <w:sz w:val="24"/>
          <w:highlight w:val="none"/>
          <w:lang w:bidi="zh-CN"/>
        </w:rPr>
        <w:t xml:space="preserve">10.3 甲方有权向有关部门投诉乙方违法违规行为。</w:t>
      </w:r>
      <w:r/>
    </w:p>
    <w:p>
      <w:pPr>
        <w:ind w:right="-53" w:firstLine="480"/>
        <w:spacing w:line="520" w:lineRule="exact"/>
        <w:rPr>
          <w:rFonts w:hint="eastAsia" w:ascii="宋体" w:hAnsi="宋体" w:cs="宋体"/>
          <w:b/>
          <w:bCs/>
          <w:color w:val="auto"/>
          <w:sz w:val="24"/>
          <w:highlight w:val="none"/>
          <w:lang w:bidi="zh-CN"/>
        </w:rPr>
      </w:pPr>
      <w:r>
        <w:rPr>
          <w:rFonts w:hint="eastAsia" w:ascii="宋体" w:hAnsi="宋体" w:cs="宋体"/>
          <w:bCs/>
          <w:color w:val="auto"/>
          <w:sz w:val="24"/>
          <w:highlight w:val="none"/>
          <w:lang w:bidi="zh-CN"/>
        </w:rPr>
        <w:t xml:space="preserve">10.4 甲方应当按照协议约定的时间和方式向乙方支付服务费用。</w:t>
      </w:r>
      <w:r/>
    </w:p>
    <w:p>
      <w:pPr>
        <w:ind w:right="-53" w:firstLine="482"/>
        <w:spacing w:line="520" w:lineRule="exact"/>
        <w:rPr>
          <w:rFonts w:hint="eastAsia" w:ascii="宋体" w:hAnsi="宋体" w:cs="宋体"/>
          <w:b/>
          <w:bCs/>
          <w:color w:val="auto"/>
          <w:sz w:val="24"/>
          <w:highlight w:val="none"/>
          <w:lang w:bidi="zh-CN"/>
        </w:rPr>
      </w:pPr>
      <w:r>
        <w:rPr>
          <w:rFonts w:hint="eastAsia" w:ascii="宋体" w:hAnsi="宋体" w:cs="宋体"/>
          <w:b/>
          <w:bCs/>
          <w:color w:val="auto"/>
          <w:sz w:val="24"/>
          <w:highlight w:val="none"/>
          <w:lang w:bidi="zh-CN"/>
        </w:rPr>
        <w:t xml:space="preserve">十一、乙方权利义务</w:t>
      </w:r>
      <w:r/>
    </w:p>
    <w:p>
      <w:pPr>
        <w:ind w:right="-53" w:firstLine="480"/>
        <w:spacing w:line="520" w:lineRule="exact"/>
        <w:rPr>
          <w:rFonts w:hint="eastAsia" w:ascii="宋体" w:hAnsi="宋体" w:cs="宋体"/>
          <w:bCs/>
          <w:color w:val="auto"/>
          <w:sz w:val="24"/>
          <w:highlight w:val="none"/>
          <w:lang w:bidi="zh-CN"/>
        </w:rPr>
      </w:pPr>
      <w:r>
        <w:rPr>
          <w:rFonts w:hint="eastAsia" w:ascii="宋体" w:hAnsi="宋体" w:cs="宋体"/>
          <w:bCs/>
          <w:color w:val="auto"/>
          <w:sz w:val="24"/>
          <w:highlight w:val="none"/>
          <w:lang w:bidi="zh-CN"/>
        </w:rPr>
        <w:t xml:space="preserve">11.1 乙方有权要求甲方按照本协议规定结清服务费用。</w:t>
      </w:r>
      <w:r/>
    </w:p>
    <w:p>
      <w:pPr>
        <w:ind w:right="-53" w:firstLine="480"/>
        <w:spacing w:line="520" w:lineRule="exact"/>
        <w:rPr>
          <w:rFonts w:hint="eastAsia" w:ascii="宋体" w:hAnsi="宋体" w:cs="宋体"/>
          <w:bCs/>
          <w:color w:val="auto"/>
          <w:sz w:val="24"/>
          <w:highlight w:val="none"/>
          <w:lang w:bidi="zh-CN"/>
        </w:rPr>
      </w:pPr>
      <w:r>
        <w:rPr>
          <w:rFonts w:hint="eastAsia" w:ascii="宋体" w:hAnsi="宋体" w:cs="宋体"/>
          <w:bCs/>
          <w:color w:val="auto"/>
          <w:sz w:val="24"/>
          <w:highlight w:val="none"/>
          <w:lang w:bidi="zh-CN"/>
        </w:rPr>
        <w:t xml:space="preserve">11.2 乙方有权要求甲方按照本合同及招标/询价文件（如有）的约定提供本项目服务的必要条件与准备。</w:t>
      </w:r>
      <w:r/>
    </w:p>
    <w:p>
      <w:pPr>
        <w:ind w:right="-53" w:firstLine="480"/>
        <w:spacing w:line="520" w:lineRule="exact"/>
        <w:rPr>
          <w:rFonts w:hint="eastAsia" w:ascii="宋体" w:hAnsi="宋体" w:cs="宋体"/>
          <w:bCs/>
          <w:color w:val="auto"/>
          <w:sz w:val="24"/>
          <w:highlight w:val="none"/>
          <w:lang w:bidi="zh-CN"/>
        </w:rPr>
      </w:pPr>
      <w:r>
        <w:rPr>
          <w:rFonts w:hint="eastAsia" w:ascii="宋体" w:hAnsi="宋体" w:cs="宋体"/>
          <w:bCs/>
          <w:color w:val="auto"/>
          <w:sz w:val="24"/>
          <w:highlight w:val="none"/>
          <w:lang w:bidi="zh-CN"/>
        </w:rPr>
        <w:t xml:space="preserve">11.3 乙方应严格遵循本合同及招标/询价文件（如有）的具体约定向甲方提供服务，做到勤勉尽职，及时、高效的履行职责。</w:t>
      </w:r>
      <w:r/>
    </w:p>
    <w:p>
      <w:pPr>
        <w:ind w:right="-53" w:firstLine="480"/>
        <w:spacing w:line="520" w:lineRule="exact"/>
        <w:rPr>
          <w:rFonts w:hint="eastAsia" w:ascii="宋体" w:hAnsi="宋体" w:cs="宋体"/>
          <w:bCs/>
          <w:color w:val="auto"/>
          <w:sz w:val="24"/>
          <w:highlight w:val="none"/>
          <w:lang w:bidi="zh-CN"/>
        </w:rPr>
      </w:pPr>
      <w:r>
        <w:rPr>
          <w:rFonts w:hint="eastAsia" w:ascii="宋体" w:hAnsi="宋体" w:cs="宋体"/>
          <w:bCs/>
          <w:color w:val="auto"/>
          <w:sz w:val="24"/>
          <w:highlight w:val="none"/>
          <w:lang w:bidi="zh-CN"/>
        </w:rPr>
        <w:t xml:space="preserve">11.4 乙方应根据本合同及招标/询价文件（如有）的要求安排相应的能胜任的专业人员，项目负责人为</w:t>
      </w:r>
      <w:r>
        <w:rPr>
          <w:rFonts w:hint="eastAsia" w:ascii="宋体" w:hAnsi="宋体" w:cs="宋体"/>
          <w:bCs/>
          <w:color w:val="auto"/>
          <w:sz w:val="24"/>
          <w:highlight w:val="none"/>
          <w:u w:val="single"/>
          <w:lang w:bidi="zh-CN"/>
        </w:rPr>
        <w:t xml:space="preserve">     </w:t>
      </w:r>
      <w:r>
        <w:rPr>
          <w:rFonts w:hint="eastAsia" w:ascii="宋体" w:hAnsi="宋体" w:cs="宋体"/>
          <w:bCs/>
          <w:color w:val="auto"/>
          <w:sz w:val="24"/>
          <w:highlight w:val="none"/>
          <w:lang w:bidi="zh-CN"/>
        </w:rPr>
        <w:t xml:space="preserve">，成员为</w:t>
      </w:r>
      <w:r>
        <w:rPr>
          <w:rFonts w:hint="eastAsia" w:ascii="宋体" w:hAnsi="宋体" w:cs="宋体"/>
          <w:bCs/>
          <w:color w:val="auto"/>
          <w:sz w:val="24"/>
          <w:highlight w:val="none"/>
          <w:u w:val="single"/>
          <w:lang w:bidi="zh-CN"/>
        </w:rPr>
        <w:t xml:space="preserve">   </w:t>
      </w:r>
      <w:r>
        <w:rPr>
          <w:rFonts w:hint="eastAsia" w:ascii="宋体" w:hAnsi="宋体" w:cs="宋体"/>
          <w:bCs/>
          <w:color w:val="auto"/>
          <w:sz w:val="24"/>
          <w:highlight w:val="none"/>
          <w:lang w:bidi="zh-CN"/>
        </w:rPr>
        <w:t xml:space="preserve">、</w:t>
      </w:r>
      <w:r>
        <w:rPr>
          <w:rFonts w:hint="eastAsia" w:ascii="宋体" w:hAnsi="宋体" w:cs="宋体"/>
          <w:bCs/>
          <w:color w:val="auto"/>
          <w:sz w:val="24"/>
          <w:highlight w:val="none"/>
          <w:u w:val="single"/>
          <w:lang w:bidi="zh-CN"/>
        </w:rPr>
        <w:t xml:space="preserve">   </w:t>
      </w:r>
      <w:r>
        <w:rPr>
          <w:rFonts w:hint="eastAsia" w:ascii="宋体" w:hAnsi="宋体" w:cs="宋体"/>
          <w:bCs/>
          <w:color w:val="auto"/>
          <w:sz w:val="24"/>
          <w:highlight w:val="none"/>
          <w:lang w:bidi="zh-CN"/>
        </w:rPr>
        <w:t xml:space="preserve">、</w:t>
      </w:r>
      <w:r>
        <w:rPr>
          <w:rFonts w:hint="eastAsia" w:ascii="宋体" w:hAnsi="宋体" w:cs="宋体"/>
          <w:bCs/>
          <w:color w:val="auto"/>
          <w:sz w:val="24"/>
          <w:highlight w:val="none"/>
          <w:u w:val="single"/>
          <w:lang w:bidi="zh-CN"/>
        </w:rPr>
        <w:t xml:space="preserve">    </w:t>
      </w:r>
      <w:r>
        <w:rPr>
          <w:rFonts w:hint="eastAsia" w:ascii="宋体" w:hAnsi="宋体" w:cs="宋体"/>
          <w:bCs/>
          <w:color w:val="auto"/>
          <w:sz w:val="24"/>
          <w:highlight w:val="none"/>
          <w:lang w:bidi="zh-CN"/>
        </w:rPr>
        <w:t xml:space="preserve">。在提供服务过程中，乙方保证其参加本项目的人员的相对稳定</w:t>
      </w:r>
      <w:r>
        <w:rPr>
          <w:rFonts w:ascii="宋体" w:hAnsi="宋体" w:cs="宋体"/>
          <w:bCs/>
          <w:color w:val="auto"/>
          <w:sz w:val="24"/>
          <w:highlight w:val="none"/>
          <w:lang w:bidi="zh-CN"/>
        </w:rPr>
        <w:t xml:space="preserve">，未经甲方书面许可擅自更换项目组</w:t>
      </w:r>
      <w:r>
        <w:rPr>
          <w:rFonts w:hint="eastAsia" w:ascii="宋体" w:hAnsi="宋体" w:cs="宋体"/>
          <w:bCs/>
          <w:color w:val="auto"/>
          <w:sz w:val="24"/>
          <w:highlight w:val="none"/>
          <w:lang w:bidi="zh-CN"/>
        </w:rPr>
        <w:t xml:space="preserve">人员</w:t>
      </w:r>
      <w:r>
        <w:rPr>
          <w:rFonts w:ascii="宋体" w:hAnsi="宋体" w:cs="宋体"/>
          <w:bCs/>
          <w:color w:val="auto"/>
          <w:sz w:val="24"/>
          <w:highlight w:val="none"/>
          <w:lang w:bidi="zh-CN"/>
        </w:rPr>
        <w:t xml:space="preserve">的</w:t>
      </w:r>
      <w:r>
        <w:rPr>
          <w:rFonts w:hint="eastAsia" w:ascii="宋体" w:hAnsi="宋体" w:cs="宋体"/>
          <w:bCs/>
          <w:color w:val="auto"/>
          <w:sz w:val="24"/>
          <w:highlight w:val="none"/>
          <w:lang w:bidi="zh-CN"/>
        </w:rPr>
        <w:t xml:space="preserve">，</w:t>
      </w:r>
      <w:r>
        <w:rPr>
          <w:rFonts w:ascii="宋体" w:hAnsi="宋体" w:cs="宋体"/>
          <w:bCs/>
          <w:color w:val="auto"/>
          <w:sz w:val="24"/>
          <w:highlight w:val="none"/>
          <w:lang w:bidi="zh-CN"/>
        </w:rPr>
        <w:t xml:space="preserve">每有一次，乙方须向甲方承担按照合同总金额10%计算的违约金，</w:t>
      </w:r>
      <w:r>
        <w:rPr>
          <w:rFonts w:hint="eastAsia" w:ascii="宋体" w:hAnsi="宋体" w:cs="宋体"/>
          <w:bCs/>
          <w:color w:val="auto"/>
          <w:sz w:val="24"/>
          <w:highlight w:val="none"/>
          <w:lang w:bidi="zh-CN"/>
        </w:rPr>
        <w:t xml:space="preserve">但因人员离职原因而导致的必要的人员调整不受此保证的限制。</w:t>
      </w:r>
      <w:r/>
    </w:p>
    <w:p>
      <w:pPr>
        <w:ind w:right="-53" w:firstLine="480"/>
        <w:spacing w:line="520" w:lineRule="exact"/>
        <w:rPr>
          <w:rFonts w:hint="eastAsia" w:ascii="宋体" w:hAnsi="宋体" w:cs="宋体"/>
          <w:bCs/>
          <w:color w:val="auto"/>
          <w:sz w:val="24"/>
          <w:highlight w:val="none"/>
          <w:lang w:bidi="zh-CN"/>
        </w:rPr>
      </w:pPr>
      <w:r>
        <w:rPr>
          <w:rFonts w:hint="eastAsia" w:ascii="宋体" w:hAnsi="宋体" w:cs="宋体"/>
          <w:bCs/>
          <w:color w:val="auto"/>
          <w:sz w:val="24"/>
          <w:highlight w:val="none"/>
          <w:lang w:bidi="zh-CN"/>
        </w:rPr>
        <w:t xml:space="preserve">11.5 乙方在履行本合同过程中获悉的甲方相关材料及商业秘密等负有保密责任。未经甲方书面许可，乙方不得向任何其他方披露甲方有关文件和信息，乙方承诺由甲方提供给乙方的物品、资料、文件、讯息及数据(以下简称“物品和资料”)等为甲方所有财产,乙方承担保密义务，并在本协议终止时,乙方应将前述物品和资料完整归还甲方，并不得复制留存。</w:t>
      </w:r>
      <w:r/>
    </w:p>
    <w:p>
      <w:pPr>
        <w:ind w:right="-53" w:firstLine="480"/>
        <w:spacing w:line="520" w:lineRule="exact"/>
        <w:rPr>
          <w:rFonts w:hint="eastAsia" w:ascii="宋体" w:hAnsi="宋体" w:cs="宋体"/>
          <w:bCs/>
          <w:color w:val="auto"/>
          <w:sz w:val="24"/>
          <w:highlight w:val="none"/>
          <w:lang w:bidi="zh-CN"/>
        </w:rPr>
      </w:pPr>
      <w:r>
        <w:rPr>
          <w:rFonts w:hint="eastAsia" w:ascii="宋体" w:hAnsi="宋体" w:cs="宋体"/>
          <w:bCs/>
          <w:color w:val="auto"/>
          <w:sz w:val="24"/>
          <w:highlight w:val="none"/>
          <w:lang w:bidi="zh-CN"/>
        </w:rPr>
        <w:t xml:space="preserve">11.6 乙方应自行完成本合同项下义务，未经甲方书面同意，不得将本合同项下全部或者部分义务转包、分包给第三人。</w:t>
      </w:r>
      <w:r/>
    </w:p>
    <w:p>
      <w:pPr>
        <w:ind w:firstLine="482"/>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十二、 安全事故、第三方矛盾</w:t>
      </w:r>
      <w:r/>
    </w:p>
    <w:p>
      <w:pPr>
        <w:ind w:firstLine="480"/>
        <w:jc w:val="left"/>
        <w:spacing w:line="500" w:lineRule="exact"/>
        <w:widowControl/>
        <w:rPr>
          <w:rFonts w:hint="eastAsia" w:ascii="宋体" w:hAnsi="宋体" w:cs="宋体"/>
          <w:b/>
          <w:bCs/>
          <w:color w:val="auto"/>
          <w:sz w:val="24"/>
          <w:szCs w:val="20"/>
          <w:highlight w:val="none"/>
          <w:lang w:val="zh-CN" w:eastAsia="zh-TW"/>
        </w:rPr>
      </w:pPr>
      <w:r>
        <w:rPr>
          <w:rFonts w:hint="eastAsia" w:ascii="宋体" w:hAnsi="宋体" w:cs="宋体"/>
          <w:color w:val="auto"/>
          <w:sz w:val="24"/>
          <w:highlight w:val="none"/>
        </w:rPr>
        <w:t xml:space="preserve">乙方必须完全按照国家法律法规、甲方招标文件的要求、乙方投标（响应）文件承诺等相关要求履行合同。乙方</w:t>
      </w:r>
      <w:r>
        <w:rPr>
          <w:rFonts w:hint="eastAsia" w:ascii="宋体" w:hAnsi="宋体" w:cs="宋体"/>
          <w:color w:val="auto"/>
          <w:sz w:val="24"/>
          <w:highlight w:val="none"/>
          <w:lang w:bidi="zh-CN"/>
        </w:rPr>
        <w:t xml:space="preserve">在履行本合同项下权利义务过程中，应采取安全防护措施和环境条件控制，使之符合相关法律法规、规范和标准要求，乙方、乙方人员的一切安全责任（包括但不限于人身、财产安全）及乙方或乙方人员对其他任意第三人造成的人身、财产等方面的损害，均由乙方自行承担相关经济、法律责任，与甲方无关。</w:t>
      </w:r>
      <w:r/>
    </w:p>
    <w:p>
      <w:pPr>
        <w:ind w:firstLine="480"/>
        <w:jc w:val="left"/>
        <w:spacing w:line="560" w:lineRule="exact"/>
        <w:widowControl/>
        <w:rPr>
          <w:rFonts w:hint="eastAsia" w:ascii="宋体" w:hAnsi="宋体" w:cs="宋体"/>
          <w:b/>
          <w:bCs/>
          <w:color w:val="auto"/>
          <w:sz w:val="24"/>
          <w:szCs w:val="20"/>
          <w:highlight w:val="none"/>
          <w:lang w:val="zh-CN" w:eastAsia="zh-TW"/>
        </w:rPr>
      </w:pPr>
      <w:r>
        <w:rPr>
          <w:rFonts w:hint="eastAsia" w:ascii="宋体" w:hAnsi="宋体" w:cs="宋体"/>
          <w:b/>
          <w:bCs/>
          <w:color w:val="auto"/>
          <w:sz w:val="24"/>
          <w:szCs w:val="20"/>
          <w:highlight w:val="none"/>
          <w:lang w:val="zh-CN" w:eastAsia="zh-TW"/>
        </w:rPr>
        <w:t xml:space="preserve">十</w:t>
      </w:r>
      <w:r>
        <w:rPr>
          <w:rFonts w:hint="eastAsia" w:ascii="宋体" w:hAnsi="宋体" w:cs="宋体"/>
          <w:b/>
          <w:bCs/>
          <w:color w:val="auto"/>
          <w:sz w:val="24"/>
          <w:szCs w:val="20"/>
          <w:highlight w:val="none"/>
        </w:rPr>
        <w:t xml:space="preserve">三</w:t>
      </w:r>
      <w:r>
        <w:rPr>
          <w:rFonts w:hint="eastAsia" w:ascii="宋体" w:hAnsi="宋体" w:cs="宋体"/>
          <w:b/>
          <w:bCs/>
          <w:color w:val="auto"/>
          <w:sz w:val="24"/>
          <w:szCs w:val="20"/>
          <w:highlight w:val="none"/>
          <w:lang w:val="zh-CN" w:eastAsia="zh-TW"/>
        </w:rPr>
        <w:t xml:space="preserve">、项目验收</w:t>
      </w:r>
      <w:r/>
    </w:p>
    <w:p>
      <w:pPr>
        <w:ind w:firstLine="480"/>
        <w:jc w:val="left"/>
        <w:spacing w:line="560" w:lineRule="exact"/>
        <w:widowControl/>
        <w:rPr>
          <w:rFonts w:hint="eastAsia" w:ascii="宋体" w:hAnsi="宋体" w:cs="宋体"/>
          <w:color w:val="auto"/>
          <w:sz w:val="24"/>
          <w:szCs w:val="20"/>
          <w:highlight w:val="none"/>
        </w:rPr>
      </w:pPr>
      <w:r>
        <w:rPr>
          <w:rFonts w:hint="eastAsia"/>
          <w:color w:val="auto"/>
          <w:sz w:val="24"/>
          <w:szCs w:val="22"/>
          <w:highlight w:val="none"/>
          <w:lang w:bidi="zh-TW"/>
        </w:rPr>
        <w:t xml:space="preserve">13</w:t>
      </w:r>
      <w:r>
        <w:rPr>
          <w:rFonts w:hint="eastAsia" w:ascii="宋体" w:hAnsi="宋体" w:cs="宋体"/>
          <w:color w:val="auto"/>
          <w:sz w:val="24"/>
          <w:szCs w:val="20"/>
          <w:highlight w:val="none"/>
        </w:rPr>
        <w:t xml:space="preserve">.1甲方依法组织履约验收工作。</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13.2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13.3对于实际使用人和甲方分离的项目，甲方邀请实际使用人参与验收。</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13.4如有必要，甲方邀请参加本项目的其他供应商或第三方专业机构及专家参与验收，相关意见将作为验收书的参考资料。</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13.5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60" w:lineRule="exact"/>
        <w:widowControl/>
        <w:rPr>
          <w:rFonts w:hint="eastAsia" w:ascii="宋体" w:hAnsi="宋体" w:cs="宋体"/>
          <w:b/>
          <w:bCs/>
          <w:color w:val="auto"/>
          <w:sz w:val="24"/>
          <w:szCs w:val="20"/>
          <w:highlight w:val="none"/>
          <w:lang w:val="zh-CN" w:eastAsia="zh-TW"/>
        </w:rPr>
      </w:pPr>
      <w:r>
        <w:rPr>
          <w:rFonts w:hint="eastAsia" w:ascii="宋体" w:hAnsi="宋体" w:cs="宋体"/>
          <w:color w:val="auto"/>
          <w:sz w:val="24"/>
          <w:szCs w:val="20"/>
          <w:highlight w:val="none"/>
        </w:rPr>
        <w:t xml:space="preserve">13.6验收合格的项目,甲方根据采购合同的约定及时向乙方支付合同款项。验收不合格的项目，甲方</w:t>
      </w:r>
      <w:r>
        <w:rPr>
          <w:rFonts w:hint="eastAsia" w:ascii="宋体" w:hAnsi="宋体" w:cs="宋体"/>
          <w:color w:val="auto"/>
          <w:sz w:val="24"/>
          <w:szCs w:val="20"/>
          <w:highlight w:val="none"/>
          <w:lang w:val="en-US" w:eastAsia="zh-CN"/>
        </w:rPr>
        <w:t xml:space="preserve">要求乙方按照需求调整到合格为止</w:t>
      </w:r>
      <w:r>
        <w:rPr>
          <w:rFonts w:hint="eastAsia" w:ascii="宋体" w:hAnsi="宋体" w:cs="宋体"/>
          <w:color w:val="auto"/>
          <w:sz w:val="24"/>
          <w:szCs w:val="20"/>
          <w:highlight w:val="none"/>
        </w:rPr>
        <w:t xml:space="preserve">。采购合同的履行、违约责任和解决争议的方式等适用《民法典》。乙方在履约过程中有政府采购法律法规规定的违法违规情形的,甲方将及时报告本级财政部门。</w:t>
      </w:r>
      <w:r/>
    </w:p>
    <w:p>
      <w:pPr>
        <w:ind w:firstLine="480"/>
        <w:jc w:val="left"/>
        <w:spacing w:line="560" w:lineRule="exact"/>
        <w:widowControl/>
        <w:rPr>
          <w:rFonts w:hint="eastAsia" w:ascii="宋体" w:hAnsi="宋体" w:cs="宋体"/>
          <w:b/>
          <w:bCs/>
          <w:color w:val="auto"/>
          <w:sz w:val="24"/>
          <w:szCs w:val="20"/>
          <w:highlight w:val="none"/>
          <w:lang w:val="zh-CN" w:eastAsia="zh-TW"/>
        </w:rPr>
      </w:pPr>
      <w:r>
        <w:rPr>
          <w:rFonts w:hint="eastAsia" w:ascii="宋体" w:hAnsi="宋体" w:cs="宋体"/>
          <w:b/>
          <w:bCs/>
          <w:color w:val="auto"/>
          <w:sz w:val="24"/>
          <w:szCs w:val="20"/>
          <w:highlight w:val="none"/>
          <w:lang w:val="zh-CN" w:eastAsia="zh-TW"/>
        </w:rPr>
        <w:t xml:space="preserve">十</w:t>
      </w:r>
      <w:r>
        <w:rPr>
          <w:rFonts w:hint="eastAsia" w:ascii="宋体" w:hAnsi="宋体" w:cs="宋体"/>
          <w:b/>
          <w:bCs/>
          <w:color w:val="auto"/>
          <w:sz w:val="24"/>
          <w:szCs w:val="20"/>
          <w:highlight w:val="none"/>
        </w:rPr>
        <w:t xml:space="preserve">四</w:t>
      </w:r>
      <w:r>
        <w:rPr>
          <w:rFonts w:hint="eastAsia" w:ascii="宋体" w:hAnsi="宋体" w:cs="宋体"/>
          <w:b/>
          <w:bCs/>
          <w:color w:val="auto"/>
          <w:sz w:val="24"/>
          <w:szCs w:val="20"/>
          <w:highlight w:val="none"/>
          <w:lang w:val="zh-CN" w:eastAsia="zh-TW"/>
        </w:rPr>
        <w:t xml:space="preserve">、违约责任</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14.1甲方无正当理由拒绝接受乙方提供的合同标的的，甲方向乙方偿付拒绝接受合同价款总值百分之五的违约金。</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14.2甲方无故逾期验收和办理合同款项支付手续的，甲方应按逾期付款总额每日万分之五向乙方支付违约金。</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14.3乙方逾期交付合同标的的，乙方应按逾期交付合同总额每日</w:t>
      </w:r>
      <w:r>
        <w:rPr>
          <w:rFonts w:hint="eastAsia" w:ascii="宋体" w:hAnsi="宋体" w:cs="宋体"/>
          <w:color w:val="auto"/>
          <w:sz w:val="24"/>
          <w:szCs w:val="20"/>
          <w:highlight w:val="none"/>
          <w:lang w:val="en-US" w:eastAsia="zh-CN"/>
        </w:rPr>
        <w:t xml:space="preserve">万分之五</w:t>
      </w:r>
      <w:r>
        <w:rPr>
          <w:rFonts w:hint="eastAsia" w:ascii="宋体" w:hAnsi="宋体" w:cs="宋体"/>
          <w:color w:val="auto"/>
          <w:sz w:val="24"/>
          <w:szCs w:val="20"/>
          <w:highlight w:val="none"/>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5%的违约金，如造成甲方损失超过违约金的，超出部分由乙方继续承担赔偿责任。</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14.4乙方交付合同标的的标准不符合合同规定及</w:t>
      </w:r>
      <w:r>
        <w:rPr>
          <w:rFonts w:hint="eastAsia" w:ascii="宋体" w:hAnsi="宋体" w:cs="宋体"/>
          <w:color w:val="auto"/>
          <w:sz w:val="24"/>
          <w:szCs w:val="20"/>
          <w:highlight w:val="none"/>
          <w:lang w:eastAsia="zh-CN"/>
        </w:rPr>
        <w:t xml:space="preserve">磋商邀请文件</w:t>
      </w:r>
      <w:r>
        <w:rPr>
          <w:rFonts w:hint="eastAsia" w:ascii="宋体" w:hAnsi="宋体" w:cs="宋体"/>
          <w:color w:val="auto"/>
          <w:sz w:val="24"/>
          <w:szCs w:val="20"/>
          <w:highlight w:val="none"/>
        </w:rPr>
        <w:t xml:space="preserve">规定标准的，甲方有权拒绝接受合同标的，并可单方面解除合同，同时乙方应向甲方支付合同价款总额5%的违约金，如造成甲方损失超过违约金的，超出部分由乙方继续承担赔偿责任。</w:t>
      </w:r>
      <w:r/>
    </w:p>
    <w:p>
      <w:pPr>
        <w:ind w:firstLine="480"/>
        <w:jc w:val="left"/>
        <w:spacing w:line="560" w:lineRule="exact"/>
        <w:widowControl/>
        <w:rPr>
          <w:rFonts w:hint="eastAsia" w:ascii="宋体" w:hAnsi="宋体" w:cs="宋体"/>
          <w:b/>
          <w:bCs/>
          <w:color w:val="auto"/>
          <w:sz w:val="24"/>
          <w:szCs w:val="20"/>
          <w:highlight w:val="none"/>
          <w:lang w:val="zh-CN" w:eastAsia="zh-TW"/>
        </w:rPr>
      </w:pPr>
      <w:r>
        <w:rPr>
          <w:rFonts w:hint="eastAsia" w:ascii="宋体" w:hAnsi="宋体" w:cs="宋体"/>
          <w:b/>
          <w:bCs/>
          <w:color w:val="auto"/>
          <w:sz w:val="24"/>
          <w:szCs w:val="20"/>
          <w:highlight w:val="none"/>
        </w:rPr>
        <w:t xml:space="preserve">十五</w:t>
      </w:r>
      <w:r>
        <w:rPr>
          <w:rFonts w:hint="eastAsia" w:ascii="宋体" w:hAnsi="宋体" w:cs="宋体"/>
          <w:b/>
          <w:bCs/>
          <w:color w:val="auto"/>
          <w:sz w:val="24"/>
          <w:szCs w:val="20"/>
          <w:highlight w:val="none"/>
          <w:lang w:val="zh-CN" w:eastAsia="zh-TW"/>
        </w:rPr>
        <w:t xml:space="preserve">、不可抗力事件处理</w:t>
      </w:r>
      <w:r/>
    </w:p>
    <w:p>
      <w:pPr>
        <w:ind w:firstLine="480"/>
        <w:jc w:val="left"/>
        <w:spacing w:line="560" w:lineRule="exact"/>
        <w:widowControl/>
        <w:rPr>
          <w:rFonts w:hint="eastAsia" w:ascii="宋体" w:hAnsi="宋体" w:cs="宋体"/>
          <w:color w:val="auto"/>
          <w:sz w:val="24"/>
          <w:szCs w:val="20"/>
          <w:highlight w:val="none"/>
        </w:rPr>
      </w:pPr>
      <w:r>
        <w:rPr>
          <w:rFonts w:hint="eastAsia"/>
          <w:color w:val="auto"/>
          <w:sz w:val="24"/>
          <w:szCs w:val="22"/>
          <w:highlight w:val="none"/>
          <w:lang w:bidi="zh-TW"/>
        </w:rPr>
        <w:t xml:space="preserve">15</w:t>
      </w:r>
      <w:r>
        <w:rPr>
          <w:rFonts w:hint="eastAsia" w:ascii="宋体" w:hAnsi="宋体" w:cs="宋体"/>
          <w:color w:val="auto"/>
          <w:sz w:val="24"/>
          <w:szCs w:val="20"/>
          <w:highlight w:val="none"/>
        </w:rPr>
        <w:t xml:space="preserve">.1在合同有效期内，任何一方因不可抗力事件导致不能履行合同，则合同履行期可延长，其延长期与不可抗力影响期相同。</w:t>
      </w:r>
      <w:r/>
    </w:p>
    <w:p>
      <w:pPr>
        <w:ind w:firstLine="480"/>
        <w:jc w:val="left"/>
        <w:spacing w:line="560" w:lineRule="exact"/>
        <w:widowControl/>
        <w:rPr>
          <w:rFonts w:hint="eastAsia" w:ascii="宋体" w:hAnsi="宋体" w:cs="宋体"/>
          <w:color w:val="auto"/>
          <w:sz w:val="24"/>
          <w:szCs w:val="20"/>
          <w:highlight w:val="none"/>
        </w:rPr>
      </w:pPr>
      <w:r>
        <w:rPr>
          <w:rFonts w:hint="eastAsia"/>
          <w:color w:val="auto"/>
          <w:sz w:val="24"/>
          <w:szCs w:val="22"/>
          <w:highlight w:val="none"/>
          <w:lang w:bidi="zh-TW"/>
        </w:rPr>
        <w:t xml:space="preserve">15</w:t>
      </w:r>
      <w:r>
        <w:rPr>
          <w:rFonts w:hint="eastAsia" w:ascii="宋体" w:hAnsi="宋体" w:cs="宋体"/>
          <w:color w:val="auto"/>
          <w:sz w:val="24"/>
          <w:szCs w:val="20"/>
          <w:highlight w:val="none"/>
        </w:rPr>
        <w:t xml:space="preserve">.2不可抗力事件发生后，应立即通知对方，并寄送有关权威机构出具的证明。</w:t>
      </w:r>
      <w:r/>
    </w:p>
    <w:p>
      <w:pPr>
        <w:ind w:firstLine="480"/>
        <w:jc w:val="left"/>
        <w:spacing w:line="560" w:lineRule="exact"/>
        <w:widowControl/>
        <w:rPr>
          <w:rFonts w:hint="eastAsia" w:ascii="宋体" w:hAnsi="宋体" w:cs="宋体"/>
          <w:color w:val="auto"/>
          <w:sz w:val="24"/>
          <w:szCs w:val="20"/>
          <w:highlight w:val="none"/>
        </w:rPr>
      </w:pPr>
      <w:r>
        <w:rPr>
          <w:rFonts w:hint="eastAsia"/>
          <w:color w:val="auto"/>
          <w:sz w:val="24"/>
          <w:szCs w:val="22"/>
          <w:highlight w:val="none"/>
          <w:lang w:bidi="zh-TW"/>
        </w:rPr>
        <w:t xml:space="preserve">15</w:t>
      </w:r>
      <w:r>
        <w:rPr>
          <w:rFonts w:hint="eastAsia" w:ascii="宋体" w:hAnsi="宋体" w:cs="宋体"/>
          <w:color w:val="auto"/>
          <w:sz w:val="24"/>
          <w:szCs w:val="20"/>
          <w:highlight w:val="none"/>
        </w:rPr>
        <w:t xml:space="preserve">.3不可抗力事件延续120天以上，双方应通过友好协商，确定是否继续履行合同。</w:t>
      </w:r>
      <w:r/>
    </w:p>
    <w:p>
      <w:pPr>
        <w:ind w:firstLine="480"/>
        <w:jc w:val="left"/>
        <w:spacing w:line="560" w:lineRule="exact"/>
        <w:widowControl/>
        <w:rPr>
          <w:rFonts w:hint="eastAsia" w:ascii="宋体" w:hAnsi="宋体" w:cs="宋体"/>
          <w:b/>
          <w:bCs/>
          <w:color w:val="auto"/>
          <w:sz w:val="24"/>
          <w:szCs w:val="20"/>
          <w:highlight w:val="none"/>
          <w:lang w:val="zh-CN" w:eastAsia="zh-TW"/>
        </w:rPr>
      </w:pPr>
      <w:r>
        <w:rPr>
          <w:rFonts w:hint="eastAsia" w:ascii="宋体" w:hAnsi="宋体" w:cs="宋体"/>
          <w:b/>
          <w:bCs/>
          <w:color w:val="auto"/>
          <w:sz w:val="24"/>
          <w:szCs w:val="20"/>
          <w:highlight w:val="none"/>
        </w:rPr>
        <w:t xml:space="preserve">十六</w:t>
      </w:r>
      <w:r>
        <w:rPr>
          <w:rFonts w:hint="eastAsia" w:ascii="宋体" w:hAnsi="宋体" w:cs="宋体"/>
          <w:b/>
          <w:bCs/>
          <w:color w:val="auto"/>
          <w:sz w:val="24"/>
          <w:szCs w:val="20"/>
          <w:highlight w:val="none"/>
          <w:lang w:val="zh-CN" w:eastAsia="zh-TW"/>
        </w:rPr>
        <w:t xml:space="preserve">、解决争议的方法</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1双方在签订、履行合同中所发生的一切争议，应通过友好协商解决。如协商不成，由甲方住所地人民法院管辖。</w:t>
      </w:r>
      <w:r/>
    </w:p>
    <w:p>
      <w:pPr>
        <w:ind w:firstLine="480"/>
        <w:jc w:val="left"/>
        <w:spacing w:line="560" w:lineRule="exact"/>
        <w:widowControl/>
        <w:rPr>
          <w:rFonts w:hint="eastAsia" w:ascii="宋体" w:hAnsi="宋体" w:cs="宋体"/>
          <w:b/>
          <w:bCs/>
          <w:color w:val="auto"/>
          <w:sz w:val="24"/>
          <w:szCs w:val="20"/>
          <w:highlight w:val="none"/>
          <w:lang w:val="zh-CN" w:eastAsia="zh-TW"/>
        </w:rPr>
      </w:pPr>
      <w:r>
        <w:rPr>
          <w:rFonts w:hint="eastAsia" w:ascii="宋体" w:hAnsi="宋体" w:cs="宋体"/>
          <w:b/>
          <w:bCs/>
          <w:color w:val="auto"/>
          <w:sz w:val="24"/>
          <w:szCs w:val="20"/>
          <w:highlight w:val="none"/>
        </w:rPr>
        <w:t xml:space="preserve">十七</w:t>
      </w:r>
      <w:r>
        <w:rPr>
          <w:rFonts w:hint="eastAsia" w:ascii="宋体" w:hAnsi="宋体" w:cs="宋体"/>
          <w:b/>
          <w:bCs/>
          <w:color w:val="auto"/>
          <w:sz w:val="24"/>
          <w:szCs w:val="20"/>
          <w:highlight w:val="none"/>
          <w:lang w:val="zh-CN" w:eastAsia="zh-TW"/>
        </w:rPr>
        <w:t xml:space="preserve">、合同生效及其它</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17.1合同经双方法定代表人或授权委托代表人签字并加盖单位公章后生效。</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17.2本合同未尽事宜，遵照《</w:t>
      </w:r>
      <w:r>
        <w:rPr>
          <w:rFonts w:hint="eastAsia" w:ascii="宋体" w:hAnsi="宋体" w:cs="宋体"/>
          <w:color w:val="auto"/>
          <w:sz w:val="24"/>
          <w:szCs w:val="20"/>
          <w:highlight w:val="none"/>
          <w:lang w:val="en-US" w:eastAsia="zh-CN"/>
        </w:rPr>
        <w:t xml:space="preserve">中华人民共和国</w:t>
      </w:r>
      <w:r>
        <w:rPr>
          <w:rFonts w:hint="eastAsia" w:ascii="宋体" w:hAnsi="宋体" w:cs="宋体"/>
          <w:color w:val="auto"/>
          <w:sz w:val="24"/>
          <w:szCs w:val="20"/>
          <w:highlight w:val="none"/>
        </w:rPr>
        <w:t xml:space="preserve">民法典》《</w:t>
      </w:r>
      <w:r>
        <w:rPr>
          <w:rFonts w:hint="eastAsia" w:ascii="宋体" w:hAnsi="宋体" w:cs="宋体"/>
          <w:color w:val="auto"/>
          <w:sz w:val="24"/>
          <w:szCs w:val="20"/>
          <w:highlight w:val="none"/>
          <w:lang w:val="en-US" w:eastAsia="zh-CN"/>
        </w:rPr>
        <w:t xml:space="preserve">中华人民共和国</w:t>
      </w:r>
      <w:r>
        <w:rPr>
          <w:rFonts w:hint="eastAsia" w:ascii="宋体" w:hAnsi="宋体" w:cs="宋体"/>
          <w:color w:val="auto"/>
          <w:sz w:val="24"/>
          <w:szCs w:val="20"/>
          <w:highlight w:val="none"/>
        </w:rPr>
        <w:t xml:space="preserve">政府采购法》有关条文执行。</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17.3本合同一式陆份，具有同等法律效力，甲方、乙方各执份。</w:t>
      </w:r>
      <w:r/>
    </w:p>
    <w:p>
      <w:pPr>
        <w:ind w:firstLine="480"/>
        <w:jc w:val="left"/>
        <w:spacing w:line="560" w:lineRule="exact"/>
        <w:widowControl/>
        <w:rPr>
          <w:color w:val="auto"/>
          <w:sz w:val="24"/>
          <w:szCs w:val="22"/>
          <w:highlight w:val="none"/>
          <w:lang w:bidi="zh-TW"/>
        </w:rPr>
      </w:pPr>
      <w:r>
        <w:rPr>
          <w:rFonts w:hint="eastAsia" w:eastAsia="Arial"/>
          <w:color w:val="auto"/>
          <w:sz w:val="24"/>
          <w:szCs w:val="22"/>
          <w:highlight w:val="none"/>
          <w:lang w:bidi="zh-TW"/>
        </w:rPr>
        <w:t xml:space="preserve"> </w:t>
      </w:r>
      <w:r>
        <w:rPr>
          <w:rFonts w:hint="eastAsia" w:ascii="宋体" w:hAnsi="宋体" w:cs="宋体"/>
          <w:color w:val="auto"/>
          <w:sz w:val="24"/>
          <w:szCs w:val="20"/>
          <w:highlight w:val="none"/>
        </w:rPr>
        <w:t xml:space="preserve">甲方</w:t>
      </w:r>
      <w:r>
        <w:rPr>
          <w:rFonts w:hint="eastAsia" w:ascii="微软雅黑" w:hAnsi="微软雅黑" w:eastAsia="微软雅黑" w:cs="微软雅黑"/>
          <w:color w:val="auto"/>
          <w:sz w:val="24"/>
          <w:szCs w:val="22"/>
          <w:highlight w:val="none"/>
          <w:lang w:bidi="zh-TW"/>
        </w:rPr>
        <w:t xml:space="preserve">：</w:t>
      </w:r>
      <w:r>
        <w:rPr>
          <w:rFonts w:hint="eastAsia" w:eastAsia="Arial"/>
          <w:color w:val="auto"/>
          <w:sz w:val="24"/>
          <w:szCs w:val="22"/>
          <w:highlight w:val="none"/>
          <w:lang w:bidi="zh-TW"/>
        </w:rPr>
        <w:t xml:space="preserve">                       </w:t>
      </w:r>
      <w:r>
        <w:rPr>
          <w:rFonts w:hint="eastAsia"/>
          <w:color w:val="auto"/>
          <w:sz w:val="24"/>
          <w:szCs w:val="22"/>
          <w:highlight w:val="none"/>
          <w:lang w:bidi="zh-TW"/>
        </w:rPr>
        <w:t xml:space="preserve">                        </w:t>
      </w:r>
      <w:r>
        <w:rPr>
          <w:rFonts w:hint="eastAsia" w:ascii="宋体" w:hAnsi="宋体" w:cs="宋体"/>
          <w:color w:val="auto"/>
          <w:sz w:val="24"/>
          <w:szCs w:val="20"/>
          <w:highlight w:val="none"/>
        </w:rPr>
        <w:t xml:space="preserve">乙方：</w:t>
      </w:r>
      <w:r/>
    </w:p>
    <w:p>
      <w:pPr>
        <w:ind w:firstLine="480"/>
        <w:jc w:val="left"/>
        <w:spacing w:line="560" w:lineRule="exact"/>
        <w:widowControl/>
        <w:rPr>
          <w:color w:val="auto"/>
          <w:sz w:val="24"/>
          <w:szCs w:val="22"/>
          <w:highlight w:val="none"/>
          <w:lang w:bidi="zh-TW"/>
        </w:rPr>
      </w:pPr>
      <w:r>
        <w:rPr>
          <w:rFonts w:hint="eastAsia" w:eastAsia="Arial"/>
          <w:color w:val="auto"/>
          <w:sz w:val="24"/>
          <w:szCs w:val="22"/>
          <w:highlight w:val="none"/>
          <w:lang w:bidi="zh-TW"/>
        </w:rPr>
        <w:t xml:space="preserve"> </w:t>
      </w:r>
      <w:r>
        <w:rPr>
          <w:rFonts w:hint="eastAsia" w:ascii="宋体" w:hAnsi="宋体" w:cs="宋体"/>
          <w:color w:val="auto"/>
          <w:sz w:val="24"/>
          <w:szCs w:val="20"/>
          <w:highlight w:val="none"/>
        </w:rPr>
        <w:t xml:space="preserve">地址：   </w:t>
      </w:r>
      <w:r>
        <w:rPr>
          <w:rFonts w:hint="eastAsia" w:eastAsia="Arial"/>
          <w:color w:val="auto"/>
          <w:sz w:val="24"/>
          <w:szCs w:val="22"/>
          <w:highlight w:val="none"/>
          <w:lang w:bidi="zh-TW"/>
        </w:rPr>
        <w:t xml:space="preserve">                    </w:t>
      </w:r>
      <w:r>
        <w:rPr>
          <w:rFonts w:hint="eastAsia"/>
          <w:color w:val="auto"/>
          <w:sz w:val="24"/>
          <w:szCs w:val="22"/>
          <w:highlight w:val="none"/>
          <w:lang w:bidi="zh-TW"/>
        </w:rPr>
        <w:t xml:space="preserve">                   </w:t>
      </w:r>
      <w:r>
        <w:rPr>
          <w:rFonts w:hint="eastAsia" w:ascii="宋体" w:hAnsi="宋体" w:cs="宋体"/>
          <w:color w:val="auto"/>
          <w:sz w:val="24"/>
          <w:szCs w:val="20"/>
          <w:highlight w:val="none"/>
        </w:rPr>
        <w:t xml:space="preserve">地址：</w:t>
      </w:r>
      <w:r/>
    </w:p>
    <w:p>
      <w:pPr>
        <w:ind w:firstLine="480"/>
        <w:jc w:val="left"/>
        <w:spacing w:line="560" w:lineRule="exact"/>
        <w:widowControl/>
        <w:rPr>
          <w:rFonts w:eastAsia="Arial"/>
          <w:color w:val="auto"/>
          <w:sz w:val="24"/>
          <w:szCs w:val="22"/>
          <w:highlight w:val="none"/>
          <w:lang w:bidi="zh-TW"/>
        </w:rPr>
      </w:pPr>
      <w:r>
        <w:rPr>
          <w:rFonts w:hint="eastAsia" w:eastAsia="Arial"/>
          <w:color w:val="auto"/>
          <w:sz w:val="24"/>
          <w:szCs w:val="22"/>
          <w:highlight w:val="none"/>
          <w:lang w:bidi="zh-TW"/>
        </w:rPr>
        <w:t xml:space="preserve"> </w:t>
      </w:r>
      <w:r>
        <w:rPr>
          <w:rFonts w:hint="eastAsia" w:ascii="宋体" w:hAnsi="宋体" w:cs="宋体"/>
          <w:color w:val="auto"/>
          <w:sz w:val="24"/>
          <w:szCs w:val="20"/>
          <w:highlight w:val="none"/>
        </w:rPr>
        <w:t xml:space="preserve">法定代表人或授权代表：</w:t>
      </w:r>
      <w:r>
        <w:rPr>
          <w:rFonts w:hint="eastAsia" w:eastAsia="Arial"/>
          <w:color w:val="auto"/>
          <w:sz w:val="24"/>
          <w:szCs w:val="22"/>
          <w:highlight w:val="none"/>
          <w:lang w:bidi="zh-TW"/>
        </w:rPr>
        <w:t xml:space="preserve">       </w:t>
      </w:r>
      <w:r>
        <w:rPr>
          <w:rFonts w:hint="eastAsia"/>
          <w:color w:val="auto"/>
          <w:sz w:val="24"/>
          <w:szCs w:val="22"/>
          <w:highlight w:val="none"/>
          <w:lang w:bidi="zh-TW"/>
        </w:rPr>
        <w:t xml:space="preserve">                </w:t>
      </w:r>
      <w:r>
        <w:rPr>
          <w:rFonts w:hint="eastAsia" w:ascii="宋体" w:hAnsi="宋体" w:cs="宋体"/>
          <w:color w:val="auto"/>
          <w:sz w:val="24"/>
          <w:szCs w:val="20"/>
          <w:highlight w:val="none"/>
        </w:rPr>
        <w:t xml:space="preserve">法定代表人或授权代表：</w:t>
      </w:r>
      <w:r/>
    </w:p>
    <w:p>
      <w:pPr>
        <w:ind w:firstLine="720"/>
        <w:jc w:val="left"/>
        <w:spacing w:line="560" w:lineRule="exact"/>
        <w:widowControl/>
        <w:rPr>
          <w:color w:val="auto"/>
          <w:sz w:val="24"/>
          <w:szCs w:val="22"/>
          <w:highlight w:val="none"/>
          <w:lang w:bidi="zh-TW"/>
        </w:rPr>
      </w:pPr>
      <w:r>
        <w:rPr>
          <w:rFonts w:hint="eastAsia" w:ascii="宋体" w:hAnsi="宋体" w:cs="宋体"/>
          <w:color w:val="auto"/>
          <w:sz w:val="24"/>
          <w:szCs w:val="20"/>
          <w:highlight w:val="none"/>
        </w:rPr>
        <w:t xml:space="preserve">联系电话： </w:t>
      </w:r>
      <w:r>
        <w:rPr>
          <w:rFonts w:hint="eastAsia" w:eastAsia="Arial"/>
          <w:color w:val="auto"/>
          <w:sz w:val="24"/>
          <w:szCs w:val="22"/>
          <w:highlight w:val="none"/>
          <w:lang w:bidi="zh-TW"/>
        </w:rPr>
        <w:t xml:space="preserve">                  </w:t>
      </w:r>
      <w:r>
        <w:rPr>
          <w:rFonts w:hint="eastAsia"/>
          <w:color w:val="auto"/>
          <w:sz w:val="24"/>
          <w:szCs w:val="22"/>
          <w:highlight w:val="none"/>
          <w:lang w:bidi="zh-TW"/>
        </w:rPr>
        <w:t xml:space="preserve">                   </w:t>
      </w:r>
      <w:r>
        <w:rPr>
          <w:rFonts w:hint="eastAsia" w:ascii="宋体" w:hAnsi="宋体" w:cs="宋体"/>
          <w:color w:val="auto"/>
          <w:sz w:val="24"/>
          <w:szCs w:val="20"/>
          <w:highlight w:val="none"/>
        </w:rPr>
        <w:t xml:space="preserve">联系电话：       </w:t>
      </w:r>
      <w:r>
        <w:rPr>
          <w:rFonts w:hint="eastAsia" w:eastAsia="Arial"/>
          <w:color w:val="auto"/>
          <w:sz w:val="24"/>
          <w:szCs w:val="22"/>
          <w:highlight w:val="none"/>
          <w:lang w:bidi="zh-TW"/>
        </w:rPr>
        <w:t xml:space="preserve">  </w:t>
      </w:r>
      <w:r/>
    </w:p>
    <w:p>
      <w:pPr>
        <w:ind w:firstLine="480"/>
        <w:jc w:val="left"/>
        <w:spacing w:line="560" w:lineRule="exact"/>
        <w:widowControl/>
        <w:rPr>
          <w:rFonts w:hint="eastAsia" w:ascii="宋体" w:hAnsi="宋体" w:cs="宋体"/>
          <w:color w:val="auto"/>
          <w:sz w:val="24"/>
          <w:szCs w:val="20"/>
          <w:highlight w:val="none"/>
        </w:rPr>
      </w:pPr>
      <w:r>
        <w:rPr>
          <w:rFonts w:hint="eastAsia" w:eastAsia="Arial"/>
          <w:color w:val="auto"/>
          <w:sz w:val="24"/>
          <w:szCs w:val="22"/>
          <w:highlight w:val="none"/>
          <w:lang w:bidi="zh-TW"/>
        </w:rPr>
        <w:t xml:space="preserve">                                         </w:t>
      </w:r>
      <w:r>
        <w:rPr>
          <w:rFonts w:hint="eastAsia"/>
          <w:color w:val="auto"/>
          <w:sz w:val="24"/>
          <w:szCs w:val="22"/>
          <w:highlight w:val="none"/>
          <w:lang w:bidi="zh-TW"/>
        </w:rPr>
        <w:t xml:space="preserve">                 </w:t>
      </w:r>
      <w:r>
        <w:rPr>
          <w:rFonts w:hint="eastAsia" w:ascii="宋体" w:hAnsi="宋体" w:cs="宋体"/>
          <w:color w:val="auto"/>
          <w:sz w:val="24"/>
          <w:szCs w:val="20"/>
          <w:highlight w:val="none"/>
        </w:rPr>
        <w:t xml:space="preserve">签订日期：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信息安全保密承诺书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鉴于：为加强</w:t>
      </w:r>
      <w:r>
        <w:rPr>
          <w:rFonts w:hint="eastAsia" w:ascii="宋体" w:hAnsi="宋体" w:cs="宋体"/>
          <w:color w:val="auto"/>
          <w:sz w:val="24"/>
          <w:highlight w:val="none"/>
          <w:u w:val="single"/>
        </w:rPr>
        <w:t xml:space="preserve">国企监管平台</w:t>
      </w:r>
      <w:r>
        <w:rPr>
          <w:rFonts w:hint="eastAsia" w:ascii="宋体" w:hAnsi="宋体" w:cs="宋体"/>
          <w:color w:val="auto"/>
          <w:sz w:val="24"/>
          <w:highlight w:val="none"/>
        </w:rPr>
        <w:t xml:space="preserve">数据涉密资料的管理，确保信息的安全保密，防止发生丢失泄密事件，防范非法使用行为，根据《中华人民共和国保守国家秘密法》及《中华人民共和国保守国家秘密法实施办法》等有关法律法规，特制定本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我方承诺以下内容：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保密信息包括但不限于以下内容：国企监管平台上的用户信息、平台技术信息、网络拓扑信息、合作协议信息。上述保密信息可以以数据、文字及记载上述内容的文档、光盘、软件、图书等有形介质体现，也可通过口头等视听方式传递。</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我方保证该保密信息仅用于与项目有关的用途。我方不得将保密信息用于项目以外的任何用途。除为执行项目目的外，我方不得对保密信息进行复制存储或向任何第三方披露、提供等。未经盐城市财政局同意，我方也不得利用保密信息进行新的研究或开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（三）我方保证任何根据本协议有权或可能从我方获得保密信息的雇员（包括但不限于现有雇员及从前雇员）、股东、董事、顾问和/或咨询人员等对保密信息未经授权的披露。</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（四）项目终止后，我方应及时将承载保密信息的介质原件及复制件全部返还给盐城市财政局，最迟不得超过发出交还通知之日起三十日。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97"/>
        <w:rPr>
          <w:color w:val="auto"/>
          <w:highlight w:val="none"/>
        </w:rPr>
      </w:pPr>
      <w:r>
        <w:rPr>
          <w:color w:val="auto"/>
          <w:highlight w:val="none"/>
        </w:rPr>
      </w:r>
      <w:r/>
    </w:p>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承诺方：</w:t>
      </w:r>
      <w:r/>
    </w:p>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地  址：</w:t>
      </w:r>
      <w:r/>
    </w:p>
    <w:p>
      <w:pPr>
        <w:ind w:firstLine="480"/>
        <w:jc w:val="center"/>
        <w:spacing w:line="360" w:lineRule="auto"/>
        <w:rPr>
          <w:rFonts w:hint="eastAsia" w:ascii="宋体" w:hAnsi="宋体"/>
          <w:color w:val="auto"/>
          <w:sz w:val="24"/>
          <w:szCs w:val="21"/>
          <w:highlight w:val="none"/>
        </w:rPr>
      </w:pPr>
      <w:r>
        <w:rPr>
          <w:rFonts w:hint="eastAsia" w:ascii="宋体" w:hAnsi="宋体" w:cs="宋体"/>
          <w:color w:val="auto"/>
          <w:sz w:val="24"/>
          <w:highlight w:val="none"/>
          <w:lang w:val="en-US" w:eastAsia="zh-CN"/>
        </w:rPr>
        <w:t xml:space="preserve">                          </w:t>
      </w:r>
      <w:r>
        <w:rPr>
          <w:rFonts w:hint="eastAsia" w:ascii="宋体" w:hAnsi="宋体"/>
          <w:color w:val="auto"/>
          <w:sz w:val="24"/>
          <w:szCs w:val="21"/>
          <w:highlight w:val="none"/>
        </w:rPr>
        <w:t xml:space="preserve">日 期：______年____月____日</w:t>
      </w:r>
      <w:r/>
    </w:p>
    <w:p>
      <w:pPr>
        <w:pStyle w:val="887"/>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shd w:val="clear" w:color="auto" w:fill="auto"/>
        </w:rPr>
        <w:br w:type="page" w:clear="all"/>
      </w:r>
      <w:r>
        <w:rPr>
          <w:rFonts w:hint="eastAsia" w:ascii="黑体" w:hAnsi="宋体" w:eastAsia="黑体" w:cs="黑体"/>
          <w:color w:val="auto"/>
          <w:sz w:val="44"/>
          <w:szCs w:val="44"/>
          <w:highlight w:val="none"/>
        </w:rPr>
        <w:t xml:space="preserve"> 第</w:t>
      </w:r>
      <w:bookmarkEnd w:id="159"/>
      <w:r>
        <w:rPr>
          <w:rFonts w:hint="eastAsia" w:ascii="黑体" w:hAnsi="宋体" w:eastAsia="黑体" w:cs="黑体"/>
          <w:color w:val="auto"/>
          <w:sz w:val="44"/>
          <w:szCs w:val="44"/>
          <w:highlight w:val="none"/>
        </w:rPr>
        <w:t xml:space="preserve">四章 采购需求</w:t>
      </w:r>
      <w:bookmarkEnd w:id="160"/>
      <w:r/>
      <w:bookmarkEnd w:id="161"/>
      <w:r/>
      <w:bookmarkEnd w:id="162"/>
      <w:r/>
      <w:bookmarkEnd w:id="163"/>
      <w:r/>
      <w:bookmarkStart w:id="167" w:name="_Toc49090575"/>
      <w:r/>
      <w:bookmarkEnd w:id="167"/>
      <w:r/>
      <w:bookmarkStart w:id="168" w:name="_Toc26554093"/>
      <w:r/>
      <w:bookmarkEnd w:id="168"/>
      <w:r/>
      <w:r/>
    </w:p>
    <w:p>
      <w:pPr>
        <w:ind w:firstLine="480"/>
        <w:jc w:val="left"/>
        <w:spacing w:line="560" w:lineRule="exact"/>
        <w:widowControl/>
        <w:rPr>
          <w:rFonts w:hint="eastAsia" w:ascii="宋体" w:hAnsi="宋体" w:cs="微软雅黑"/>
          <w:color w:val="auto"/>
          <w:sz w:val="24"/>
          <w:highlight w:val="none"/>
        </w:rPr>
      </w:pPr>
      <w:r>
        <w:rPr>
          <w:rFonts w:hint="eastAsia" w:ascii="宋体" w:hAnsi="宋体" w:cs="微软雅黑"/>
          <w:color w:val="auto"/>
          <w:sz w:val="24"/>
          <w:highlight w:val="none"/>
        </w:rPr>
        <w:t xml:space="preserve">项目属性：服务类项目</w:t>
      </w:r>
      <w:r/>
    </w:p>
    <w:p>
      <w:pPr>
        <w:ind w:firstLine="480"/>
        <w:jc w:val="left"/>
        <w:spacing w:line="560" w:lineRule="exact"/>
        <w:widowControl/>
        <w:rPr>
          <w:rFonts w:hint="eastAsia" w:ascii="宋体" w:hAnsi="宋体" w:cs="宋体"/>
          <w:b/>
          <w:bCs/>
          <w:color w:val="auto"/>
          <w:sz w:val="24"/>
          <w:szCs w:val="20"/>
          <w:highlight w:val="none"/>
          <w:lang w:val="zh-CN" w:eastAsia="zh-TW"/>
        </w:rPr>
      </w:pPr>
      <w:r>
        <w:rPr>
          <w:rFonts w:hint="eastAsia" w:ascii="宋体" w:hAnsi="宋体" w:cs="宋体"/>
          <w:b/>
          <w:bCs/>
          <w:color w:val="auto"/>
          <w:sz w:val="24"/>
          <w:szCs w:val="20"/>
          <w:highlight w:val="none"/>
          <w:lang w:val="zh-CN" w:eastAsia="zh-TW"/>
        </w:rPr>
        <w:t xml:space="preserve">一、项目概述</w:t>
      </w:r>
      <w:r/>
    </w:p>
    <w:p>
      <w:pPr>
        <w:ind w:firstLine="480"/>
        <w:jc w:val="left"/>
        <w:spacing w:line="560" w:lineRule="exact"/>
        <w:widowControl/>
        <w:rPr>
          <w:rFonts w:hint="eastAsia" w:ascii="宋体" w:hAnsi="宋体" w:cs="微软雅黑"/>
          <w:color w:val="auto"/>
          <w:sz w:val="24"/>
          <w:highlight w:val="none"/>
        </w:rPr>
      </w:pPr>
      <w:r>
        <w:rPr>
          <w:rFonts w:hint="eastAsia" w:ascii="宋体" w:hAnsi="宋体" w:cs="微软雅黑"/>
          <w:color w:val="auto"/>
          <w:sz w:val="24"/>
          <w:highlight w:val="none"/>
        </w:rPr>
        <w:t xml:space="preserve">通过本次国企监管平台的建设，能够动态捕捉DR产品宣传信息，及时阻断违规信息传播。能够以风险为导向、以数据为基础、以人工智能大模型为核心，加强风险预警能力，提升国有企业监管效率，从数据、技术、监管实现“3大目标”。</w:t>
      </w:r>
      <w:r/>
    </w:p>
    <w:p>
      <w:pPr>
        <w:ind w:firstLine="480"/>
        <w:jc w:val="left"/>
        <w:spacing w:line="560" w:lineRule="exact"/>
        <w:widowControl/>
        <w:rPr>
          <w:rFonts w:hint="eastAsia" w:ascii="宋体" w:hAnsi="宋体" w:cs="微软雅黑"/>
          <w:color w:val="auto"/>
          <w:sz w:val="24"/>
          <w:highlight w:val="none"/>
        </w:rPr>
      </w:pPr>
      <w:r>
        <w:rPr>
          <w:rFonts w:hint="eastAsia" w:ascii="宋体" w:hAnsi="宋体" w:cs="微软雅黑"/>
          <w:color w:val="auto"/>
          <w:sz w:val="24"/>
          <w:highlight w:val="none"/>
        </w:rPr>
        <w:t xml:space="preserve">数据目标：该平台整合国有企业DR相关的各类数据资源，建立统一的数据标准和数据共享机制，形成全面、准确、实时的DR监管数据池。通过数据治理和质量管控，确保数据的完整性、一致性和可用性，为人工智能模型的训练和监管决策提供坚实的数据基础。</w:t>
      </w:r>
      <w:r/>
    </w:p>
    <w:p>
      <w:pPr>
        <w:ind w:firstLine="480"/>
        <w:jc w:val="left"/>
        <w:spacing w:line="560" w:lineRule="exact"/>
        <w:widowControl/>
        <w:rPr>
          <w:rFonts w:hint="eastAsia" w:ascii="宋体" w:hAnsi="宋体" w:cs="微软雅黑"/>
          <w:color w:val="auto"/>
          <w:sz w:val="24"/>
          <w:highlight w:val="none"/>
        </w:rPr>
      </w:pPr>
      <w:r>
        <w:rPr>
          <w:rFonts w:hint="eastAsia" w:ascii="宋体" w:hAnsi="宋体" w:cs="微软雅黑"/>
          <w:color w:val="auto"/>
          <w:sz w:val="24"/>
          <w:highlight w:val="none"/>
        </w:rPr>
        <w:t xml:space="preserve">技术目标：该平台深度融合人工智能大模型与DR监管业务流程，构建智能化监管技术体系。实现自然语言处理、机器学习、深度学习等人工智能技术在DR数据采集、清洗、分析、预警等环节的全面应用，搭建基于人工智能大模型的监管分析平台，提升监管工作的数字化、智能化水平。</w:t>
      </w:r>
      <w:r/>
    </w:p>
    <w:p>
      <w:pPr>
        <w:ind w:firstLine="480"/>
        <w:jc w:val="left"/>
        <w:spacing w:line="560" w:lineRule="exact"/>
        <w:widowControl/>
        <w:rPr>
          <w:rFonts w:hint="eastAsia" w:ascii="宋体" w:hAnsi="宋体" w:cs="微软雅黑"/>
          <w:color w:val="auto"/>
          <w:sz w:val="24"/>
          <w:highlight w:val="none"/>
        </w:rPr>
      </w:pPr>
      <w:r>
        <w:rPr>
          <w:rFonts w:hint="eastAsia" w:ascii="宋体" w:hAnsi="宋体" w:cs="微软雅黑"/>
          <w:color w:val="auto"/>
          <w:sz w:val="24"/>
          <w:highlight w:val="none"/>
        </w:rPr>
        <w:t xml:space="preserve">监管目标：针对DR产品违规宣传呈现的跨平台、隐蔽化、变异快等特点，该平台构建了“监测-识别-阻断-追溯”四位一体的智能防控系统，重点解决DR产品传播的三大痛点：传播渠道碎片化导致覆盖不全、内容形态多样化导致识别困难、传播时效瞬时化导致处置滞后三大问题。</w:t>
      </w:r>
      <w:r/>
    </w:p>
    <w:p>
      <w:pPr>
        <w:ind w:firstLine="480"/>
        <w:jc w:val="left"/>
        <w:spacing w:line="560" w:lineRule="exact"/>
        <w:widowControl/>
        <w:rPr>
          <w:rFonts w:hint="eastAsia" w:ascii="宋体" w:hAnsi="宋体" w:cs="宋体"/>
          <w:b/>
          <w:bCs/>
          <w:color w:val="auto"/>
          <w:sz w:val="24"/>
          <w:szCs w:val="20"/>
          <w:highlight w:val="none"/>
          <w:lang w:val="zh-CN" w:eastAsia="zh-TW"/>
        </w:rPr>
      </w:pPr>
      <w:r>
        <w:rPr>
          <w:rFonts w:hint="eastAsia" w:ascii="宋体" w:hAnsi="宋体" w:cs="宋体"/>
          <w:b/>
          <w:bCs/>
          <w:color w:val="auto"/>
          <w:sz w:val="24"/>
          <w:szCs w:val="20"/>
          <w:highlight w:val="none"/>
          <w:lang w:val="zh-CN" w:eastAsia="zh-TW"/>
        </w:rPr>
        <w:t xml:space="preserve">二、业务功能需求（以实际需求为准，包括但不限于以下内容）</w:t>
      </w:r>
      <w:r/>
    </w:p>
    <w:p>
      <w:pPr>
        <w:ind w:firstLine="482"/>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2.1总体思路</w:t>
      </w:r>
      <w:r/>
    </w:p>
    <w:p>
      <w:pPr>
        <w:ind w:firstLine="482"/>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运用人工智能大模型技术构建智能化监测体系，通过深度集成网络爬虫、OCR图像识别等AI能力，实现对DR产品宣传信息的全方位动态监测。在技术集成层面，利用人工智能强大的模型训练与优化能力，对网络爬虫进行智能调度，使其能够根据</w:t>
      </w:r>
      <w:r>
        <w:rPr>
          <w:rFonts w:hint="eastAsia" w:ascii="宋体" w:hAnsi="宋体" w:cs="宋体"/>
          <w:color w:val="auto"/>
          <w:sz w:val="24"/>
          <w:highlight w:val="none"/>
        </w:rPr>
        <w:t xml:space="preserve">不同平台的反爬策略动态调整抓取频率和路径，高效采集微信公众号推文、抖音短视频、微博话题页及主题论坛等多渠道内容。同时，借助OCR图像识别技术，精准提取图片中的文字信息，与文本数据形成互补。在信息分析环节，结合文本语义分析技术，深度理解宣传文案的内涵，识别潜在违规表述；通过语音识别技术将视频、音频内容转化为文字，配合视频解析技术对画面元素进行识别，挖掘DR产品的违规宣传线索。一旦捕捉到违规信息，系统将立即触发预警机制，联动相关平台及时阻断违规信息传播，有效防范因违规宣传引发的金融风险，维护DR市场的健康秩序。</w:t>
      </w:r>
      <w:r/>
    </w:p>
    <w:p>
      <w:pPr>
        <w:ind w:firstLine="482"/>
        <w:spacing w:line="500" w:lineRule="exact"/>
        <w:rPr>
          <w:rFonts w:hint="eastAsia" w:ascii="宋体" w:hAnsi="宋体" w:cs="宋体"/>
          <w:b/>
          <w:bCs/>
          <w:color w:val="auto"/>
          <w:sz w:val="24"/>
          <w:highlight w:val="none"/>
        </w:rPr>
      </w:pPr>
      <w:r/>
      <w:bookmarkStart w:id="169" w:name="_Toc2178"/>
      <w:r/>
      <w:bookmarkStart w:id="170" w:name="_Toc28297"/>
      <w:r>
        <w:rPr>
          <w:rFonts w:hint="eastAsia" w:ascii="宋体" w:hAnsi="宋体" w:cs="宋体"/>
          <w:b/>
          <w:bCs/>
          <w:color w:val="auto"/>
          <w:sz w:val="24"/>
          <w:highlight w:val="none"/>
        </w:rPr>
        <w:t xml:space="preserve">2.2业务功能</w:t>
      </w:r>
      <w:bookmarkEnd w:id="169"/>
      <w:r/>
      <w:bookmarkEnd w:id="170"/>
      <w:r>
        <w:rPr>
          <w:rFonts w:hint="eastAsia" w:ascii="宋体" w:hAnsi="宋体" w:cs="宋体"/>
          <w:b/>
          <w:bCs/>
          <w:color w:val="auto"/>
          <w:sz w:val="24"/>
          <w:highlight w:val="none"/>
        </w:rPr>
        <w:t xml:space="preserve">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以需求侧围绕“DR监管”运用场景为突破口，通过系统对接和集成，构建融资平台监管体系，建设智能管理子系统、DR监管大模型支撑子系统、DR监管可视化子系统等业务板块。汇集融资平台数据，构建形成以智算、数据、应用、决策为主要节点的闭环体系。</w:t>
      </w:r>
      <w:r/>
    </w:p>
    <w:p>
      <w:pPr>
        <w:ind w:firstLine="480"/>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2.2.1智能管理子系统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建立违规DR广告监管子系统，借助大数据与自然语言处理技术，实时抓取网络媒体、社交媒体等渠道信息，识别与业务相关的舆情动态、违规线索，预警分析功能尤为关键，通过预设信息检索策略，对业务异常、市场波动等情况进行智能监测，及时发出预警信号，辅助管理者快速响应，提升业务管理的前瞻性与决策科学性。</w:t>
      </w:r>
      <w:r/>
    </w:p>
    <w:p>
      <w:pPr>
        <w:ind w:firstLine="480"/>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2.2.2大模型支撑子系统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通过建立大模型支撑子系统，通过参数训练、参数微调等技术，初步优化模型，结合已有基础数据，对大语言模型开展意图分类识别、实体识别梳理、知识检索、情绪识别等训练。实现相关问题的智能问答，不断扩充知识内容，全力保证知识内容时效，为用户提供不断完善的服务。</w:t>
      </w:r>
      <w:r/>
    </w:p>
    <w:p>
      <w:pPr>
        <w:ind w:firstLine="480"/>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2.2.3DR监管可视化子系统</w:t>
      </w:r>
      <w:r/>
    </w:p>
    <w:p>
      <w:pPr>
        <w:ind w:firstLine="482"/>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建设DR监管可视化子系统，围绕DR业务监管核心需求搭建全维度功能模块，涵盖实时线索、线索地区、线索来源板块，实现风险线索的动态监测、区域分布统计与来源分类梳理；配套地图模块直观呈现空间分布，重点国企、重点地区模块开展专项监管；同时设置中介灰名单模块实施动态管理，DR余额、结构、清理情况模块完成数据统计分析，工作动态模块同步监管推进信息，以数字化可视化手段提升DR监管的精准性与高效性，为监管决策提供数据支撑。</w:t>
      </w:r>
      <w:r/>
    </w:p>
    <w:tbl>
      <w:tblPr>
        <w:tblStyle w:val="881"/>
        <w:tblW w:w="8393" w:type="dxa"/>
        <w:tblInd w:w="98" w:type="dxa"/>
        <w:tblLayout w:type="fixed"/>
        <w:tblCellMar>
          <w:left w:w="108" w:type="dxa"/>
          <w:top w:w="0" w:type="dxa"/>
          <w:right w:w="108" w:type="dxa"/>
          <w:bottom w:w="0" w:type="dxa"/>
        </w:tblCellMar>
        <w:tblLook w:val="04A0" w:firstRow="1" w:lastRow="0" w:firstColumn="1" w:lastColumn="0" w:noHBand="0" w:noVBand="1"/>
      </w:tblPr>
      <w:tblGrid>
        <w:gridCol w:w="1379"/>
        <w:gridCol w:w="1480"/>
        <w:gridCol w:w="1370"/>
        <w:gridCol w:w="4164"/>
      </w:tblGrid>
      <w:tr>
        <w:trPr>
          <w:trHeight w:val="720"/>
        </w:trPr>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一级模块</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二级模块</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功能点</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描述</w:t>
            </w:r>
            <w:r/>
          </w:p>
        </w:tc>
      </w:tr>
      <w:tr>
        <w:trPr>
          <w:trHeight w:val="700"/>
        </w:trPr>
        <w:tc>
          <w:tcPr>
            <w:tcBorders>
              <w:top w:val="single" w:color="000000" w:sz="4" w:space="0"/>
              <w:left w:val="single" w:color="000000" w:sz="4" w:space="0"/>
              <w:bottom w:val="single" w:color="000000" w:sz="4" w:space="0"/>
              <w:right w:val="single" w:color="000000" w:sz="4" w:space="0"/>
            </w:tcBorders>
            <w:tcW w:w="1379" w:type="dxa"/>
            <w:vAlign w:val="center"/>
            <w:vMerge w:val="restart"/>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系统管理模块</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用户登录</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用户登录</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用户使用账号密码登录系统后台；</w:t>
            </w:r>
            <w:r/>
          </w:p>
        </w:tc>
      </w:tr>
      <w:tr>
        <w:trPr>
          <w:trHeight w:val="70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restart"/>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系统管理</w:t>
            </w:r>
            <w:r/>
          </w:p>
        </w:tc>
        <w:tc>
          <w:tcPr>
            <w:tcBorders>
              <w:top w:val="single" w:color="000000" w:sz="4" w:space="0"/>
              <w:left w:val="single" w:color="000000" w:sz="4" w:space="0"/>
              <w:bottom w:val="single" w:color="000000" w:sz="4" w:space="0"/>
              <w:right w:val="single" w:color="000000" w:sz="4" w:space="0"/>
            </w:tcBorders>
            <w:tcW w:w="1370" w:type="dxa"/>
            <w:vAlign w:val="center"/>
            <w:vMerge w:val="restart"/>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用户管理</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用户列表，展示用户主要信息，并提供筛选功能；</w:t>
            </w:r>
            <w:r/>
          </w:p>
        </w:tc>
      </w:tr>
      <w:tr>
        <w:trPr>
          <w:trHeight w:val="70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用户新增，管理员根据用户姓名、账号、密码、单位、手机号等信息创建用户；</w:t>
            </w:r>
            <w:r/>
          </w:p>
        </w:tc>
      </w:tr>
      <w:tr>
        <w:trPr>
          <w:trHeight w:val="70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用户编辑，管理员编辑用户信息；</w:t>
            </w:r>
            <w:r/>
          </w:p>
        </w:tc>
      </w:tr>
      <w:tr>
        <w:trPr>
          <w:trHeight w:val="70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用户删除，管理员删除用户信息；</w:t>
            </w:r>
            <w:r/>
          </w:p>
        </w:tc>
      </w:tr>
      <w:tr>
        <w:trPr>
          <w:trHeight w:val="70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密码重置；</w:t>
            </w:r>
            <w:r/>
          </w:p>
        </w:tc>
      </w:tr>
      <w:tr>
        <w:trPr>
          <w:trHeight w:val="70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分配用户角色；</w:t>
            </w:r>
            <w:r/>
          </w:p>
        </w:tc>
      </w:tr>
      <w:tr>
        <w:trPr>
          <w:trHeight w:val="70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批量导入用户；</w:t>
            </w:r>
            <w:r/>
          </w:p>
        </w:tc>
      </w:tr>
      <w:tr>
        <w:trPr>
          <w:trHeight w:val="70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restart"/>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部门管理</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部门列表，展示部门主要信息，并提供筛选功能；</w:t>
            </w:r>
            <w:r/>
          </w:p>
        </w:tc>
      </w:tr>
      <w:tr>
        <w:trPr>
          <w:trHeight w:val="70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部门新增，管理员根据上级部门、部门名称、部门编码、部门负责人、联系电话、状态、排序等信息创建部门；</w:t>
            </w:r>
            <w:r/>
          </w:p>
        </w:tc>
      </w:tr>
      <w:tr>
        <w:trPr>
          <w:trHeight w:val="70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部门编辑，管理员编辑部门信息；</w:t>
            </w:r>
            <w:r/>
          </w:p>
        </w:tc>
      </w:tr>
      <w:tr>
        <w:trPr>
          <w:trHeight w:val="70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部门删除，管理员删除部门信息；</w:t>
            </w:r>
            <w:r/>
          </w:p>
        </w:tc>
      </w:tr>
      <w:tr>
        <w:trPr>
          <w:trHeight w:val="70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设置直管下级单位，上级单位可以跨区域管理下级单位人员及相关数据；</w:t>
            </w:r>
            <w:r/>
          </w:p>
        </w:tc>
      </w:tr>
      <w:tr>
        <w:trPr>
          <w:trHeight w:val="70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设置调度单位，上级单位可以跨区域选择下级单位执法人员配合执法；</w:t>
            </w:r>
            <w:r/>
          </w:p>
        </w:tc>
      </w:tr>
      <w:tr>
        <w:trPr>
          <w:trHeight w:val="70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restart"/>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日志管理</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可查看用户编号、系统模块、操作类型、操作用户、操作IP、操作状态、操作时间等操作日志信息；</w:t>
            </w:r>
            <w:r/>
          </w:p>
        </w:tc>
      </w:tr>
      <w:tr>
        <w:trPr>
          <w:trHeight w:val="70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可查看用户登录账号、登录IP、操作系统、浏览器、登录状态、登录时间等登录日志信息；</w:t>
            </w:r>
            <w:r/>
          </w:p>
        </w:tc>
      </w:tr>
      <w:tr>
        <w:trPr>
          <w:trHeight w:val="70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可导出日志；</w:t>
            </w:r>
            <w:r/>
          </w:p>
        </w:tc>
      </w:tr>
      <w:tr>
        <w:trPr>
          <w:trHeight w:val="70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restart"/>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角色管理</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角色列表，展示角色主要信息，并提供筛选功能；</w:t>
            </w:r>
            <w:r/>
          </w:p>
        </w:tc>
      </w:tr>
      <w:tr>
        <w:trPr>
          <w:trHeight w:val="70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角色新增，根据角色编码、角色名称等信息创建角色；</w:t>
            </w:r>
            <w:r/>
          </w:p>
        </w:tc>
      </w:tr>
      <w:tr>
        <w:trPr>
          <w:trHeight w:val="62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角色编辑，管理员编辑角色信息；</w:t>
            </w:r>
            <w:r/>
          </w:p>
        </w:tc>
      </w:tr>
      <w:tr>
        <w:trPr>
          <w:trHeight w:val="60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角色删除，管理员删除角色信息；</w:t>
            </w:r>
            <w:r/>
          </w:p>
        </w:tc>
      </w:tr>
      <w:tr>
        <w:trPr>
          <w:trHeight w:val="62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用户分配，给角色分配用户；</w:t>
            </w:r>
            <w:r/>
          </w:p>
        </w:tc>
      </w:tr>
      <w:tr>
        <w:trPr>
          <w:trHeight w:val="54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角色授权，给角色授菜单、数据等权限；</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restart"/>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字典管理</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字典列表，展示字典主要信息，并提供筛选功能</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字典新增，根据字典名称、类型、状态等信息创建字典</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字典编辑，管理员编辑字典信息</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字典删除，管理员删除字典信息</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字典导出</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缓存刷新</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字典值列表，展示字典值主要信息，并提供筛选功能</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字典值新增，根据字典值名称、字典值等信息创建字典值</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字典值编辑，管理员编辑字典值信息</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字典值删除，管理员删除字典值信息</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restart"/>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参数设置</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参数列表，展示参数主要信息，并提供筛选功能</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参数新增，根据参数名称、参数键名、参数键值等信息创建参数</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参数编辑，管理员编辑参数信息</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参数删除，管理员删除参数信息</w:t>
            </w:r>
            <w:r/>
          </w:p>
        </w:tc>
      </w:tr>
      <w:tr>
        <w:trPr>
          <w:trHeight w:val="780"/>
        </w:trPr>
        <w:tc>
          <w:tcPr>
            <w:tcBorders>
              <w:top w:val="single" w:color="000000" w:sz="4" w:space="0"/>
              <w:left w:val="single" w:color="000000" w:sz="4" w:space="0"/>
              <w:bottom w:val="single" w:color="000000" w:sz="4" w:space="0"/>
              <w:right w:val="single" w:color="000000" w:sz="4" w:space="0"/>
            </w:tcBorders>
            <w:tcW w:w="1379" w:type="dxa"/>
            <w:vAlign w:val="center"/>
            <w:vMerge w:val="restart"/>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数据调用监测模块</w:t>
            </w:r>
            <w:r/>
          </w:p>
        </w:tc>
        <w:tc>
          <w:tcPr>
            <w:tcBorders>
              <w:top w:val="single" w:color="000000" w:sz="4" w:space="0"/>
              <w:left w:val="single" w:color="000000" w:sz="4" w:space="0"/>
              <w:bottom w:val="single" w:color="000000" w:sz="4" w:space="0"/>
              <w:right w:val="single" w:color="000000" w:sz="4" w:space="0"/>
            </w:tcBorders>
            <w:tcW w:w="1480" w:type="dxa"/>
            <w:vAlign w:val="center"/>
            <w:vMerge w:val="restart"/>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数据调用监测</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在线用户</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查看检索在线用户</w:t>
            </w:r>
            <w:r/>
          </w:p>
        </w:tc>
      </w:tr>
      <w:tr>
        <w:trPr>
          <w:trHeight w:val="84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任务调度</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对任务名称、任务分组、任务执行方法、执行时间、状态等信息进行管理，并进行修改、删除；管理员可以设置一些预警任务对用户进行短信等相关提醒</w:t>
            </w:r>
            <w:r/>
          </w:p>
        </w:tc>
      </w:tr>
      <w:tr>
        <w:trPr>
          <w:trHeight w:val="66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服务监控</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展示服务器相关信息，并对服务器CPU、内存、虚拟机、磁盘等信息进行监控</w:t>
            </w:r>
            <w:r/>
          </w:p>
        </w:tc>
      </w:tr>
      <w:tr>
        <w:trPr>
          <w:trHeight w:val="74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缓存监控</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对系统使用到的缓存中间件进行监控，可查看基本信息、命令使用情况、内存使用情况</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restart"/>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智能管理模块</w:t>
            </w:r>
            <w:r/>
          </w:p>
        </w:tc>
        <w:tc>
          <w:tcPr>
            <w:tcBorders>
              <w:top w:val="single" w:color="000000" w:sz="4" w:space="0"/>
              <w:left w:val="single" w:color="000000" w:sz="4" w:space="0"/>
              <w:bottom w:val="single" w:color="000000" w:sz="4" w:space="0"/>
              <w:right w:val="single" w:color="000000" w:sz="4" w:space="0"/>
            </w:tcBorders>
            <w:tcW w:w="1480" w:type="dxa"/>
            <w:vAlign w:val="center"/>
            <w:vMerge w:val="restart"/>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线索管理</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实时线索</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显示个地区的线索情况</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线索分发</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对反馈为非本地区线索进行重新分发</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线索处置</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显示需要处置的线索并进行处置</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线索复核</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对已处置的线索进行复核</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restart"/>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DR管理</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DR新增</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DR产品新增</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DR删除</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DR产品删除</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DR导出</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DR产品导出</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交易⻛险</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支持查询房产交易风险相关信息；</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DR清理进度</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查询DR全量情况进度</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restart"/>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风险管理</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重点地区</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根据地区统计DR产品信息并提供排序功能</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重点国企</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根据地企业统计DR产品信息并提供排序功能</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中介灰名单</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根据中介结构统计DR产品信息并提供排序功能</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restart"/>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数据查询</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线索情况</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线索信息查询</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线索新增</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线索情况手动新增功能</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清退明细</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查询清退明细</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清退明细导出</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清退明细导出</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清退进度查询</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月份查询各个月份DR余额情况已经清退进度</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DR明细</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查询DR产品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DR新增</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录入DR产品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DR删除</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删除DR产品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DR导出</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导出DR产品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restart"/>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工作动态</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制度建设</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查询制度建设工作动态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制度建设新增</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新增制度建设工作动态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制度建设删除</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删除制度建设工作动态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制度建设修改</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修改制度建设工作动态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制度建设下架</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下架制度建设工作动态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制度建设发布</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发布制度建设工作动态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地区自查</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查询地区自查工作动态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地区自查新增</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新增地区自查工作动态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地区自查删除</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删除地区自查工作动态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地区自查修改</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修改地区自查工作动态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地区自查下架</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下架地区自查工作动态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地区自查发布</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发布地区自查工作动态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市级飞行</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查询市级飞行工作动态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市级飞行新增</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新增市级飞行工作动态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市级飞行删除</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删除市级飞行工作动态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市级飞行修改</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修改市级飞行工作动态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市级飞行下架</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下架市级飞行工作动态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市级飞行发布</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发布市级飞行工作动态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处理问责</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查询处理问责工作动态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处理问责新增</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新增处理问责工作动态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处理问责删除</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删除处理问责工作动态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处理问责修改</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修改处理问责工作动态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处理问责下架</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下架处理问责工作动态</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处理问责发布</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发布处理问责工作动态</w:t>
            </w:r>
            <w:r/>
          </w:p>
        </w:tc>
      </w:tr>
      <w:tr>
        <w:trPr>
          <w:trHeight w:val="600"/>
        </w:trPr>
        <w:tc>
          <w:tcPr>
            <w:tcBorders>
              <w:top w:val="single" w:color="000000" w:sz="4" w:space="0"/>
              <w:left w:val="single" w:color="000000" w:sz="4" w:space="0"/>
              <w:bottom w:val="single" w:color="000000" w:sz="4" w:space="0"/>
              <w:right w:val="single" w:color="000000" w:sz="4" w:space="0"/>
            </w:tcBorders>
            <w:tcW w:w="1379" w:type="dxa"/>
            <w:vAlign w:val="center"/>
            <w:vMerge w:val="restart"/>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监管模型支撑模块</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模型分析</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对接大语言模型分析</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对接大语言模型进行意图分析、语义分析、线索过滤等；</w:t>
            </w:r>
            <w:r/>
          </w:p>
        </w:tc>
      </w:tr>
      <w:tr>
        <w:trPr>
          <w:trHeight w:val="60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数据对接</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第三方接口数据获取</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对接第三方接口获取全市及各县市区DR监管线索（抖音、微信公众号、微博、论坛等）</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restart"/>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DR监管可视化模块</w:t>
            </w:r>
            <w:r/>
          </w:p>
        </w:tc>
        <w:tc>
          <w:tcPr>
            <w:tcBorders>
              <w:top w:val="single" w:color="000000" w:sz="4" w:space="0"/>
              <w:left w:val="single" w:color="000000" w:sz="4" w:space="0"/>
              <w:bottom w:val="single" w:color="000000" w:sz="4" w:space="0"/>
              <w:right w:val="single" w:color="000000" w:sz="4" w:space="0"/>
            </w:tcBorders>
            <w:tcW w:w="1480" w:type="dxa"/>
            <w:vAlign w:val="center"/>
            <w:vMerge w:val="restart"/>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大屏</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实时线索</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查看实时DR广告线索</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线索地区</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根据线索地区进行线索数量统计</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线索来源</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根据线索来源进行线索数量统计</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地图</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地图显示全市及各县市区DR余额以及剩余人次</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重点国企</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根据企业DR余额进行排名</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重点地区</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根据地区DR余额进行排名</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中介灰名单</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根据中介DR余额进行排名</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DR余额情况</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统计近6个月DR余额情况</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DR结构情况</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根据融资方式统计占比情况</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DR清理情况</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显示DR清理情况</w:t>
            </w:r>
            <w:r/>
          </w:p>
        </w:tc>
      </w:tr>
      <w:tr>
        <w:trPr>
          <w:trHeight w:val="280"/>
        </w:trPr>
        <w:tc>
          <w:tcPr>
            <w:tcBorders>
              <w:top w:val="single" w:color="000000" w:sz="4" w:space="0"/>
              <w:left w:val="single" w:color="000000" w:sz="4" w:space="0"/>
              <w:bottom w:val="single" w:color="000000" w:sz="4" w:space="0"/>
              <w:right w:val="single" w:color="000000" w:sz="4" w:space="0"/>
            </w:tcBorders>
            <w:tcW w:w="1379"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工作动态</w:t>
            </w:r>
            <w:r/>
          </w:p>
        </w:tc>
        <w:tc>
          <w:tcPr>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显示个地区工作动态</w:t>
            </w:r>
            <w:r/>
          </w:p>
        </w:tc>
      </w:tr>
    </w:tbl>
    <w:p>
      <w:pPr>
        <w:ind w:firstLine="482"/>
        <w:jc w:val="left"/>
        <w:spacing w:line="500" w:lineRule="exact"/>
        <w:widowControl/>
        <w:rPr>
          <w:rFonts w:hint="eastAsia" w:ascii="宋体" w:hAnsi="宋体" w:cs="宋体"/>
          <w:b/>
          <w:bCs/>
          <w:color w:val="auto"/>
          <w:sz w:val="24"/>
          <w:szCs w:val="20"/>
          <w:highlight w:val="none"/>
          <w:lang w:val="zh-CN" w:eastAsia="zh-TW"/>
        </w:rPr>
      </w:pPr>
      <w:r>
        <w:rPr>
          <w:rFonts w:hint="eastAsia" w:ascii="宋体" w:hAnsi="宋体" w:cs="宋体"/>
          <w:b/>
          <w:bCs/>
          <w:color w:val="auto"/>
          <w:sz w:val="24"/>
          <w:szCs w:val="20"/>
          <w:highlight w:val="none"/>
          <w:lang w:val="zh-CN" w:eastAsia="zh-TW"/>
        </w:rPr>
        <w:t xml:space="preserve">三、信息安全需求</w:t>
      </w:r>
      <w:r/>
    </w:p>
    <w:p>
      <w:pPr>
        <w:ind w:firstLine="480"/>
        <w:jc w:val="left"/>
        <w:spacing w:line="500" w:lineRule="exact"/>
        <w:widowControl/>
        <w:rPr>
          <w:rFonts w:hint="eastAsia" w:ascii="宋体" w:hAnsi="宋体" w:cs="宋体"/>
          <w:color w:val="auto"/>
          <w:sz w:val="24"/>
          <w:highlight w:val="none"/>
        </w:rPr>
      </w:pPr>
      <w:r/>
      <w:bookmarkStart w:id="171" w:name="_Toc183725816"/>
      <w:r>
        <w:rPr>
          <w:rFonts w:hint="eastAsia" w:ascii="宋体" w:hAnsi="宋体" w:cs="宋体"/>
          <w:color w:val="auto"/>
          <w:sz w:val="24"/>
          <w:highlight w:val="none"/>
        </w:rPr>
        <w:t xml:space="preserve">1</w:t>
      </w:r>
      <w:r>
        <w:rPr>
          <w:rFonts w:hint="eastAsia" w:ascii="宋体" w:hAnsi="宋体" w:cs="微软雅黑"/>
          <w:color w:val="auto"/>
          <w:sz w:val="24"/>
          <w:highlight w:val="none"/>
        </w:rPr>
        <w:t xml:space="preserve">、可控性</w:t>
      </w:r>
      <w:bookmarkEnd w:id="171"/>
      <w:r/>
      <w:r/>
    </w:p>
    <w:p>
      <w:pPr>
        <w:ind w:firstLine="480"/>
        <w:jc w:val="left"/>
        <w:spacing w:line="500" w:lineRule="exact"/>
        <w:widowControl/>
        <w:rPr>
          <w:rFonts w:hint="eastAsia" w:ascii="宋体" w:hAnsi="宋体" w:cs="宋体"/>
          <w:color w:val="auto"/>
          <w:sz w:val="24"/>
          <w:highlight w:val="none"/>
        </w:rPr>
      </w:pPr>
      <w:r>
        <w:rPr>
          <w:rFonts w:hint="eastAsia" w:ascii="宋体" w:hAnsi="宋体" w:cs="微软雅黑"/>
          <w:color w:val="auto"/>
          <w:sz w:val="24"/>
          <w:highlight w:val="none"/>
        </w:rPr>
        <w:t xml:space="preserve">根据公共服务区和核心业务区接入功能的不同，使用符合要求的接入方式，保证与其它网络、服务器等连接和数据交换可控。</w:t>
      </w:r>
      <w:r/>
    </w:p>
    <w:p>
      <w:pPr>
        <w:ind w:firstLine="480"/>
        <w:jc w:val="left"/>
        <w:spacing w:line="500" w:lineRule="exact"/>
        <w:widowControl/>
        <w:rPr>
          <w:rFonts w:hint="eastAsia" w:ascii="宋体" w:hAnsi="宋体" w:cs="宋体"/>
          <w:color w:val="auto"/>
          <w:sz w:val="24"/>
          <w:highlight w:val="none"/>
        </w:rPr>
      </w:pPr>
      <w:r/>
      <w:bookmarkStart w:id="172" w:name="_Toc183725817"/>
      <w:r>
        <w:rPr>
          <w:rFonts w:hint="eastAsia" w:ascii="宋体" w:hAnsi="宋体" w:cs="宋体"/>
          <w:color w:val="auto"/>
          <w:sz w:val="24"/>
          <w:highlight w:val="none"/>
        </w:rPr>
        <w:t xml:space="preserve">2</w:t>
      </w:r>
      <w:r>
        <w:rPr>
          <w:rFonts w:hint="eastAsia" w:ascii="宋体" w:hAnsi="宋体" w:cs="微软雅黑"/>
          <w:color w:val="auto"/>
          <w:sz w:val="24"/>
          <w:highlight w:val="none"/>
        </w:rPr>
        <w:t xml:space="preserve">、可管理性</w:t>
      </w:r>
      <w:bookmarkEnd w:id="172"/>
      <w:r/>
      <w:r/>
    </w:p>
    <w:p>
      <w:pPr>
        <w:ind w:firstLine="480"/>
        <w:jc w:val="left"/>
        <w:spacing w:line="500" w:lineRule="exact"/>
        <w:widowControl/>
        <w:rPr>
          <w:rFonts w:hint="eastAsia" w:ascii="宋体" w:hAnsi="宋体" w:cs="宋体"/>
          <w:color w:val="auto"/>
          <w:sz w:val="24"/>
          <w:highlight w:val="none"/>
        </w:rPr>
      </w:pPr>
      <w:r>
        <w:rPr>
          <w:rFonts w:hint="eastAsia" w:ascii="宋体" w:hAnsi="宋体" w:cs="微软雅黑"/>
          <w:color w:val="auto"/>
          <w:sz w:val="24"/>
          <w:highlight w:val="none"/>
        </w:rPr>
        <w:t xml:space="preserve">根据</w:t>
      </w:r>
      <w:r>
        <w:rPr>
          <w:rFonts w:hint="eastAsia" w:ascii="宋体" w:hAnsi="宋体" w:cs="宋体"/>
          <w:color w:val="auto"/>
          <w:sz w:val="24"/>
          <w:szCs w:val="20"/>
          <w:highlight w:val="none"/>
        </w:rPr>
        <w:t xml:space="preserve">国企监管平台的</w:t>
      </w:r>
      <w:r>
        <w:rPr>
          <w:rFonts w:hint="eastAsia" w:ascii="宋体" w:hAnsi="宋体" w:cs="微软雅黑"/>
          <w:color w:val="auto"/>
          <w:sz w:val="24"/>
          <w:highlight w:val="none"/>
        </w:rPr>
        <w:t xml:space="preserve">相关的功能，及相应的接入要求，能够对网络接入行为进行必要的监管和记录。</w:t>
      </w:r>
      <w:r/>
    </w:p>
    <w:p>
      <w:pPr>
        <w:ind w:firstLine="480"/>
        <w:jc w:val="left"/>
        <w:spacing w:line="500" w:lineRule="exact"/>
        <w:widowControl/>
        <w:rPr>
          <w:rFonts w:hint="eastAsia" w:ascii="宋体" w:hAnsi="宋体" w:cs="宋体"/>
          <w:color w:val="auto"/>
          <w:sz w:val="24"/>
          <w:highlight w:val="none"/>
        </w:rPr>
      </w:pPr>
      <w:r/>
      <w:bookmarkStart w:id="173" w:name="_Toc183725818"/>
      <w:r>
        <w:rPr>
          <w:rFonts w:hint="eastAsia" w:ascii="宋体" w:hAnsi="宋体" w:cs="宋体"/>
          <w:color w:val="auto"/>
          <w:sz w:val="24"/>
          <w:highlight w:val="none"/>
        </w:rPr>
        <w:t xml:space="preserve">3</w:t>
      </w:r>
      <w:r>
        <w:rPr>
          <w:rFonts w:hint="eastAsia" w:ascii="宋体" w:hAnsi="宋体" w:cs="微软雅黑"/>
          <w:color w:val="auto"/>
          <w:sz w:val="24"/>
          <w:highlight w:val="none"/>
        </w:rPr>
        <w:t xml:space="preserve">、安全性</w:t>
      </w:r>
      <w:bookmarkEnd w:id="173"/>
      <w:r/>
      <w:r/>
    </w:p>
    <w:p>
      <w:pPr>
        <w:ind w:firstLine="480"/>
        <w:jc w:val="left"/>
        <w:spacing w:line="500" w:lineRule="exact"/>
        <w:widowControl/>
        <w:rPr>
          <w:rFonts w:hint="eastAsia" w:ascii="宋体" w:hAnsi="宋体" w:cs="宋体"/>
          <w:color w:val="auto"/>
          <w:sz w:val="24"/>
          <w:highlight w:val="none"/>
        </w:rPr>
      </w:pPr>
      <w:r>
        <w:rPr>
          <w:rFonts w:hint="eastAsia" w:ascii="宋体" w:hAnsi="宋体" w:cs="微软雅黑"/>
          <w:color w:val="auto"/>
          <w:sz w:val="24"/>
          <w:highlight w:val="none"/>
        </w:rPr>
        <w:t xml:space="preserve">数据保密、服务保密，不泄露，不私自授权；接入机构及渠道应用不得私自封装</w:t>
      </w:r>
      <w:r>
        <w:rPr>
          <w:rFonts w:hint="eastAsia" w:ascii="宋体" w:hAnsi="宋体" w:cs="宋体"/>
          <w:color w:val="auto"/>
          <w:sz w:val="24"/>
          <w:szCs w:val="20"/>
          <w:highlight w:val="none"/>
        </w:rPr>
        <w:t xml:space="preserve">国企监管平台的</w:t>
      </w:r>
      <w:r>
        <w:rPr>
          <w:rFonts w:hint="eastAsia" w:ascii="宋体" w:hAnsi="宋体" w:cs="微软雅黑"/>
          <w:color w:val="auto"/>
          <w:sz w:val="24"/>
          <w:highlight w:val="none"/>
        </w:rPr>
        <w:t xml:space="preserve">服务提供给其他渠道应用使用。渠道应用接入的网络环境应做好信息安全防护，确保信息不被篡改和非法获取，保证数据交换的安全。</w:t>
      </w:r>
      <w:r/>
    </w:p>
    <w:p>
      <w:pPr>
        <w:ind w:firstLine="480"/>
        <w:jc w:val="left"/>
        <w:spacing w:line="500" w:lineRule="exact"/>
        <w:widowControl/>
        <w:rPr>
          <w:rFonts w:hint="eastAsia" w:ascii="宋体" w:hAnsi="宋体" w:cs="宋体"/>
          <w:color w:val="auto"/>
          <w:sz w:val="24"/>
          <w:highlight w:val="none"/>
        </w:rPr>
      </w:pPr>
      <w:r/>
      <w:bookmarkStart w:id="174" w:name="_Toc183725819"/>
      <w:r>
        <w:rPr>
          <w:rFonts w:hint="eastAsia" w:ascii="宋体" w:hAnsi="宋体" w:cs="宋体"/>
          <w:color w:val="auto"/>
          <w:sz w:val="24"/>
          <w:highlight w:val="none"/>
        </w:rPr>
        <w:t xml:space="preserve">4</w:t>
      </w:r>
      <w:r>
        <w:rPr>
          <w:rFonts w:hint="eastAsia" w:ascii="宋体" w:hAnsi="宋体" w:cs="微软雅黑"/>
          <w:color w:val="auto"/>
          <w:sz w:val="24"/>
          <w:highlight w:val="none"/>
        </w:rPr>
        <w:t xml:space="preserve">、高可用性</w:t>
      </w:r>
      <w:bookmarkEnd w:id="174"/>
      <w:r/>
      <w:r/>
    </w:p>
    <w:p>
      <w:pPr>
        <w:ind w:firstLine="480"/>
        <w:jc w:val="left"/>
        <w:spacing w:line="500" w:lineRule="exact"/>
        <w:widowControl/>
        <w:rPr>
          <w:rFonts w:hint="eastAsia" w:ascii="宋体" w:hAnsi="宋体" w:cs="宋体"/>
          <w:color w:val="auto"/>
          <w:sz w:val="24"/>
          <w:highlight w:val="none"/>
        </w:rPr>
      </w:pPr>
      <w:r>
        <w:rPr>
          <w:rFonts w:hint="eastAsia" w:ascii="宋体" w:hAnsi="宋体" w:cs="微软雅黑"/>
          <w:color w:val="auto"/>
          <w:sz w:val="24"/>
          <w:highlight w:val="none"/>
        </w:rPr>
        <w:t xml:space="preserve">在保证信息安全的同时，满足应用的高可用性，避免出现单点故障。</w:t>
      </w:r>
      <w:r/>
    </w:p>
    <w:p>
      <w:pPr>
        <w:ind w:firstLine="480"/>
        <w:jc w:val="left"/>
        <w:spacing w:line="500" w:lineRule="exact"/>
        <w:widowControl/>
        <w:rPr>
          <w:rFonts w:hint="eastAsia" w:ascii="宋体" w:hAnsi="宋体" w:cs="宋体"/>
          <w:color w:val="auto"/>
          <w:sz w:val="24"/>
          <w:highlight w:val="none"/>
        </w:rPr>
      </w:pPr>
      <w:r/>
      <w:bookmarkStart w:id="175" w:name="_Toc183725820"/>
      <w:r>
        <w:rPr>
          <w:rFonts w:hint="eastAsia" w:ascii="宋体" w:hAnsi="宋体" w:cs="宋体"/>
          <w:color w:val="auto"/>
          <w:sz w:val="24"/>
          <w:highlight w:val="none"/>
        </w:rPr>
        <w:t xml:space="preserve">5</w:t>
      </w:r>
      <w:r>
        <w:rPr>
          <w:rFonts w:hint="eastAsia" w:ascii="宋体" w:hAnsi="宋体" w:cs="微软雅黑"/>
          <w:color w:val="auto"/>
          <w:sz w:val="24"/>
          <w:highlight w:val="none"/>
        </w:rPr>
        <w:t xml:space="preserve">、可容灾性</w:t>
      </w:r>
      <w:bookmarkEnd w:id="175"/>
      <w:r/>
      <w:r/>
    </w:p>
    <w:p>
      <w:pPr>
        <w:ind w:firstLine="480"/>
        <w:jc w:val="left"/>
        <w:spacing w:line="500" w:lineRule="exact"/>
        <w:widowControl/>
        <w:rPr>
          <w:rFonts w:hint="eastAsia" w:ascii="宋体" w:hAnsi="宋体" w:cs="宋体"/>
          <w:color w:val="auto"/>
          <w:sz w:val="24"/>
          <w:highlight w:val="none"/>
        </w:rPr>
      </w:pPr>
      <w:r>
        <w:rPr>
          <w:rFonts w:hint="eastAsia" w:ascii="宋体" w:hAnsi="宋体" w:cs="微软雅黑"/>
          <w:color w:val="auto"/>
          <w:sz w:val="24"/>
          <w:highlight w:val="none"/>
        </w:rPr>
        <w:t xml:space="preserve">通过建设容灾体系，防范自然灾害等各类因素引发的业务停顿，以免造成不良影响。</w:t>
      </w:r>
      <w:r/>
    </w:p>
    <w:p>
      <w:pPr>
        <w:ind w:firstLine="480"/>
        <w:jc w:val="left"/>
        <w:spacing w:line="500" w:lineRule="exact"/>
        <w:widowControl/>
        <w:rPr>
          <w:rFonts w:hint="eastAsia" w:ascii="宋体" w:hAnsi="宋体" w:cs="宋体"/>
          <w:color w:val="auto"/>
          <w:sz w:val="24"/>
          <w:highlight w:val="none"/>
        </w:rPr>
      </w:pPr>
      <w:r/>
      <w:bookmarkStart w:id="176" w:name="_Toc183725821"/>
      <w:r>
        <w:rPr>
          <w:rFonts w:hint="eastAsia" w:ascii="宋体" w:hAnsi="宋体" w:cs="宋体"/>
          <w:color w:val="auto"/>
          <w:sz w:val="24"/>
          <w:highlight w:val="none"/>
        </w:rPr>
        <w:t xml:space="preserve">6</w:t>
      </w:r>
      <w:r>
        <w:rPr>
          <w:rFonts w:hint="eastAsia" w:ascii="宋体" w:hAnsi="宋体" w:cs="微软雅黑"/>
          <w:color w:val="auto"/>
          <w:sz w:val="24"/>
          <w:highlight w:val="none"/>
        </w:rPr>
        <w:t xml:space="preserve">、可测试性</w:t>
      </w:r>
      <w:bookmarkEnd w:id="176"/>
      <w:r/>
      <w:r/>
    </w:p>
    <w:p>
      <w:pPr>
        <w:ind w:firstLine="480"/>
        <w:jc w:val="left"/>
        <w:spacing w:line="500" w:lineRule="exact"/>
        <w:widowControl/>
        <w:rPr>
          <w:rFonts w:hint="eastAsia" w:ascii="宋体" w:hAnsi="宋体" w:cs="宋体"/>
          <w:color w:val="auto"/>
          <w:sz w:val="24"/>
          <w:highlight w:val="none"/>
        </w:rPr>
      </w:pPr>
      <w:r>
        <w:rPr>
          <w:rFonts w:hint="eastAsia" w:ascii="宋体" w:hAnsi="宋体" w:cs="微软雅黑"/>
          <w:color w:val="auto"/>
          <w:sz w:val="24"/>
          <w:highlight w:val="none"/>
        </w:rPr>
        <w:t xml:space="preserve">通过测试环境的建设，保障在相关应用系统升级时，可进行业务测试验证。</w:t>
      </w:r>
      <w:r/>
    </w:p>
    <w:p>
      <w:pPr>
        <w:ind w:firstLine="482"/>
        <w:jc w:val="left"/>
        <w:spacing w:line="500" w:lineRule="exact"/>
        <w:widowControl/>
        <w:rPr>
          <w:rFonts w:hint="eastAsia" w:ascii="宋体" w:hAnsi="宋体" w:cs="宋体"/>
          <w:b/>
          <w:bCs/>
          <w:color w:val="auto"/>
          <w:sz w:val="24"/>
          <w:szCs w:val="20"/>
          <w:highlight w:val="none"/>
          <w:lang w:val="zh-CN" w:eastAsia="zh-TW"/>
        </w:rPr>
      </w:pPr>
      <w:r>
        <w:rPr>
          <w:rFonts w:hint="eastAsia" w:ascii="宋体" w:hAnsi="宋体" w:cs="宋体"/>
          <w:b/>
          <w:bCs/>
          <w:color w:val="auto"/>
          <w:sz w:val="24"/>
          <w:szCs w:val="20"/>
          <w:highlight w:val="none"/>
          <w:lang w:val="zh-CN" w:eastAsia="zh-TW"/>
        </w:rPr>
        <w:t xml:space="preserve">四、性能需求</w:t>
      </w:r>
      <w:r/>
    </w:p>
    <w:p>
      <w:pPr>
        <w:ind w:firstLine="480"/>
        <w:jc w:val="left"/>
        <w:spacing w:line="500" w:lineRule="exact"/>
        <w:widowControl/>
        <w:rPr>
          <w:rFonts w:hint="eastAsia" w:ascii="宋体" w:hAnsi="宋体" w:cs="宋体"/>
          <w:color w:val="auto"/>
          <w:sz w:val="24"/>
          <w:highlight w:val="none"/>
        </w:rPr>
      </w:pPr>
      <w:r>
        <w:rPr>
          <w:rFonts w:hint="eastAsia" w:ascii="宋体" w:hAnsi="宋体" w:cs="微软雅黑"/>
          <w:color w:val="auto"/>
          <w:sz w:val="24"/>
          <w:highlight w:val="none"/>
        </w:rPr>
        <w:t xml:space="preserve">应用系统应满足业务处理流程的要求，实用、安全、稳定、可靠、开放、可扩，人机界面友好，输入输出方便，检索查询简单快捷。</w:t>
      </w:r>
      <w:r/>
    </w:p>
    <w:p>
      <w:pPr>
        <w:ind w:firstLine="480"/>
        <w:jc w:val="left"/>
        <w:spacing w:line="500" w:lineRule="exact"/>
        <w:widowControl/>
        <w:rPr>
          <w:rFonts w:hint="eastAsia" w:ascii="宋体" w:hAnsi="宋体" w:cs="宋体"/>
          <w:color w:val="auto"/>
          <w:sz w:val="24"/>
          <w:highlight w:val="none"/>
        </w:rPr>
      </w:pPr>
      <w:r>
        <w:rPr>
          <w:rFonts w:hint="eastAsia" w:ascii="宋体" w:hAnsi="宋体" w:cs="微软雅黑"/>
          <w:color w:val="auto"/>
          <w:sz w:val="24"/>
          <w:highlight w:val="none"/>
        </w:rPr>
        <w:t xml:space="preserve">具体指标：</w:t>
      </w:r>
      <w:r/>
    </w:p>
    <w:p>
      <w:pPr>
        <w:ind w:firstLine="480"/>
        <w:jc w:val="left"/>
        <w:spacing w:line="5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微软雅黑"/>
          <w:color w:val="auto"/>
          <w:sz w:val="24"/>
          <w:highlight w:val="none"/>
        </w:rPr>
        <w:t xml:space="preserve">．运行时间要求：要保证能够在</w:t>
      </w:r>
      <w:r>
        <w:rPr>
          <w:rFonts w:hint="eastAsia" w:ascii="宋体" w:hAnsi="宋体" w:cs="宋体"/>
          <w:color w:val="auto"/>
          <w:sz w:val="24"/>
          <w:highlight w:val="none"/>
        </w:rPr>
        <w:t xml:space="preserve">24</w:t>
      </w:r>
      <w:r>
        <w:rPr>
          <w:rFonts w:hint="eastAsia" w:ascii="宋体" w:hAnsi="宋体" w:cs="微软雅黑"/>
          <w:color w:val="auto"/>
          <w:sz w:val="24"/>
          <w:highlight w:val="none"/>
        </w:rPr>
        <w:t xml:space="preserve">小时</w:t>
      </w:r>
      <w:r>
        <w:rPr>
          <w:rFonts w:ascii="宋体" w:hAnsi="宋体" w:cs="Arial"/>
          <w:color w:val="auto"/>
          <w:sz w:val="24"/>
          <w:highlight w:val="none"/>
        </w:rPr>
        <w:t xml:space="preserve">×</w:t>
      </w:r>
      <w:r>
        <w:rPr>
          <w:rFonts w:hint="eastAsia" w:ascii="宋体" w:hAnsi="宋体" w:cs="宋体"/>
          <w:color w:val="auto"/>
          <w:sz w:val="24"/>
          <w:highlight w:val="none"/>
        </w:rPr>
        <w:t xml:space="preserve">7</w:t>
      </w:r>
      <w:r>
        <w:rPr>
          <w:rFonts w:hint="eastAsia" w:ascii="宋体" w:hAnsi="宋体" w:cs="微软雅黑"/>
          <w:color w:val="auto"/>
          <w:sz w:val="24"/>
          <w:highlight w:val="none"/>
        </w:rPr>
        <w:t xml:space="preserve">天的时间内提供服务，系统的可用时间百分比不低于</w:t>
      </w:r>
      <w:r>
        <w:rPr>
          <w:rFonts w:hint="eastAsia" w:ascii="宋体" w:hAnsi="宋体" w:cs="宋体"/>
          <w:color w:val="auto"/>
          <w:sz w:val="24"/>
          <w:highlight w:val="none"/>
        </w:rPr>
        <w:t xml:space="preserve">99%</w:t>
      </w:r>
      <w:r>
        <w:rPr>
          <w:rFonts w:hint="eastAsia" w:ascii="宋体" w:hAnsi="宋体" w:cs="微软雅黑"/>
          <w:color w:val="auto"/>
          <w:sz w:val="24"/>
          <w:highlight w:val="none"/>
        </w:rPr>
        <w:t xml:space="preserve">。</w:t>
      </w:r>
      <w:r/>
    </w:p>
    <w:p>
      <w:pPr>
        <w:ind w:firstLine="480"/>
        <w:jc w:val="left"/>
        <w:spacing w:line="5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微软雅黑"/>
          <w:color w:val="auto"/>
          <w:sz w:val="24"/>
          <w:highlight w:val="none"/>
        </w:rPr>
        <w:t xml:space="preserve">．系统故障率：系统能够稳定地运行，平均故障间隔时间不少于两个月，平均修复时间不超过</w:t>
      </w:r>
      <w:r>
        <w:rPr>
          <w:rFonts w:hint="eastAsia" w:ascii="宋体" w:hAnsi="宋体" w:cs="宋体"/>
          <w:color w:val="auto"/>
          <w:sz w:val="24"/>
          <w:highlight w:val="none"/>
        </w:rPr>
        <w:t xml:space="preserve">5</w:t>
      </w:r>
      <w:r>
        <w:rPr>
          <w:rFonts w:hint="eastAsia" w:ascii="宋体" w:hAnsi="宋体" w:cs="微软雅黑"/>
          <w:color w:val="auto"/>
          <w:sz w:val="24"/>
          <w:highlight w:val="none"/>
        </w:rPr>
        <w:t xml:space="preserve">小时。</w:t>
      </w:r>
      <w:r/>
    </w:p>
    <w:p>
      <w:pPr>
        <w:ind w:firstLine="480"/>
        <w:jc w:val="left"/>
        <w:spacing w:line="5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微软雅黑"/>
          <w:color w:val="auto"/>
          <w:sz w:val="24"/>
          <w:highlight w:val="none"/>
        </w:rPr>
        <w:t xml:space="preserve">、在与服务器同等网络条件下（考虑到不同网络之间存在访问限制），数据获取、处理、入库一次信息的平均时间要求不超过</w:t>
      </w:r>
      <w:r>
        <w:rPr>
          <w:rFonts w:hint="eastAsia" w:ascii="宋体" w:hAnsi="宋体" w:cs="宋体"/>
          <w:color w:val="auto"/>
          <w:sz w:val="24"/>
          <w:highlight w:val="none"/>
        </w:rPr>
        <w:t xml:space="preserve">5</w:t>
      </w:r>
      <w:r>
        <w:rPr>
          <w:rFonts w:hint="eastAsia" w:ascii="宋体" w:hAnsi="宋体" w:cs="微软雅黑"/>
          <w:color w:val="auto"/>
          <w:sz w:val="24"/>
          <w:highlight w:val="none"/>
        </w:rPr>
        <w:t xml:space="preserve">秒。</w:t>
      </w:r>
      <w:r/>
    </w:p>
    <w:p>
      <w:pPr>
        <w:ind w:firstLine="480"/>
        <w:jc w:val="left"/>
        <w:spacing w:line="5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微软雅黑"/>
          <w:color w:val="auto"/>
          <w:sz w:val="24"/>
          <w:highlight w:val="none"/>
        </w:rPr>
        <w:t xml:space="preserve">、在与服务器同等网络条件下（考虑到不同网络之间存在访问限制），千条数据以内的数据加载和存储，平均响应时间在</w:t>
      </w:r>
      <w:r>
        <w:rPr>
          <w:rFonts w:hint="eastAsia" w:ascii="宋体" w:hAnsi="宋体" w:cs="宋体"/>
          <w:color w:val="auto"/>
          <w:sz w:val="24"/>
          <w:highlight w:val="none"/>
        </w:rPr>
        <w:t xml:space="preserve">2</w:t>
      </w:r>
      <w:r>
        <w:rPr>
          <w:rFonts w:hint="eastAsia" w:ascii="宋体" w:hAnsi="宋体" w:cs="微软雅黑"/>
          <w:color w:val="auto"/>
          <w:sz w:val="24"/>
          <w:highlight w:val="none"/>
        </w:rPr>
        <w:t xml:space="preserve">秒之内；千条数据以内的统计，平均响应时间在</w:t>
      </w:r>
      <w:r>
        <w:rPr>
          <w:rFonts w:hint="eastAsia" w:ascii="宋体" w:hAnsi="宋体" w:cs="宋体"/>
          <w:color w:val="auto"/>
          <w:sz w:val="24"/>
          <w:highlight w:val="none"/>
        </w:rPr>
        <w:t xml:space="preserve">3</w:t>
      </w:r>
      <w:r>
        <w:rPr>
          <w:rFonts w:hint="eastAsia" w:ascii="宋体" w:hAnsi="宋体" w:cs="微软雅黑"/>
          <w:color w:val="auto"/>
          <w:sz w:val="24"/>
          <w:highlight w:val="none"/>
        </w:rPr>
        <w:t xml:space="preserve">秒之内。</w:t>
      </w:r>
      <w:r/>
    </w:p>
    <w:p>
      <w:pPr>
        <w:ind w:firstLine="480"/>
        <w:jc w:val="left"/>
        <w:spacing w:line="5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微软雅黑"/>
          <w:color w:val="auto"/>
          <w:sz w:val="24"/>
          <w:highlight w:val="none"/>
        </w:rPr>
        <w:t xml:space="preserve">、保证五年内数据库记录数的增长，并且保证大容量数据库的可操作性。</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微软雅黑"/>
          <w:b/>
          <w:bCs/>
          <w:color w:val="auto"/>
          <w:sz w:val="24"/>
          <w:highlight w:val="none"/>
        </w:rPr>
        <w:t xml:space="preserve">五、相关说明</w:t>
      </w:r>
      <w:r/>
    </w:p>
    <w:p>
      <w:pPr>
        <w:ind w:firstLine="480"/>
        <w:jc w:val="left"/>
        <w:spacing w:line="5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微软雅黑"/>
          <w:color w:val="auto"/>
          <w:sz w:val="24"/>
          <w:highlight w:val="none"/>
        </w:rPr>
        <w:t xml:space="preserve">、交付时间：本项目要求交付时间为合同签订之日起</w:t>
      </w:r>
      <w:r>
        <w:rPr>
          <w:rFonts w:hint="eastAsia" w:ascii="宋体" w:hAnsi="宋体" w:cs="宋体"/>
          <w:color w:val="auto"/>
          <w:sz w:val="24"/>
          <w:highlight w:val="none"/>
        </w:rPr>
        <w:t xml:space="preserve">90</w:t>
      </w:r>
      <w:r>
        <w:rPr>
          <w:rFonts w:hint="eastAsia" w:ascii="宋体" w:hAnsi="宋体" w:cs="微软雅黑"/>
          <w:color w:val="auto"/>
          <w:sz w:val="24"/>
          <w:highlight w:val="none"/>
        </w:rPr>
        <w:t xml:space="preserve">个日历内，逾期交付每日处以</w:t>
      </w:r>
      <w:r>
        <w:rPr>
          <w:rFonts w:hint="eastAsia" w:ascii="宋体" w:hAnsi="宋体" w:cs="微软雅黑"/>
          <w:color w:val="auto"/>
          <w:sz w:val="24"/>
          <w:highlight w:val="none"/>
          <w:lang w:val="en-US" w:eastAsia="zh-CN"/>
        </w:rPr>
        <w:t xml:space="preserve">万分之五</w:t>
      </w:r>
      <w:r>
        <w:rPr>
          <w:rFonts w:hint="eastAsia" w:ascii="宋体" w:hAnsi="宋体" w:cs="微软雅黑"/>
          <w:color w:val="auto"/>
          <w:sz w:val="24"/>
          <w:highlight w:val="none"/>
        </w:rPr>
        <w:t xml:space="preserve">的违约金。</w:t>
      </w:r>
      <w:r/>
    </w:p>
    <w:p>
      <w:pPr>
        <w:ind w:firstLine="480"/>
        <w:jc w:val="left"/>
        <w:spacing w:line="5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微软雅黑"/>
          <w:color w:val="auto"/>
          <w:sz w:val="24"/>
          <w:highlight w:val="none"/>
        </w:rPr>
        <w:t xml:space="preserve">、硬件资源：本服务硬件网络资源、数据库、中间件、操作系统等由采购人提供。</w:t>
      </w:r>
      <w:r/>
    </w:p>
    <w:p>
      <w:pPr>
        <w:ind w:firstLine="480"/>
        <w:jc w:val="left"/>
        <w:spacing w:line="5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微软雅黑"/>
          <w:color w:val="auto"/>
          <w:sz w:val="24"/>
          <w:highlight w:val="none"/>
        </w:rPr>
        <w:t xml:space="preserve">、培训要求：供应商应当根据工作需要，统筹安排和组织开展技术培训和应用培训。</w:t>
      </w:r>
      <w:r/>
    </w:p>
    <w:p>
      <w:pPr>
        <w:ind w:firstLine="480"/>
        <w:jc w:val="left"/>
        <w:spacing w:line="5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微软雅黑"/>
          <w:color w:val="auto"/>
          <w:sz w:val="24"/>
          <w:highlight w:val="none"/>
        </w:rPr>
        <w:t xml:space="preserve">、运行维护：供应商应当提供一年免费运维维护服务（自项目验收通过之日起计算），及时处理和解决系统运行中的故障。</w:t>
      </w:r>
      <w:r/>
    </w:p>
    <w:p>
      <w:pPr>
        <w:ind w:firstLine="480"/>
        <w:jc w:val="left"/>
        <w:spacing w:line="500" w:lineRule="exact"/>
        <w:widowControl/>
        <w:rPr>
          <w:rFonts w:hint="eastAsia" w:ascii="微软雅黑" w:hAnsi="微软雅黑" w:eastAsia="微软雅黑" w:cs="微软雅黑"/>
          <w:color w:val="auto"/>
          <w:sz w:val="24"/>
          <w:highlight w:val="none"/>
        </w:rPr>
      </w:pPr>
      <w:r>
        <w:rPr>
          <w:rFonts w:hint="eastAsia" w:ascii="宋体" w:hAnsi="宋体" w:cs="宋体"/>
          <w:color w:val="auto"/>
          <w:sz w:val="24"/>
          <w:highlight w:val="none"/>
        </w:rPr>
        <w:t xml:space="preserve">5</w:t>
      </w:r>
      <w:r>
        <w:rPr>
          <w:rFonts w:hint="eastAsia" w:ascii="宋体" w:hAnsi="宋体" w:cs="微软雅黑"/>
          <w:color w:val="auto"/>
          <w:sz w:val="24"/>
          <w:highlight w:val="none"/>
        </w:rPr>
        <w:t xml:space="preserve">、保密要求：供应商应当签署保密协议，不得向第三方泄露获取的信息数据</w:t>
      </w:r>
      <w:r>
        <w:rPr>
          <w:rFonts w:hint="eastAsia" w:ascii="微软雅黑" w:hAnsi="微软雅黑" w:eastAsia="微软雅黑" w:cs="微软雅黑"/>
          <w:color w:val="auto"/>
          <w:sz w:val="24"/>
          <w:highlight w:val="none"/>
        </w:rPr>
        <w:t xml:space="preserve">。</w:t>
      </w:r>
      <w:r/>
    </w:p>
    <w:p>
      <w:pPr>
        <w:ind w:firstLine="482"/>
        <w:jc w:val="left"/>
        <w:spacing w:line="500" w:lineRule="exact"/>
        <w:widowControl/>
        <w:rPr>
          <w:rFonts w:hint="default" w:ascii="宋体" w:hAnsi="宋体" w:cs="微软雅黑" w:eastAsiaTheme="minorEastAsia"/>
          <w:b/>
          <w:bCs/>
          <w:color w:val="auto"/>
          <w:sz w:val="24"/>
          <w:highlight w:val="none"/>
          <w:lang w:val="en-US" w:eastAsia="zh-CN"/>
        </w:rPr>
      </w:pPr>
      <w:r>
        <w:rPr>
          <w:rFonts w:ascii="宋体" w:hAnsi="宋体" w:cs="微软雅黑"/>
          <w:b/>
          <w:bCs/>
          <w:color w:val="auto"/>
          <w:sz w:val="24"/>
          <w:highlight w:val="none"/>
        </w:rPr>
        <w:t xml:space="preserve">六、</w:t>
      </w:r>
      <w:r>
        <w:rPr>
          <w:rFonts w:hint="eastAsia" w:ascii="宋体" w:hAnsi="宋体" w:cs="微软雅黑"/>
          <w:b/>
          <w:bCs/>
          <w:color w:val="auto"/>
          <w:sz w:val="24"/>
          <w:highlight w:val="none"/>
          <w:lang w:val="en-US" w:eastAsia="zh-CN"/>
        </w:rPr>
        <w:t xml:space="preserve">商务部分</w:t>
      </w:r>
      <w:r/>
    </w:p>
    <w:p>
      <w:pPr>
        <w:ind w:firstLine="482"/>
        <w:jc w:val="left"/>
        <w:spacing w:line="560" w:lineRule="exact"/>
        <w:widowControl/>
        <w:rPr>
          <w:rFonts w:hint="eastAsia"/>
          <w:color w:val="auto"/>
          <w:sz w:val="24"/>
          <w:szCs w:val="24"/>
          <w:highlight w:val="none"/>
          <w:lang w:val="en-US" w:eastAsia="zh-CN"/>
        </w:rPr>
      </w:pPr>
      <w:r/>
      <w:bookmarkStart w:id="177" w:name="OLE_LINK42"/>
      <w:r>
        <w:rPr>
          <w:rFonts w:ascii="宋体" w:hAnsi="宋体" w:cs="宋体"/>
          <w:color w:val="auto"/>
          <w:sz w:val="24"/>
          <w:highlight w:val="none"/>
        </w:rPr>
        <w:t xml:space="preserve">1</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企业实力：</w:t>
      </w:r>
      <w:r>
        <w:rPr>
          <w:rFonts w:hint="eastAsia" w:ascii="宋体" w:hAnsi="宋体" w:cs="宋体"/>
          <w:color w:val="auto"/>
          <w:sz w:val="24"/>
          <w:highlight w:val="none"/>
        </w:rPr>
        <w:t xml:space="preserve">为了择优选择中标单位，展现企业实力，鼓励供应商提供</w:t>
      </w:r>
      <w:r>
        <w:rPr>
          <w:color w:val="auto"/>
          <w:sz w:val="24"/>
          <w:highlight w:val="none"/>
        </w:rPr>
        <w:t xml:space="preserve">信息安全管理体系认证证书；</w:t>
      </w:r>
      <w:r>
        <w:rPr>
          <w:rFonts w:hint="eastAsia"/>
          <w:color w:val="auto"/>
          <w:sz w:val="24"/>
          <w:highlight w:val="none"/>
          <w:lang w:val="en-US" w:eastAsia="zh-CN"/>
        </w:rPr>
        <w:t xml:space="preserve">质量管理体系认证证书</w:t>
      </w:r>
      <w:r>
        <w:rPr>
          <w:rFonts w:hint="eastAsia"/>
          <w:color w:val="auto"/>
          <w:sz w:val="24"/>
          <w:highlight w:val="none"/>
        </w:rPr>
        <w:t xml:space="preserve">；信息技术服务管理体系认证</w:t>
      </w:r>
      <w:r>
        <w:rPr>
          <w:rFonts w:hint="eastAsia"/>
          <w:color w:val="auto"/>
          <w:sz w:val="24"/>
          <w:highlight w:val="none"/>
          <w:lang w:val="en-US" w:eastAsia="zh-CN"/>
        </w:rPr>
        <w:t xml:space="preserve">证书的优先</w:t>
      </w:r>
      <w:r>
        <w:rPr>
          <w:rFonts w:hint="eastAsia" w:ascii="宋体" w:hAnsi="宋体" w:eastAsia="Arial" w:cs="宋体"/>
          <w:color w:val="auto"/>
          <w:sz w:val="24"/>
          <w:szCs w:val="20"/>
          <w:highlight w:val="none"/>
          <w:lang w:eastAsia="zh-CN"/>
        </w:rPr>
      </w:r>
      <w:r/>
    </w:p>
    <w:p>
      <w:pPr>
        <w:ind w:firstLine="482"/>
        <w:jc w:val="left"/>
        <w:spacing w:line="560" w:lineRule="exact"/>
        <w:widowControl/>
        <w:rPr>
          <w:rFonts w:hint="eastAsia" w:ascii="宋体" w:hAnsi="宋体" w:eastAsia="Arial" w:cs="宋体"/>
          <w:color w:val="auto"/>
          <w:sz w:val="24"/>
          <w:szCs w:val="24"/>
          <w:highlight w:val="none"/>
          <w:lang w:eastAsia="zh-CN"/>
        </w:rPr>
      </w:pPr>
      <w:r>
        <w:rPr>
          <w:rFonts w:hint="eastAsia"/>
          <w:color w:val="auto"/>
          <w:sz w:val="24"/>
          <w:highlight w:val="none"/>
          <w:lang w:val="en-US" w:eastAsia="zh-CN"/>
        </w:rPr>
      </w:r>
      <w:r>
        <w:rPr>
          <w:rFonts w:ascii="宋体" w:hAnsi="宋体"/>
          <w:color w:val="auto"/>
          <w:sz w:val="24"/>
          <w:highlight w:val="none"/>
        </w:rPr>
        <w:t xml:space="preserve">2</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团队能力：</w:t>
      </w:r>
      <w:r>
        <w:rPr>
          <w:rFonts w:hint="eastAsia" w:ascii="宋体" w:hAnsi="宋体" w:eastAsia="Arial" w:cs="宋体"/>
          <w:color w:val="auto"/>
          <w:sz w:val="24"/>
          <w:szCs w:val="20"/>
          <w:highlight w:val="none"/>
        </w:rPr>
        <w:t xml:space="preserve">投标人需为本项目配备项目组并提供现场开发和运维服务，</w:t>
      </w:r>
      <w:r>
        <w:rPr>
          <w:rFonts w:hint="eastAsia" w:ascii="宋体" w:hAnsi="宋体" w:eastAsia="Arial" w:cs="宋体"/>
          <w:color w:val="auto"/>
          <w:sz w:val="24"/>
          <w:szCs w:val="20"/>
          <w:highlight w:val="none"/>
          <w:lang w:val="en-US" w:eastAsia="zh-CN"/>
        </w:rPr>
        <w:t xml:space="preserve">要明确</w:t>
      </w:r>
      <w:r>
        <w:rPr>
          <w:rFonts w:hint="eastAsia" w:ascii="宋体" w:hAnsi="宋体" w:eastAsia="Arial" w:cs="宋体"/>
          <w:color w:val="auto"/>
          <w:sz w:val="24"/>
          <w:szCs w:val="20"/>
          <w:highlight w:val="none"/>
        </w:rPr>
        <w:t xml:space="preserve">项目</w:t>
      </w:r>
      <w:r>
        <w:rPr>
          <w:rFonts w:hint="eastAsia" w:ascii="宋体" w:hAnsi="宋体" w:eastAsia="Arial" w:cs="宋体"/>
          <w:color w:val="auto"/>
          <w:sz w:val="24"/>
          <w:szCs w:val="20"/>
          <w:highlight w:val="none"/>
          <w:lang w:val="en-US" w:eastAsia="zh-CN"/>
        </w:rPr>
        <w:t xml:space="preserve">负责人</w:t>
      </w:r>
      <w:r>
        <w:rPr>
          <w:rFonts w:hint="eastAsia" w:ascii="宋体" w:hAnsi="宋体" w:eastAsia="Arial" w:cs="宋体"/>
          <w:color w:val="auto"/>
          <w:sz w:val="24"/>
          <w:szCs w:val="20"/>
          <w:highlight w:val="none"/>
          <w:lang w:eastAsia="zh-CN"/>
        </w:rPr>
        <w:t xml:space="preserve">。</w:t>
      </w:r>
      <w:r/>
    </w:p>
    <w:p>
      <w:pPr>
        <w:ind w:firstLine="480"/>
        <w:spacing w:line="500" w:lineRule="exact"/>
        <w:tabs>
          <w:tab w:val="left" w:pos="780" w:leader="none"/>
        </w:tabs>
        <w:rPr>
          <w:rFonts w:hint="default"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rPr>
        <w:t xml:space="preserve">项目</w:t>
      </w:r>
      <w:r>
        <w:rPr>
          <w:rFonts w:hint="eastAsia" w:ascii="宋体" w:hAnsi="宋体" w:eastAsia="Arial" w:cs="宋体"/>
          <w:color w:val="auto"/>
          <w:sz w:val="24"/>
          <w:szCs w:val="20"/>
          <w:highlight w:val="none"/>
          <w:lang w:val="en-US" w:eastAsia="zh-CN"/>
        </w:rPr>
        <w:t xml:space="preserve">负责人</w:t>
      </w:r>
      <w:r>
        <w:rPr>
          <w:rFonts w:hint="eastAsia" w:ascii="宋体" w:hAnsi="宋体" w:eastAsia="Arial" w:cs="宋体"/>
          <w:color w:val="auto"/>
          <w:sz w:val="24"/>
          <w:szCs w:val="20"/>
          <w:highlight w:val="none"/>
        </w:rPr>
        <w:t xml:space="preserve">具有以下证书的</w:t>
      </w:r>
      <w:r>
        <w:rPr>
          <w:rFonts w:hint="eastAsia" w:ascii="宋体" w:hAnsi="宋体" w:eastAsia="Arial" w:cs="宋体"/>
          <w:b/>
          <w:bCs/>
          <w:color w:val="auto"/>
          <w:sz w:val="24"/>
          <w:szCs w:val="20"/>
          <w:highlight w:val="none"/>
        </w:rPr>
        <w:t xml:space="preserve">优先</w:t>
      </w:r>
      <w:r>
        <w:rPr>
          <w:rFonts w:hint="eastAsia" w:ascii="宋体" w:hAnsi="宋体" w:eastAsia="Arial" w:cs="宋体"/>
          <w:color w:val="auto"/>
          <w:sz w:val="24"/>
          <w:szCs w:val="20"/>
          <w:highlight w:val="none"/>
        </w:rPr>
        <w:t xml:space="preserve">：具有国家人力资源和社会保障部工业和信息化部批准颁发的信息系统项目管理师</w:t>
      </w:r>
      <w:r>
        <w:rPr>
          <w:rFonts w:hint="eastAsia" w:ascii="宋体" w:hAnsi="宋体" w:eastAsia="Arial" w:cs="宋体"/>
          <w:color w:val="auto"/>
          <w:sz w:val="24"/>
          <w:szCs w:val="20"/>
          <w:highlight w:val="none"/>
          <w:lang w:val="en-US" w:eastAsia="zh-CN"/>
        </w:rPr>
        <w:t xml:space="preserve">证书。</w:t>
      </w:r>
      <w:r/>
    </w:p>
    <w:p>
      <w:pPr>
        <w:numPr>
          <w:ilvl w:val="0"/>
          <w:numId w:val="2"/>
        </w:numPr>
        <w:ind w:firstLine="480"/>
        <w:spacing w:line="500" w:lineRule="exact"/>
        <w:tabs>
          <w:tab w:val="left" w:pos="780" w:leader="none"/>
        </w:tabs>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业绩：</w:t>
      </w:r>
      <w:r/>
    </w:p>
    <w:p>
      <w:pPr>
        <w:numPr>
          <w:ilvl w:val="0"/>
          <w:numId w:val="0"/>
        </w:numPr>
        <w:ind w:firstLine="480"/>
        <w:jc w:val="left"/>
        <w:spacing w:line="560" w:lineRule="exact"/>
        <w:widowControl/>
        <w:rPr>
          <w:rFonts w:hint="default"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rPr>
        <w:t xml:space="preserve">为了确保项目的顺利实施，投标人需具有类似项目的相关承接经验，投标人自202</w:t>
      </w:r>
      <w:r>
        <w:rPr>
          <w:rFonts w:hint="eastAsia" w:ascii="宋体" w:hAnsi="宋体" w:eastAsia="宋体" w:cs="宋体"/>
          <w:color w:val="auto"/>
          <w:sz w:val="24"/>
          <w:szCs w:val="20"/>
          <w:highlight w:val="none"/>
          <w:lang w:val="en-US" w:eastAsia="zh-CN"/>
        </w:rPr>
        <w:t xml:space="preserve">3</w:t>
      </w:r>
      <w:r>
        <w:rPr>
          <w:rFonts w:hint="eastAsia" w:ascii="宋体" w:hAnsi="宋体" w:eastAsia="Arial" w:cs="宋体"/>
          <w:color w:val="auto"/>
          <w:sz w:val="24"/>
          <w:szCs w:val="20"/>
          <w:highlight w:val="none"/>
        </w:rPr>
        <w:t xml:space="preserve">年1月1日以来（以合同签订日期为准），承担过类似业绩</w:t>
      </w:r>
      <w:r>
        <w:rPr>
          <w:rFonts w:hint="eastAsia" w:ascii="宋体" w:hAnsi="宋体" w:cs="宋体"/>
          <w:color w:val="auto"/>
          <w:sz w:val="24"/>
          <w:szCs w:val="20"/>
          <w:highlight w:val="none"/>
        </w:rPr>
        <w:t xml:space="preserve">（</w:t>
      </w:r>
      <w:r>
        <w:rPr>
          <w:rFonts w:hint="eastAsia" w:ascii="宋体" w:hAnsi="宋体" w:eastAsia="宋体" w:cs="宋体"/>
          <w:color w:val="auto"/>
          <w:sz w:val="24"/>
          <w:highlight w:val="none"/>
          <w:lang w:val="zh-CN"/>
        </w:rPr>
        <w:t xml:space="preserve">类似项目是指大模型应用、数据采集、政务服务相关平台（系统）类业绩至少一项在内的信息化建设项目</w:t>
      </w:r>
      <w:r>
        <w:rPr>
          <w:rFonts w:hint="eastAsia" w:asciiTheme="minorEastAsia" w:hAnsiTheme="minorEastAsia" w:cstheme="minorEastAsia"/>
          <w:b w:val="0"/>
          <w:bCs/>
          <w:color w:val="auto"/>
          <w:sz w:val="24"/>
          <w:highlight w:val="none"/>
          <w:lang w:val="zh-CN"/>
        </w:rPr>
        <w:t xml:space="preserve">）</w:t>
      </w:r>
      <w:r>
        <w:rPr>
          <w:rFonts w:hint="eastAsia" w:ascii="宋体" w:hAnsi="宋体" w:eastAsia="Arial" w:cs="宋体"/>
          <w:b w:val="0"/>
          <w:bCs/>
          <w:color w:val="auto"/>
          <w:sz w:val="24"/>
          <w:szCs w:val="20"/>
          <w:highlight w:val="none"/>
        </w:rPr>
        <w:t xml:space="preserve">的</w:t>
      </w:r>
      <w:r>
        <w:rPr>
          <w:rFonts w:hint="eastAsia" w:ascii="宋体" w:hAnsi="宋体" w:eastAsia="Arial" w:cs="宋体"/>
          <w:b/>
          <w:bCs w:val="0"/>
          <w:color w:val="auto"/>
          <w:sz w:val="24"/>
          <w:szCs w:val="20"/>
          <w:highlight w:val="none"/>
        </w:rPr>
        <w:t xml:space="preserve">优先</w:t>
      </w:r>
      <w:r>
        <w:rPr>
          <w:rFonts w:hint="eastAsia" w:ascii="宋体" w:hAnsi="宋体" w:eastAsia="Arial" w:cs="宋体"/>
          <w:b w:val="0"/>
          <w:bCs/>
          <w:color w:val="auto"/>
          <w:sz w:val="24"/>
          <w:szCs w:val="20"/>
          <w:highlight w:val="none"/>
        </w:rPr>
        <w:t xml:space="preserve">。</w:t>
      </w:r>
      <w:bookmarkEnd w:id="177"/>
      <w:r/>
      <w:r/>
    </w:p>
    <w:p>
      <w:pPr>
        <w:ind w:firstLine="480"/>
        <w:jc w:val="left"/>
        <w:spacing w:line="560" w:lineRule="exact"/>
        <w:widowControl/>
        <w:rPr>
          <w:rFonts w:hint="eastAsia" w:ascii="宋体" w:hAnsi="宋体" w:cs="微软雅黑"/>
          <w:b/>
          <w:bCs/>
          <w:color w:val="auto"/>
          <w:sz w:val="24"/>
          <w:highlight w:val="none"/>
          <w:lang w:val="zh-CN"/>
        </w:rPr>
      </w:pPr>
      <w:r>
        <w:rPr>
          <w:rFonts w:hint="eastAsia" w:ascii="宋体" w:hAnsi="宋体" w:cs="微软雅黑"/>
          <w:b/>
          <w:bCs/>
          <w:color w:val="auto"/>
          <w:sz w:val="24"/>
          <w:highlight w:val="none"/>
        </w:rPr>
        <w:t xml:space="preserve">七、</w:t>
      </w:r>
      <w:r>
        <w:rPr>
          <w:rFonts w:hint="eastAsia" w:ascii="宋体" w:hAnsi="宋体" w:cs="微软雅黑"/>
          <w:b/>
          <w:bCs/>
          <w:color w:val="auto"/>
          <w:sz w:val="24"/>
          <w:highlight w:val="none"/>
          <w:lang w:val="zh-CN"/>
        </w:rPr>
        <w:t xml:space="preserve">采购标的对应的中小企业划分标准所属行业一览表</w:t>
      </w:r>
      <w:r/>
    </w:p>
    <w:tbl>
      <w:tblPr>
        <w:tblStyle w:val="881"/>
        <w:tblW w:w="8502"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3714"/>
        <w:gridCol w:w="3884"/>
      </w:tblGrid>
      <w:tr>
        <w:trPr>
          <w:jc w:val="center"/>
          <w:tblCellSpacing w:w="0" w:type="dxa"/>
          <w:trHeight w:val="1018" w:hRule="exact"/>
        </w:trPr>
        <w:tc>
          <w:tcPr>
            <w:tcW w:w="904"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3714"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采购标的</w:t>
            </w:r>
            <w:r/>
          </w:p>
        </w:tc>
        <w:tc>
          <w:tcPr>
            <w:tcW w:w="3884"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对应中小企业划分标准所属行业</w:t>
            </w:r>
            <w:r/>
          </w:p>
        </w:tc>
      </w:tr>
      <w:tr>
        <w:trPr>
          <w:jc w:val="center"/>
          <w:tblCellSpacing w:w="0" w:type="dxa"/>
          <w:trHeight w:val="1151" w:hRule="exact"/>
        </w:trPr>
        <w:tc>
          <w:tcPr>
            <w:tcW w:w="904"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3714"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国企监管平台</w:t>
            </w:r>
            <w:r/>
          </w:p>
        </w:tc>
        <w:tc>
          <w:tcPr>
            <w:tcW w:w="3884"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软件与信息技术服务业</w:t>
            </w:r>
            <w:r/>
          </w:p>
        </w:tc>
      </w:tr>
    </w:tbl>
    <w:p>
      <w:pPr>
        <w:rPr>
          <w:rFonts w:hint="eastAsia"/>
          <w:color w:val="auto"/>
          <w:highlight w:val="none"/>
          <w:lang w:val="en-US" w:eastAsia="zh-CN"/>
        </w:rPr>
      </w:pPr>
      <w:r>
        <w:rPr>
          <w:rFonts w:hint="eastAsia"/>
          <w:color w:val="auto"/>
          <w:highlight w:val="none"/>
          <w:lang w:val="en-US" w:eastAsia="zh-CN"/>
        </w:rPr>
      </w:r>
      <w:r/>
    </w:p>
    <w:p>
      <w:pPr>
        <w:ind w:firstLine="480"/>
        <w:spacing w:line="500" w:lineRule="exact"/>
        <w:rPr>
          <w:rFonts w:hint="default"/>
          <w:color w:val="auto"/>
          <w:sz w:val="24"/>
          <w:highlight w:val="none"/>
          <w:lang w:val="en-US" w:eastAsia="zh-CN"/>
        </w:rPr>
      </w:pPr>
      <w:r>
        <w:rPr>
          <w:rFonts w:hint="eastAsia"/>
          <w:color w:val="auto"/>
          <w:sz w:val="24"/>
          <w:highlight w:val="none"/>
          <w:lang w:val="en-US" w:eastAsia="zh-CN"/>
        </w:rPr>
        <w:t xml:space="preserve">八、</w:t>
      </w:r>
      <w:r>
        <w:rPr>
          <w:rFonts w:hint="default"/>
          <w:color w:val="auto"/>
          <w:sz w:val="24"/>
          <w:highlight w:val="none"/>
          <w:lang w:val="en-US" w:eastAsia="zh-CN"/>
        </w:rPr>
        <w:t xml:space="preserve">项目演示</w:t>
      </w:r>
      <w:r/>
    </w:p>
    <w:p>
      <w:pPr>
        <w:ind w:firstLine="480"/>
        <w:spacing w:line="500" w:lineRule="exact"/>
        <w:rPr>
          <w:rFonts w:hint="eastAsia" w:eastAsiaTheme="minorEastAsia"/>
          <w:color w:val="auto"/>
          <w:sz w:val="24"/>
          <w:highlight w:val="none"/>
          <w:lang w:eastAsia="zh-CN"/>
        </w:rPr>
      </w:pPr>
      <w:r>
        <w:rPr>
          <w:color w:val="auto"/>
          <w:sz w:val="24"/>
          <w:highlight w:val="none"/>
        </w:rPr>
        <w:t xml:space="preserve">投标人需全面理解招标文件中技术需求,为保证系统平台的成熟性,对系统平台以下的主要模块功能进行真实系统或DEMO演示并录屏(含语音讲解)，并在评审时进行播放，演示视频时间不超过 10 分钟。投标人需按照以下要求提供系统或Demo演示视频文件：视频文件的格式为*.mp4或*.avi，投标人须将视频文件分段压缩为*.zip文件上传（单个文件不得大于50M，所有文件总共不得大于300M）。须使用真实的应用系统或Demo演示，根据演示内容的采购需求符合性、功能完整性、整体集成性、操作简便性、效果流畅性</w:t>
      </w:r>
      <w:r>
        <w:rPr>
          <w:rFonts w:hint="eastAsia"/>
          <w:color w:val="auto"/>
          <w:sz w:val="24"/>
          <w:highlight w:val="none"/>
          <w:lang w:eastAsia="zh-CN"/>
        </w:rPr>
        <w:t xml:space="preserve">。</w:t>
      </w:r>
      <w:r/>
    </w:p>
    <w:p>
      <w:pPr>
        <w:ind w:firstLine="480"/>
        <w:spacing w:line="500" w:lineRule="exact"/>
        <w:rPr>
          <w:color w:val="auto"/>
          <w:sz w:val="24"/>
          <w:highlight w:val="none"/>
        </w:rPr>
      </w:pPr>
      <w:r>
        <w:rPr>
          <w:color w:val="auto"/>
          <w:sz w:val="24"/>
          <w:highlight w:val="none"/>
        </w:rPr>
        <w:t xml:space="preserve">1</w:t>
      </w:r>
      <w:r>
        <w:rPr>
          <w:rFonts w:hint="eastAsia"/>
          <w:color w:val="auto"/>
          <w:sz w:val="24"/>
          <w:highlight w:val="none"/>
        </w:rPr>
        <w:t xml:space="preserve">、实时线索情况</w:t>
      </w:r>
      <w:r/>
    </w:p>
    <w:p>
      <w:pPr>
        <w:ind w:firstLine="480"/>
        <w:spacing w:line="500" w:lineRule="exact"/>
        <w:rPr>
          <w:rFonts w:hint="eastAsia"/>
          <w:color w:val="auto"/>
          <w:sz w:val="24"/>
          <w:highlight w:val="none"/>
        </w:rPr>
      </w:pPr>
      <w:r>
        <w:rPr>
          <w:rFonts w:hint="eastAsia"/>
          <w:color w:val="auto"/>
          <w:sz w:val="24"/>
          <w:highlight w:val="none"/>
        </w:rPr>
        <w:t xml:space="preserve">（</w:t>
      </w:r>
      <w:r>
        <w:rPr>
          <w:color w:val="auto"/>
          <w:sz w:val="24"/>
          <w:highlight w:val="none"/>
        </w:rPr>
        <w:t xml:space="preserve">1</w:t>
      </w:r>
      <w:r>
        <w:rPr>
          <w:rFonts w:hint="eastAsia"/>
          <w:color w:val="auto"/>
          <w:sz w:val="24"/>
          <w:highlight w:val="none"/>
        </w:rPr>
        <w:t xml:space="preserve">）演示实时线索情况：显示实时DR线索情况。</w:t>
      </w:r>
      <w:r/>
    </w:p>
    <w:p>
      <w:pPr>
        <w:ind w:firstLine="480"/>
        <w:spacing w:line="500" w:lineRule="exact"/>
        <w:rPr>
          <w:rFonts w:hint="eastAsia"/>
          <w:color w:val="auto"/>
          <w:sz w:val="24"/>
          <w:highlight w:val="none"/>
        </w:rPr>
      </w:pPr>
      <w:r>
        <w:rPr>
          <w:rFonts w:hint="eastAsia"/>
          <w:color w:val="auto"/>
          <w:sz w:val="24"/>
          <w:highlight w:val="none"/>
        </w:rPr>
        <w:t xml:space="preserve">（</w:t>
      </w:r>
      <w:r>
        <w:rPr>
          <w:color w:val="auto"/>
          <w:sz w:val="24"/>
          <w:highlight w:val="none"/>
        </w:rPr>
        <w:t xml:space="preserve">2</w:t>
      </w:r>
      <w:r>
        <w:rPr>
          <w:rFonts w:hint="eastAsia"/>
          <w:color w:val="auto"/>
          <w:sz w:val="24"/>
          <w:highlight w:val="none"/>
        </w:rPr>
        <w:t xml:space="preserve">）点击跳转管理后台实时线索菜单。</w:t>
      </w:r>
      <w:r/>
    </w:p>
    <w:p>
      <w:pPr>
        <w:ind w:firstLine="480"/>
        <w:spacing w:line="500" w:lineRule="exact"/>
        <w:rPr>
          <w:rFonts w:hint="eastAsia"/>
          <w:color w:val="auto"/>
          <w:sz w:val="24"/>
          <w:highlight w:val="none"/>
        </w:rPr>
      </w:pPr>
      <w:r>
        <w:rPr>
          <w:rFonts w:hint="eastAsia"/>
          <w:color w:val="auto"/>
          <w:sz w:val="24"/>
          <w:highlight w:val="none"/>
        </w:rPr>
        <w:t xml:space="preserve">（3）演示线索分发功能，演示选中一条线索进行分发。</w:t>
      </w:r>
      <w:r/>
    </w:p>
    <w:p>
      <w:pPr>
        <w:ind w:firstLine="480"/>
        <w:spacing w:line="500" w:lineRule="exact"/>
        <w:rPr>
          <w:rFonts w:hint="eastAsia"/>
          <w:color w:val="auto"/>
          <w:sz w:val="24"/>
          <w:highlight w:val="none"/>
        </w:rPr>
      </w:pPr>
      <w:r>
        <w:rPr>
          <w:rFonts w:hint="eastAsia"/>
          <w:color w:val="auto"/>
          <w:sz w:val="24"/>
          <w:highlight w:val="none"/>
        </w:rPr>
        <w:t xml:space="preserve">（4）演示线索处置功能，演示选中一条线索进行处置。</w:t>
      </w:r>
      <w:r/>
    </w:p>
    <w:p>
      <w:pPr>
        <w:ind w:firstLine="480"/>
        <w:spacing w:line="500" w:lineRule="exact"/>
        <w:rPr>
          <w:rFonts w:hint="eastAsia"/>
          <w:color w:val="auto"/>
          <w:sz w:val="24"/>
          <w:highlight w:val="none"/>
        </w:rPr>
      </w:pPr>
      <w:r>
        <w:rPr>
          <w:rFonts w:hint="eastAsia"/>
          <w:color w:val="auto"/>
          <w:sz w:val="24"/>
          <w:highlight w:val="none"/>
        </w:rPr>
        <w:t xml:space="preserve">（5）演示线索复核功能，演示选中一条线索进行复核。</w:t>
      </w:r>
      <w:r/>
    </w:p>
    <w:p>
      <w:pPr>
        <w:ind w:firstLine="480"/>
        <w:spacing w:line="500" w:lineRule="exact"/>
        <w:rPr>
          <w:color w:val="auto"/>
          <w:sz w:val="24"/>
          <w:highlight w:val="none"/>
        </w:rPr>
      </w:pPr>
      <w:r>
        <w:rPr>
          <w:rFonts w:hint="eastAsia"/>
          <w:color w:val="auto"/>
          <w:sz w:val="24"/>
          <w:highlight w:val="none"/>
        </w:rPr>
        <w:t xml:space="preserve">2、线索来源功能演示</w:t>
      </w:r>
      <w:r/>
    </w:p>
    <w:p>
      <w:pPr>
        <w:ind w:firstLine="480"/>
        <w:spacing w:line="500" w:lineRule="exact"/>
        <w:rPr>
          <w:rFonts w:hint="eastAsia"/>
          <w:color w:val="auto"/>
          <w:sz w:val="24"/>
          <w:highlight w:val="none"/>
        </w:rPr>
      </w:pPr>
      <w:r>
        <w:rPr>
          <w:rFonts w:hint="eastAsia"/>
          <w:color w:val="auto"/>
          <w:sz w:val="24"/>
          <w:highlight w:val="none"/>
        </w:rPr>
        <w:t xml:space="preserve">（</w:t>
      </w:r>
      <w:r>
        <w:rPr>
          <w:color w:val="auto"/>
          <w:sz w:val="24"/>
          <w:highlight w:val="none"/>
        </w:rPr>
        <w:t xml:space="preserve">1</w:t>
      </w:r>
      <w:r>
        <w:rPr>
          <w:rFonts w:hint="eastAsia"/>
          <w:color w:val="auto"/>
          <w:sz w:val="24"/>
          <w:highlight w:val="none"/>
        </w:rPr>
        <w:t xml:space="preserve">）线索地区演示，展示线索地区，以及累计新增与当月新增。</w:t>
      </w:r>
      <w:r/>
    </w:p>
    <w:p>
      <w:pPr>
        <w:ind w:firstLine="480"/>
        <w:spacing w:line="500" w:lineRule="exact"/>
        <w:rPr>
          <w:color w:val="auto"/>
          <w:highlight w:val="none"/>
        </w:rPr>
      </w:pPr>
      <w:r>
        <w:rPr>
          <w:rFonts w:hint="eastAsia"/>
          <w:color w:val="auto"/>
          <w:sz w:val="24"/>
          <w:highlight w:val="none"/>
        </w:rPr>
        <w:t xml:space="preserve">（</w:t>
      </w:r>
      <w:r>
        <w:rPr>
          <w:color w:val="auto"/>
          <w:sz w:val="24"/>
          <w:highlight w:val="none"/>
        </w:rPr>
        <w:t xml:space="preserve">2</w:t>
      </w:r>
      <w:r>
        <w:rPr>
          <w:rFonts w:hint="eastAsia"/>
          <w:color w:val="auto"/>
          <w:sz w:val="24"/>
          <w:highlight w:val="none"/>
        </w:rPr>
        <w:t xml:space="preserve">）线索来源演示，展示线索来源，以及累计新增与当月新增。</w:t>
      </w:r>
      <w:r/>
    </w:p>
    <w:p>
      <w:pPr>
        <w:ind w:firstLine="480"/>
        <w:spacing w:line="500" w:lineRule="exact"/>
        <w:rPr>
          <w:color w:val="auto"/>
          <w:sz w:val="24"/>
          <w:highlight w:val="none"/>
        </w:rPr>
      </w:pPr>
      <w:r>
        <w:rPr>
          <w:rFonts w:hint="eastAsia"/>
          <w:color w:val="auto"/>
          <w:sz w:val="24"/>
          <w:highlight w:val="none"/>
        </w:rPr>
        <w:t xml:space="preserve">3、地图模块</w:t>
      </w:r>
      <w:r/>
    </w:p>
    <w:p>
      <w:pPr>
        <w:numPr>
          <w:ilvl w:val="0"/>
          <w:numId w:val="3"/>
        </w:numPr>
        <w:ind w:firstLine="480"/>
        <w:spacing w:line="500" w:lineRule="exact"/>
        <w:rPr>
          <w:color w:val="auto"/>
          <w:sz w:val="24"/>
          <w:highlight w:val="none"/>
        </w:rPr>
      </w:pPr>
      <w:r>
        <w:rPr>
          <w:rFonts w:hint="eastAsia"/>
          <w:color w:val="auto"/>
          <w:sz w:val="24"/>
          <w:highlight w:val="none"/>
        </w:rPr>
        <w:t xml:space="preserve">展示地图模块：根据未清退金额各地区显示不同颜，鼠标移至显示未清退金额以及剩余人数。</w:t>
      </w:r>
      <w:r/>
    </w:p>
    <w:p>
      <w:pPr>
        <w:ind w:firstLine="480"/>
        <w:spacing w:line="500" w:lineRule="exact"/>
        <w:rPr>
          <w:color w:val="auto"/>
          <w:sz w:val="24"/>
          <w:highlight w:val="none"/>
        </w:rPr>
      </w:pPr>
      <w:r>
        <w:rPr>
          <w:rFonts w:hint="eastAsia"/>
          <w:color w:val="auto"/>
          <w:sz w:val="24"/>
          <w:highlight w:val="none"/>
        </w:rPr>
        <w:t xml:space="preserve">4、DR排名</w:t>
      </w:r>
      <w:r/>
    </w:p>
    <w:p>
      <w:pPr>
        <w:numPr>
          <w:ilvl w:val="0"/>
          <w:numId w:val="4"/>
        </w:numPr>
        <w:ind w:firstLine="480"/>
        <w:spacing w:line="500" w:lineRule="exact"/>
        <w:rPr>
          <w:color w:val="auto"/>
          <w:sz w:val="24"/>
          <w:highlight w:val="none"/>
        </w:rPr>
      </w:pPr>
      <w:r>
        <w:rPr>
          <w:rFonts w:hint="eastAsia"/>
          <w:color w:val="auto"/>
          <w:sz w:val="24"/>
          <w:highlight w:val="none"/>
        </w:rPr>
        <w:t xml:space="preserve">重点国企模块：根据未清退金额进行排名。</w:t>
      </w:r>
      <w:r/>
    </w:p>
    <w:p>
      <w:pPr>
        <w:numPr>
          <w:ilvl w:val="0"/>
          <w:numId w:val="4"/>
        </w:numPr>
        <w:ind w:firstLine="480"/>
        <w:spacing w:line="500" w:lineRule="exact"/>
        <w:rPr>
          <w:rFonts w:hint="eastAsia"/>
          <w:color w:val="auto"/>
          <w:sz w:val="24"/>
          <w:highlight w:val="none"/>
        </w:rPr>
      </w:pPr>
      <w:r>
        <w:rPr>
          <w:rFonts w:hint="eastAsia"/>
          <w:color w:val="auto"/>
          <w:sz w:val="24"/>
          <w:highlight w:val="none"/>
        </w:rPr>
        <w:t xml:space="preserve">重点地区模块：根据未清退金额进行排名。</w:t>
      </w:r>
      <w:r/>
    </w:p>
    <w:p>
      <w:pPr>
        <w:numPr>
          <w:ilvl w:val="0"/>
          <w:numId w:val="4"/>
        </w:numPr>
        <w:ind w:firstLine="480"/>
        <w:spacing w:line="500" w:lineRule="exact"/>
        <w:rPr>
          <w:rFonts w:hint="eastAsia"/>
          <w:color w:val="auto"/>
          <w:sz w:val="24"/>
          <w:highlight w:val="none"/>
        </w:rPr>
      </w:pPr>
      <w:r>
        <w:rPr>
          <w:rFonts w:hint="eastAsia"/>
          <w:color w:val="auto"/>
          <w:sz w:val="24"/>
          <w:highlight w:val="none"/>
        </w:rPr>
        <w:t xml:space="preserve">中介灰名单模块：根据未清退金额进行排名。</w:t>
      </w:r>
      <w:r/>
    </w:p>
    <w:p>
      <w:pPr>
        <w:numPr>
          <w:ilvl w:val="-1"/>
          <w:numId w:val="0"/>
        </w:numPr>
        <w:ind w:firstLine="480"/>
        <w:spacing w:line="500" w:lineRule="exact"/>
        <w:rPr>
          <w:color w:val="auto"/>
          <w:sz w:val="24"/>
          <w:highlight w:val="none"/>
        </w:rPr>
      </w:pPr>
      <w:r>
        <w:rPr>
          <w:rFonts w:hint="eastAsia"/>
          <w:color w:val="auto"/>
          <w:sz w:val="24"/>
          <w:highlight w:val="none"/>
        </w:rPr>
        <w:t xml:space="preserve">5、DR分析</w:t>
      </w:r>
      <w:r/>
    </w:p>
    <w:p>
      <w:pPr>
        <w:ind w:firstLine="420"/>
        <w:spacing w:line="500" w:lineRule="exact"/>
        <w:rPr>
          <w:color w:val="auto"/>
          <w:sz w:val="24"/>
          <w:highlight w:val="none"/>
        </w:rPr>
      </w:pPr>
      <w:r>
        <w:rPr>
          <w:rFonts w:hint="eastAsia"/>
          <w:color w:val="auto"/>
          <w:sz w:val="24"/>
          <w:highlight w:val="none"/>
        </w:rPr>
        <w:t xml:space="preserve">（</w:t>
      </w:r>
      <w:r>
        <w:rPr>
          <w:color w:val="auto"/>
          <w:sz w:val="24"/>
          <w:highlight w:val="none"/>
        </w:rPr>
        <w:t xml:space="preserve">1</w:t>
      </w:r>
      <w:r>
        <w:rPr>
          <w:rFonts w:hint="eastAsia"/>
          <w:color w:val="auto"/>
          <w:sz w:val="24"/>
          <w:highlight w:val="none"/>
        </w:rPr>
        <w:t xml:space="preserve">）DR余额模块：根据年度未清退余额展示折线图。</w:t>
      </w:r>
      <w:r/>
    </w:p>
    <w:p>
      <w:pPr>
        <w:ind w:firstLine="480"/>
        <w:spacing w:line="500" w:lineRule="exact"/>
        <w:rPr>
          <w:color w:val="auto"/>
          <w:sz w:val="24"/>
          <w:highlight w:val="none"/>
        </w:rPr>
      </w:pPr>
      <w:r>
        <w:rPr>
          <w:rFonts w:hint="eastAsia"/>
          <w:color w:val="auto"/>
          <w:sz w:val="24"/>
          <w:highlight w:val="none"/>
        </w:rPr>
        <w:t xml:space="preserve">（2）DR结构模块：展示DR产品结构占比。</w:t>
      </w:r>
      <w:r/>
    </w:p>
    <w:p>
      <w:pPr>
        <w:ind w:firstLine="480"/>
        <w:spacing w:line="500" w:lineRule="exact"/>
        <w:rPr>
          <w:color w:val="auto"/>
          <w:sz w:val="24"/>
          <w:highlight w:val="none"/>
        </w:rPr>
      </w:pPr>
      <w:r>
        <w:rPr>
          <w:rFonts w:hint="eastAsia"/>
          <w:color w:val="auto"/>
          <w:sz w:val="24"/>
          <w:highlight w:val="none"/>
        </w:rPr>
        <w:t xml:space="preserve">6、DR清退情况</w:t>
      </w:r>
      <w:r/>
    </w:p>
    <w:p>
      <w:pPr>
        <w:ind w:firstLine="480"/>
        <w:spacing w:line="500" w:lineRule="exact"/>
        <w:rPr>
          <w:color w:val="auto"/>
          <w:sz w:val="24"/>
          <w:highlight w:val="none"/>
        </w:rPr>
      </w:pPr>
      <w:r>
        <w:rPr>
          <w:rFonts w:hint="eastAsia"/>
          <w:color w:val="auto"/>
          <w:sz w:val="24"/>
          <w:highlight w:val="none"/>
        </w:rPr>
        <w:t xml:space="preserve">（</w:t>
      </w:r>
      <w:r>
        <w:rPr>
          <w:color w:val="auto"/>
          <w:sz w:val="24"/>
          <w:highlight w:val="none"/>
        </w:rPr>
        <w:t xml:space="preserve">1</w:t>
      </w:r>
      <w:r>
        <w:rPr>
          <w:rFonts w:hint="eastAsia"/>
          <w:color w:val="auto"/>
          <w:sz w:val="24"/>
          <w:highlight w:val="none"/>
        </w:rPr>
        <w:t xml:space="preserve">）DR余额模块：展示不同类别下的DR情清退情况。</w:t>
      </w:r>
      <w:r/>
    </w:p>
    <w:p>
      <w:pPr>
        <w:ind w:firstLine="480"/>
        <w:spacing w:line="500" w:lineRule="exact"/>
        <w:rPr>
          <w:color w:val="auto"/>
          <w:sz w:val="24"/>
          <w:highlight w:val="none"/>
        </w:rPr>
      </w:pPr>
      <w:r>
        <w:rPr>
          <w:rFonts w:hint="eastAsia"/>
          <w:color w:val="auto"/>
          <w:sz w:val="24"/>
          <w:highlight w:val="none"/>
        </w:rPr>
        <w:t xml:space="preserve">7、DR清退情况</w:t>
      </w:r>
      <w:r/>
    </w:p>
    <w:p>
      <w:pPr>
        <w:numPr>
          <w:ilvl w:val="-1"/>
          <w:numId w:val="0"/>
        </w:numPr>
        <w:ind w:firstLine="480"/>
        <w:rPr>
          <w:color w:val="auto"/>
          <w:highlight w:val="none"/>
        </w:rPr>
      </w:pPr>
      <w:r>
        <w:rPr>
          <w:rFonts w:hint="eastAsia"/>
          <w:color w:val="auto"/>
          <w:sz w:val="24"/>
          <w:highlight w:val="none"/>
        </w:rPr>
        <w:t xml:space="preserve">（</w:t>
      </w:r>
      <w:r>
        <w:rPr>
          <w:color w:val="auto"/>
          <w:sz w:val="24"/>
          <w:highlight w:val="none"/>
        </w:rPr>
        <w:t xml:space="preserve">1</w:t>
      </w:r>
      <w:r>
        <w:rPr>
          <w:rFonts w:hint="eastAsia"/>
          <w:color w:val="auto"/>
          <w:sz w:val="24"/>
          <w:highlight w:val="none"/>
        </w:rPr>
        <w:t xml:space="preserve">）信息模块：展示工作动态，制度建设，处理问责等。</w:t>
      </w:r>
      <w:r/>
    </w:p>
    <w:p>
      <w:pPr>
        <w:numPr>
          <w:ilvl w:val="-1"/>
          <w:numId w:val="0"/>
        </w:numPr>
        <w:ind w:firstLine="0"/>
        <w:rPr>
          <w:color w:val="auto"/>
          <w:highlight w:val="none"/>
        </w:rPr>
      </w:pPr>
      <w:r>
        <w:rPr>
          <w:color w:val="auto"/>
          <w:highlight w:val="none"/>
        </w:rPr>
      </w:r>
      <w:r/>
    </w:p>
    <w:p>
      <w:pPr>
        <w:numPr>
          <w:ilvl w:val="-1"/>
          <w:numId w:val="0"/>
        </w:numPr>
        <w:ind w:firstLine="480"/>
        <w:rPr>
          <w:rFonts w:hint="default"/>
          <w:color w:val="auto"/>
          <w:sz w:val="24"/>
          <w:szCs w:val="32"/>
          <w:highlight w:val="none"/>
          <w:lang w:val="en-US" w:eastAsia="zh-CN"/>
        </w:rPr>
      </w:pPr>
      <w:r>
        <w:rPr>
          <w:rFonts w:hint="eastAsia"/>
          <w:color w:val="auto"/>
          <w:sz w:val="24"/>
          <w:szCs w:val="32"/>
          <w:highlight w:val="none"/>
          <w:lang w:val="en-US" w:eastAsia="zh-CN"/>
        </w:rPr>
        <w:t xml:space="preserve">九、技术方案</w:t>
      </w:r>
      <w:r/>
    </w:p>
    <w:p>
      <w:pPr>
        <w:numPr>
          <w:ilvl w:val="0"/>
          <w:numId w:val="5"/>
        </w:numPr>
        <w:ind w:left="420" w:firstLine="0"/>
        <w:rPr>
          <w:rFonts w:hint="eastAsia"/>
          <w:color w:val="auto"/>
          <w:sz w:val="24"/>
          <w:highlight w:val="none"/>
          <w:lang w:val="en-US" w:eastAsia="zh-CN"/>
        </w:rPr>
      </w:pPr>
      <w:r>
        <w:rPr>
          <w:rFonts w:hint="eastAsia"/>
          <w:color w:val="auto"/>
          <w:sz w:val="24"/>
          <w:highlight w:val="none"/>
          <w:lang w:val="en-US" w:eastAsia="zh-CN"/>
        </w:rPr>
        <w:t xml:space="preserve">总体设计方案</w:t>
      </w:r>
      <w:r/>
    </w:p>
    <w:p>
      <w:pPr>
        <w:ind w:firstLine="480"/>
        <w:spacing w:line="500" w:lineRule="exact"/>
        <w:rPr>
          <w:rFonts w:hint="eastAsia" w:ascii="宋体" w:hAnsi="宋体" w:eastAsia="宋体" w:cs="宋体"/>
          <w:color w:val="auto"/>
          <w:sz w:val="24"/>
          <w:highlight w:val="none"/>
        </w:rPr>
      </w:pPr>
      <w:r>
        <w:rPr>
          <w:color w:val="auto"/>
          <w:sz w:val="24"/>
          <w:highlight w:val="none"/>
        </w:rPr>
        <w:t xml:space="preserve">投标人</w:t>
      </w:r>
      <w:r>
        <w:rPr>
          <w:rFonts w:hint="eastAsia"/>
          <w:color w:val="auto"/>
          <w:sz w:val="24"/>
          <w:highlight w:val="none"/>
        </w:rPr>
        <w:t xml:space="preserve">应在第四章采购需求内容上深化总体设计方案，至少包含以下内容：总体需求分析、业务架构、技术架构、数据设计等。</w:t>
      </w:r>
      <w:r>
        <w:rPr>
          <w:color w:val="auto"/>
          <w:sz w:val="24"/>
          <w:highlight w:val="none"/>
        </w:rPr>
        <w:t xml:space="preserve">投标人</w:t>
      </w:r>
      <w:r>
        <w:rPr>
          <w:rFonts w:hint="eastAsia" w:ascii="宋体" w:hAnsi="宋体" w:eastAsia="宋体" w:cs="宋体"/>
          <w:color w:val="auto"/>
          <w:sz w:val="24"/>
          <w:highlight w:val="none"/>
        </w:rPr>
        <w:t xml:space="preserve">提供的方案能全部响应要求，提出更为细致、有针对性、切实可行、要求之外且和本项目实施相关的内容的，可视为优于；方案能响应要求的可视为符合；方案对于要求的响应不完全或者偏离要求的，视为不符合。</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总体需求分析：结合采购需求，全面剖析本项目的核心目标、业务痛点、实施边界及各项功能性、非功能性要求，明确需求优先级，结合项目实际场景梳理潜在需求，为后续架构设计和方案落地提供坚实依据。</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业务架构：基于总体需求，梳理项目核心业务流程、业务模块及各模块间的关联关系，明确各业务环节的职责、流程节点及交互逻辑，优化业务流程，确保业务架构贴合实际运营需求，具备可操作性和扩展性。</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技术架构：结合业务架构需求，搭建适配本项目的技术框架，明确核心技术选型、软硬件配置、部署架构及技术支撑体系，说明技术架构的先进性、稳定性和可扩展性，确保技术方案能够支撑业务高效运行。</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数据设计：梳理项目全流程数据来源、数据类型及数据流转路径，设计合理的数据模型、数据存储方案、数据接口及数据安全保障措施，确保数据的准确性、完整性和安全性，满足业务数据交互及管理需求。</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numPr>
          <w:ilvl w:val="0"/>
          <w:numId w:val="5"/>
        </w:numPr>
        <w:ind w:left="420" w:firstLine="0"/>
        <w:rPr>
          <w:rFonts w:hint="eastAsia"/>
          <w:color w:val="auto"/>
          <w:sz w:val="24"/>
          <w:highlight w:val="none"/>
          <w:lang w:val="en-US" w:eastAsia="zh-CN"/>
        </w:rPr>
      </w:pPr>
      <w:r>
        <w:rPr>
          <w:rFonts w:hint="eastAsia"/>
          <w:color w:val="auto"/>
          <w:sz w:val="24"/>
          <w:highlight w:val="none"/>
          <w:lang w:val="en-US" w:eastAsia="zh-CN"/>
        </w:rPr>
        <w:t xml:space="preserve">系统设计方案</w:t>
      </w:r>
      <w:r/>
    </w:p>
    <w:p>
      <w:pPr>
        <w:numPr>
          <w:ilvl w:val="-1"/>
          <w:numId w:val="0"/>
        </w:numPr>
        <w:ind w:left="0" w:firstLine="480"/>
        <w:rPr>
          <w:rFonts w:hint="eastAsia" w:ascii="宋体" w:hAnsi="宋体" w:eastAsia="宋体" w:cs="宋体"/>
          <w:color w:val="auto"/>
          <w:sz w:val="24"/>
          <w:highlight w:val="none"/>
        </w:rPr>
      </w:pPr>
      <w:r>
        <w:rPr>
          <w:color w:val="auto"/>
          <w:sz w:val="24"/>
          <w:highlight w:val="none"/>
        </w:rPr>
        <w:t xml:space="preserve">投标人</w:t>
      </w:r>
      <w:r>
        <w:rPr>
          <w:rFonts w:hint="eastAsia"/>
          <w:color w:val="auto"/>
          <w:sz w:val="24"/>
          <w:highlight w:val="none"/>
        </w:rPr>
        <w:t xml:space="preserve">应在第四章采购需求内容上深化系统功能设计方案，至少包含以下内容：包括</w:t>
      </w:r>
      <w:r>
        <w:rPr>
          <w:rFonts w:hint="eastAsia" w:ascii="宋体" w:hAnsi="宋体" w:cs="宋体"/>
          <w:color w:val="auto"/>
          <w:sz w:val="24"/>
          <w:highlight w:val="none"/>
        </w:rPr>
        <w:t xml:space="preserve">系统管理、数据调用监测、智能管理、监管模型支撑、DR监管可视化等</w:t>
      </w:r>
      <w:r>
        <w:rPr>
          <w:rFonts w:hint="eastAsia" w:ascii="宋体" w:hAnsi="宋体" w:cs="宋体"/>
          <w:color w:val="auto"/>
          <w:sz w:val="24"/>
          <w:highlight w:val="none"/>
          <w:lang w:val="en-US" w:eastAsia="zh-CN"/>
        </w:rPr>
        <w:t xml:space="preserve">模块</w:t>
      </w:r>
      <w:r>
        <w:rPr>
          <w:rFonts w:hint="eastAsia"/>
          <w:color w:val="auto"/>
          <w:sz w:val="24"/>
          <w:highlight w:val="none"/>
        </w:rPr>
        <w:t xml:space="preserve">。</w:t>
      </w:r>
      <w:r>
        <w:rPr>
          <w:color w:val="auto"/>
          <w:sz w:val="24"/>
          <w:highlight w:val="none"/>
        </w:rPr>
        <w:t xml:space="preserve">投标人</w:t>
      </w:r>
      <w:r>
        <w:rPr>
          <w:rFonts w:hint="eastAsia" w:ascii="宋体" w:hAnsi="宋体" w:eastAsia="宋体" w:cs="宋体"/>
          <w:color w:val="auto"/>
          <w:sz w:val="24"/>
          <w:highlight w:val="none"/>
        </w:rPr>
        <w:t xml:space="preserve">提供的方案能全部响应要求，提出更为细致、有针对性、切实可行、要求之外且和本项目实施相关的内容的，可视为优于；方案能响应要求的可视为符合；方案对于要求的响应不完全或者偏离要求的，视为不符合。</w:t>
      </w:r>
      <w:r/>
    </w:p>
    <w:p>
      <w:pPr>
        <w:numPr>
          <w:ilvl w:val="-1"/>
          <w:numId w:val="0"/>
        </w:numPr>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（1）系统管理模块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涵盖用户、部门、角色、字典、参数及日志管理。支持权限精细化配置、账号安全管控与操作痕迹留痕，保证系统管理规范、可追溯。</w:t>
      </w:r>
      <w:r/>
    </w:p>
    <w:p>
      <w:pPr>
        <w:numPr>
          <w:ilvl w:val="-1"/>
          <w:numId w:val="0"/>
        </w:numPr>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（2）数据调用监测模块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包含在线用户、任务调度、服务健康度、缓存状态等监控。实时展示系统运行指标，提前预警异常，保障系统稳定与高效调用。</w:t>
      </w:r>
      <w:r/>
    </w:p>
    <w:p>
      <w:pPr>
        <w:numPr>
          <w:ilvl w:val="-1"/>
          <w:numId w:val="0"/>
        </w:numPr>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（3）智能管理模块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围绕 DR 监管需求，整合线索管理、DR 处置、风险分级、数据查询及工作动态。实现线索闭环处理、风险实时监控，提升监管效率与智能化程度。</w:t>
      </w:r>
      <w:r/>
    </w:p>
    <w:p>
      <w:pPr>
        <w:numPr>
          <w:ilvl w:val="-1"/>
          <w:numId w:val="0"/>
        </w:numPr>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（4）监管模型支撑模块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基于 AI 模型开展意图分类、实体识别及知识检索，实现智能问答与决策辅助。同时对接多渠道数据源，确保监管线索全面、实时、精准。</w:t>
      </w:r>
      <w:r/>
    </w:p>
    <w:p>
      <w:pPr>
        <w:numPr>
          <w:ilvl w:val="-1"/>
          <w:numId w:val="0"/>
        </w:numPr>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（5）DR 监管可视化模块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通过大屏展示线索分布、地区动态、DR 结构及清理进度等关键指标，以图表、地图等形式直观呈现，支持数据钻取，便于领导决策与精准监管。</w:t>
      </w:r>
      <w:r/>
    </w:p>
    <w:p>
      <w:pPr>
        <w:numPr>
          <w:ilvl w:val="-1"/>
          <w:numId w:val="0"/>
        </w:numPr>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5"/>
        </w:numPr>
        <w:ind w:left="42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项目实施方案</w:t>
      </w:r>
      <w:r/>
    </w:p>
    <w:p>
      <w:pPr>
        <w:numPr>
          <w:ilvl w:val="-1"/>
          <w:numId w:val="0"/>
        </w:numPr>
        <w:ind w:left="0" w:firstLine="480"/>
        <w:rPr>
          <w:rFonts w:hint="eastAsia" w:ascii="宋体" w:hAnsi="宋体" w:eastAsia="宋体" w:cs="宋体"/>
          <w:color w:val="auto"/>
          <w:sz w:val="24"/>
          <w:highlight w:val="none"/>
        </w:rPr>
      </w:pPr>
      <w:r>
        <w:rPr>
          <w:color w:val="auto"/>
          <w:sz w:val="24"/>
          <w:highlight w:val="none"/>
        </w:rPr>
        <w:t xml:space="preserve">投标人</w:t>
      </w:r>
      <w:r>
        <w:rPr>
          <w:rFonts w:hint="eastAsia"/>
          <w:color w:val="auto"/>
          <w:sz w:val="24"/>
          <w:highlight w:val="none"/>
        </w:rPr>
        <w:t xml:space="preserve">应在第四章采购需求内容上深化项目实施方案，至少包含以下内容：进度计划、岗位职责及人员安排、项目管理措施、质量保障措施等。</w:t>
      </w:r>
      <w:r>
        <w:rPr>
          <w:color w:val="auto"/>
          <w:sz w:val="24"/>
          <w:highlight w:val="none"/>
        </w:rPr>
        <w:t xml:space="preserve">投标人</w:t>
      </w:r>
      <w:r>
        <w:rPr>
          <w:rFonts w:hint="eastAsia" w:ascii="宋体" w:hAnsi="宋体" w:eastAsia="宋体" w:cs="宋体"/>
          <w:color w:val="auto"/>
          <w:sz w:val="24"/>
          <w:highlight w:val="none"/>
        </w:rPr>
        <w:t xml:space="preserve">提供的方案能全部响应要求，提出更为细致、有针对性、切实可行、要求之外且和本项目实施相关的内容的，可视为优于；方案能响应要求的可视为符合；方案对于要求的响应不完全或者偏离要求的，视为不符合。</w:t>
      </w:r>
      <w:r/>
    </w:p>
    <w:p>
      <w:pPr>
        <w:numPr>
          <w:ilvl w:val="-1"/>
          <w:numId w:val="0"/>
        </w:numPr>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（1）进度计划：结合项目整体目标及采购需求，明确项目各阶段（启动、实施、调试、验收等）的时间节点、核心任务及交付成果，合理分配工期，制定进度管控节点及滞后应对预案，确保项目按期保质完成。</w:t>
      </w:r>
      <w:r/>
    </w:p>
    <w:p>
      <w:pPr>
        <w:numPr>
          <w:ilvl w:val="-1"/>
          <w:numId w:val="0"/>
        </w:numPr>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（2）岗位职责及人员安排：明确项目各岗位（项目负责人、技术人员、管理人员等）的核心职责、工作分工及任职要求，合理配置人员资源，明确人员到岗时间及考核标准，保障项目各环节有序推进。</w:t>
      </w:r>
      <w:r/>
    </w:p>
    <w:p>
      <w:pPr>
        <w:numPr>
          <w:ilvl w:val="-1"/>
          <w:numId w:val="0"/>
        </w:numPr>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（3）项目管理措施：建立完善的项目管理体系，涵盖进度管控、成本控制、沟通协调、风险防控等方面，制定具体管理流程及执行标准，及时处理项目实施过程中的各类问题，确保项目管理规范高效。</w:t>
      </w:r>
      <w:r/>
    </w:p>
    <w:p>
      <w:pPr>
        <w:numPr>
          <w:ilvl w:val="-1"/>
          <w:numId w:val="0"/>
        </w:numPr>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4"/>
        </w:numPr>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质量保障措施：围绕项目质量目标，建立全流程质量管控机制，明确质量检验标准、检验流程及责任主体，加强对项目实施各环节的质量检查与监督，制定质量问题整改方案，确保项目成果符合采购质量要</w:t>
      </w:r>
      <w:r>
        <w:rPr>
          <w:rFonts w:hint="eastAsia" w:ascii="宋体" w:hAnsi="宋体" w:eastAsia="宋体" w:cs="宋体"/>
          <w:color w:val="auto"/>
          <w:sz w:val="24"/>
          <w:highlight w:val="none"/>
          <w:lang w:val="en-US" w:eastAsia="zh-CN"/>
        </w:rPr>
        <w:t xml:space="preserve">求。</w:t>
      </w:r>
      <w:r/>
    </w:p>
    <w:p>
      <w:pPr>
        <w:numPr>
          <w:ilvl w:val="-1"/>
          <w:numId w:val="0"/>
        </w:numPr>
        <w:ind w:left="48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numPr>
          <w:ilvl w:val="0"/>
          <w:numId w:val="5"/>
        </w:numPr>
        <w:ind w:left="42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培训方案</w:t>
      </w:r>
      <w:r/>
    </w:p>
    <w:p>
      <w:pPr>
        <w:numPr>
          <w:ilvl w:val="-1"/>
          <w:numId w:val="0"/>
        </w:numPr>
        <w:ind w:left="0" w:firstLine="480"/>
        <w:rPr>
          <w:rFonts w:hint="eastAsia" w:ascii="宋体" w:hAnsi="宋体" w:eastAsia="宋体" w:cs="宋体"/>
          <w:color w:val="auto"/>
          <w:sz w:val="24"/>
          <w:highlight w:val="none"/>
        </w:rPr>
      </w:pPr>
      <w:r>
        <w:rPr>
          <w:color w:val="auto"/>
          <w:sz w:val="24"/>
          <w:highlight w:val="none"/>
        </w:rPr>
        <w:t xml:space="preserve">投标人</w:t>
      </w:r>
      <w:r>
        <w:rPr>
          <w:rFonts w:hint="eastAsia"/>
          <w:color w:val="auto"/>
          <w:sz w:val="24"/>
          <w:highlight w:val="none"/>
        </w:rPr>
        <w:t xml:space="preserve">应在第四章采购需求内容上深化项目培训方案，至少包含以下内容：培训计划、培训内容等。</w:t>
      </w:r>
      <w:r>
        <w:rPr>
          <w:color w:val="auto"/>
          <w:sz w:val="24"/>
          <w:highlight w:val="none"/>
        </w:rPr>
        <w:t xml:space="preserve">投标人</w:t>
      </w:r>
      <w:r>
        <w:rPr>
          <w:rFonts w:hint="eastAsia" w:ascii="宋体" w:hAnsi="宋体" w:eastAsia="宋体" w:cs="宋体"/>
          <w:color w:val="auto"/>
          <w:sz w:val="24"/>
          <w:highlight w:val="none"/>
        </w:rPr>
        <w:t xml:space="preserve">提供的方案能全部响应要求，提出更为细致、有针对性、切实可行、要求之外且和本项目实施相关的内容的，可视为优于；方案能响应要求的可视为符合；方案对于要求的响应不完全或者偏离要求的，视为不符合。</w:t>
      </w:r>
      <w:r/>
    </w:p>
    <w:p>
      <w:pPr>
        <w:numPr>
          <w:ilvl w:val="-1"/>
          <w:numId w:val="0"/>
        </w:numPr>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（1）培训计划：结合项目实施进度及采购需求，明确培训对象、培训时间、培训方式（线上/线下）、培训场次及考核方式，合理安排培训节奏，制定培训应急预案，确保培训工作有序开展、覆盖全部目标人员。</w:t>
      </w:r>
      <w:r/>
    </w:p>
    <w:p>
      <w:pPr>
        <w:numPr>
          <w:ilvl w:val="-1"/>
          <w:numId w:val="0"/>
        </w:numPr>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培训内容：紧扣项目实际应用需求，涵盖项目核心功能操作、系统维护、常见问题处理、安全规范等内容，结合不同岗位需求设计针对性培训模块，确保培训内容实用、易懂，帮助参训人员快速掌握相关技能，保障项目后期顺利运维。</w:t>
      </w:r>
      <w:r/>
    </w:p>
    <w:p>
      <w:pPr>
        <w:numPr>
          <w:ilvl w:val="-1"/>
          <w:numId w:val="0"/>
        </w:numPr>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6"/>
        </w:numPr>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售后服务方案</w:t>
      </w:r>
      <w:r/>
    </w:p>
    <w:p>
      <w:pPr>
        <w:ind w:firstLine="480"/>
        <w:spacing w:line="500" w:lineRule="exact"/>
        <w:rPr>
          <w:rFonts w:hint="eastAsia" w:ascii="宋体" w:hAnsi="宋体" w:eastAsia="宋体" w:cs="宋体"/>
          <w:color w:val="auto"/>
          <w:sz w:val="24"/>
          <w:highlight w:val="none"/>
        </w:rPr>
      </w:pPr>
      <w:r>
        <w:rPr>
          <w:color w:val="auto"/>
          <w:sz w:val="24"/>
          <w:highlight w:val="none"/>
        </w:rPr>
        <w:t xml:space="preserve">投标人</w:t>
      </w:r>
      <w:r>
        <w:rPr>
          <w:rFonts w:hint="eastAsia"/>
          <w:color w:val="auto"/>
          <w:sz w:val="24"/>
          <w:highlight w:val="none"/>
        </w:rPr>
        <w:t xml:space="preserve">应在第四章采购需求内容上深化售后服务方案，至少包含以下内容：服务方式、服务内容、故障响应等。</w:t>
      </w:r>
      <w:r>
        <w:rPr>
          <w:color w:val="auto"/>
          <w:sz w:val="24"/>
          <w:highlight w:val="none"/>
        </w:rPr>
        <w:t xml:space="preserve">投标人</w:t>
      </w:r>
      <w:r>
        <w:rPr>
          <w:rFonts w:hint="eastAsia" w:ascii="宋体" w:hAnsi="宋体" w:eastAsia="宋体" w:cs="宋体"/>
          <w:color w:val="auto"/>
          <w:sz w:val="24"/>
          <w:highlight w:val="none"/>
        </w:rPr>
        <w:t xml:space="preserve">提供的方案能全部响应要求，提出更为细致、有针对性、切实可行、要求之外且和本项目实施相关的内容的，可视为优于；方案能响应要求的可视为符合；方案对于要求的响应不完全或者偏离要求的，视为不符合。</w:t>
      </w:r>
      <w:r/>
    </w:p>
    <w:p>
      <w:pPr>
        <w:ind w:firstLine="480"/>
        <w:spacing w:line="500" w:lineRule="exact"/>
        <w:rPr>
          <w:rFonts w:hint="eastAsia"/>
          <w:color w:val="auto"/>
          <w:sz w:val="24"/>
          <w:highlight w:val="none"/>
          <w:lang w:val="zh-CN"/>
        </w:rPr>
      </w:pPr>
      <w:r>
        <w:rPr>
          <w:rFonts w:hint="eastAsia"/>
          <w:color w:val="auto"/>
          <w:sz w:val="24"/>
          <w:highlight w:val="none"/>
          <w:lang w:val="zh-CN"/>
        </w:rPr>
        <w:t xml:space="preserve">（1）服务方式：结合项目运维需求，明确售后服务的具体方式，涵盖线上远程支持、线下现场服务、电话咨询、专属客服对接等，明确各服务方式的适用场景、响应时限及服务流程，确保服务便捷、高效，满足不同场景下的售后需求。</w:t>
      </w:r>
      <w:r/>
    </w:p>
    <w:p>
      <w:pPr>
        <w:ind w:firstLine="480"/>
        <w:spacing w:line="500" w:lineRule="exact"/>
        <w:rPr>
          <w:rFonts w:hint="eastAsia"/>
          <w:color w:val="auto"/>
          <w:sz w:val="24"/>
          <w:highlight w:val="none"/>
          <w:lang w:val="zh-CN"/>
        </w:rPr>
      </w:pPr>
      <w:r>
        <w:rPr>
          <w:rFonts w:hint="eastAsia"/>
          <w:color w:val="auto"/>
          <w:sz w:val="24"/>
          <w:highlight w:val="none"/>
          <w:lang w:val="zh-CN"/>
        </w:rPr>
        <w:t xml:space="preserve">（2）服务内容：围绕项目后期运维，明确售后服务核心内容，包括系统日常维护、漏洞修复、版本升级、技术咨询、操作指导、耗材更换建议等，结合项目特点补充个性化服务内容，保障项目长期稳定运行。</w:t>
      </w:r>
      <w:r/>
    </w:p>
    <w:p>
      <w:pPr>
        <w:ind w:firstLine="480"/>
        <w:spacing w:line="500" w:lineRule="exact"/>
        <w:rPr>
          <w:color w:val="auto"/>
          <w:highlight w:val="none"/>
        </w:rPr>
      </w:pPr>
      <w:r>
        <w:rPr>
          <w:rFonts w:hint="eastAsia"/>
          <w:color w:val="auto"/>
          <w:sz w:val="24"/>
          <w:highlight w:val="none"/>
          <w:lang w:val="zh-CN"/>
        </w:rPr>
        <w:t xml:space="preserve">（3）故障响应：制定分级故障响应机制，明确不同等级故障（一般、紧急、重大）的响应时限、处理流程及责任人员，建立故障排查、处理、反馈闭环机制，制定故障应急处置预案，确保快速响应、高效解决各类故障，最大限度降低故障对项目运行的影响。</w:t>
      </w:r>
      <w:r/>
    </w:p>
    <w:p>
      <w:pPr>
        <w:jc w:val="center"/>
        <w:rPr>
          <w:color w:val="auto"/>
          <w:highlight w:val="none"/>
        </w:rPr>
      </w:pPr>
      <w:r>
        <w:rPr>
          <w:rFonts w:hint="eastAsia" w:ascii="宋体" w:hAnsi="宋体" w:eastAsia="宋体" w:cs="宋体"/>
          <w:color w:val="auto"/>
          <w:sz w:val="24"/>
          <w:szCs w:val="24"/>
          <w:highlight w:val="none"/>
          <w:shd w:val="clear" w:color="auto" w:fill="auto"/>
        </w:rPr>
        <w:t xml:space="preserve"> </w:t>
      </w:r>
      <w:bookmarkStart w:id="178"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评审方法与评审标准</w:t>
      </w:r>
      <w:bookmarkEnd w:id="178"/>
      <w:r/>
      <w:r/>
    </w:p>
    <w:p>
      <w:pPr>
        <w:pStyle w:val="887"/>
        <w:jc w:val="both"/>
        <w:spacing w:beforeAutospacing="0" w:afterAutospacing="0"/>
        <w:rPr>
          <w:color w:val="auto"/>
          <w:highlight w:val="none"/>
        </w:rPr>
      </w:pPr>
      <w:r>
        <w:rPr>
          <w:color w:val="auto"/>
          <w:highlight w:val="none"/>
        </w:rPr>
        <w:t xml:space="preserve"> </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pStyle w:val="893"/>
        <w:ind w:firstLine="600"/>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b w:val="0"/>
          <w:bCs w:val="0"/>
          <w:color w:val="auto"/>
          <w:sz w:val="24"/>
          <w:szCs w:val="24"/>
          <w:highlight w:val="none"/>
          <w:shd w:val="clear" w:color="auto" w:fill="auto"/>
          <w:lang w:val="en-US" w:eastAsia="zh-CN" w:bidi="ar-SA"/>
        </w:rPr>
        <w:t xml:space="preserve">第二十一条第三款情形的，可以推荐2家成交候选供应商。评审得分相同的，按照最后报价由低到高的顺序推荐。评审得分且最后报价相同的，按照技术指标优劣顺序推荐。</w:t>
      </w:r>
      <w:r/>
    </w:p>
    <w:p>
      <w:pPr>
        <w:pStyle w:val="887"/>
        <w:ind w:firstLine="441"/>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887"/>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893"/>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w:t>
      </w:r>
      <w:r/>
    </w:p>
    <w:p>
      <w:pPr>
        <w:pStyle w:val="887"/>
        <w:ind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w:t>
      </w:r>
      <w:r>
        <w:rPr>
          <w:rFonts w:hint="eastAsia" w:ascii="宋体" w:hAnsi="宋体" w:eastAsia="宋体" w:cs="宋体"/>
          <w:color w:val="auto"/>
          <w:sz w:val="24"/>
          <w:szCs w:val="24"/>
          <w:highlight w:val="none"/>
          <w:lang w:val="en-US" w:eastAsia="zh-CN"/>
        </w:rPr>
        <w:t xml:space="preserve">磋商邀请文件</w:t>
      </w:r>
      <w:r>
        <w:rPr>
          <w:rFonts w:hint="eastAsia" w:ascii="宋体" w:hAnsi="宋体" w:eastAsia="宋体" w:cs="宋体"/>
          <w:color w:val="auto"/>
          <w:sz w:val="24"/>
          <w:szCs w:val="24"/>
          <w:highlight w:val="none"/>
        </w:rPr>
        <w:t xml:space="preserve">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887"/>
        <w:ind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887"/>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887"/>
        <w:ind w:left="120"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pStyle w:val="887"/>
        <w:ind w:left="120"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w:t>
      </w:r>
      <w:r>
        <w:rPr>
          <w:rFonts w:hint="eastAsia" w:ascii="宋体" w:hAnsi="宋体" w:eastAsia="宋体" w:cs="宋体"/>
          <w:color w:val="auto"/>
          <w:sz w:val="24"/>
          <w:szCs w:val="24"/>
          <w:highlight w:val="none"/>
          <w:lang w:val="en-US" w:eastAsia="zh-CN"/>
        </w:rPr>
        <w:t xml:space="preserve">磋商邀请文件</w:t>
      </w:r>
      <w:r>
        <w:rPr>
          <w:rFonts w:hint="eastAsia" w:ascii="宋体" w:hAnsi="宋体" w:eastAsia="宋体" w:cs="宋体"/>
          <w:color w:val="auto"/>
          <w:sz w:val="24"/>
          <w:szCs w:val="24"/>
          <w:highlight w:val="none"/>
        </w:rPr>
        <w:t xml:space="preserve">的要求提供《残疾人福利性单位声明函》。</w:t>
      </w:r>
      <w:r/>
    </w:p>
    <w:p>
      <w:pPr>
        <w:pStyle w:val="887"/>
        <w:ind w:left="120"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887"/>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887"/>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pStyle w:val="887"/>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7"/>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887"/>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887"/>
        <w:ind w:firstLine="480"/>
        <w:spacing w:before="120" w:beforeAutospacing="0" w:after="120" w:afterAutospacing="0" w:line="0" w:lineRule="atLeas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white"/>
        </w:rPr>
        <w:t xml:space="preserve">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white"/>
          <w:u w:val="single"/>
        </w:rPr>
        <w:t xml:space="preserve">6%</w:t>
      </w:r>
      <w:r>
        <w:rPr>
          <w:rFonts w:hint="eastAsia" w:ascii="宋体" w:hAnsi="宋体" w:eastAsia="宋体" w:cs="宋体"/>
          <w:color w:val="auto"/>
          <w:sz w:val="24"/>
          <w:szCs w:val="24"/>
          <w:highlight w:val="white"/>
        </w:rPr>
        <w:t xml:space="preserve">的价格扣除，用扣除后的价格参与评审。</w:t>
      </w:r>
      <w:r>
        <w:rPr>
          <w:highlight w:val="white"/>
        </w:rPr>
      </w:r>
      <w:r/>
    </w:p>
    <w:p>
      <w:pPr>
        <w:pStyle w:val="887"/>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价格扣除，用扣除后的价格参与评审。</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spacing w:line="500" w:lineRule="exact"/>
        <w:rPr>
          <w:rFonts w:hint="eastAsia" w:ascii="宋体" w:hAnsi="宋体" w:cs="宋体"/>
          <w:b/>
          <w:bCs/>
          <w:color w:val="auto"/>
          <w:sz w:val="24"/>
          <w:highlight w:val="none"/>
        </w:rPr>
      </w:pPr>
      <w:r>
        <w:rPr>
          <w:rFonts w:hint="eastAsia" w:ascii="宋体" w:hAnsi="宋体" w:cs="宋体"/>
          <w:b/>
          <w:color w:val="auto"/>
          <w:sz w:val="24"/>
          <w:highlight w:val="none"/>
        </w:rPr>
        <w:t xml:space="preserve">三、评标标准</w:t>
      </w:r>
      <w:bookmarkStart w:id="179" w:name="OLE_LINK62"/>
      <w:r/>
      <w:bookmarkStart w:id="180" w:name="OLE_LINK61"/>
      <w:r/>
      <w:r/>
    </w:p>
    <w:p>
      <w:pPr>
        <w:jc w:val="left"/>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本项目评分总分值为100分。</w:t>
      </w:r>
      <w:r/>
    </w:p>
    <w:tbl>
      <w:tblPr>
        <w:tblStyle w:val="8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302"/>
        <w:gridCol w:w="1430"/>
        <w:gridCol w:w="5136"/>
      </w:tblGrid>
      <w:tr>
        <w:trPr>
          <w:jc w:val="center"/>
          <w:trHeight w:val="567"/>
        </w:trPr>
        <w:tc>
          <w:tcPr>
            <w:tcW w:w="783" w:type="dxa"/>
            <w:vAlign w:val="center"/>
            <w:textDirection w:val="lrTb"/>
            <w:noWrap w:val="false"/>
          </w:tcPr>
          <w:p>
            <w:pPr>
              <w:jc w:val="center"/>
              <w:spacing w:line="500" w:lineRule="exact"/>
              <w:widowControl/>
              <w:rPr>
                <w:rFonts w:eastAsia="Times New Roman"/>
                <w:b/>
                <w:color w:val="auto"/>
                <w:sz w:val="24"/>
                <w:highlight w:val="none"/>
                <w:lang w:val="zh-CN"/>
              </w:rPr>
            </w:pPr>
            <w:r>
              <w:rPr>
                <w:b/>
                <w:color w:val="auto"/>
                <w:sz w:val="24"/>
                <w:highlight w:val="none"/>
                <w:lang w:val="zh-CN"/>
              </w:rPr>
              <w:t xml:space="preserve">序号</w:t>
            </w:r>
            <w:r/>
          </w:p>
        </w:tc>
        <w:tc>
          <w:tcPr>
            <w:tcW w:w="1302" w:type="dxa"/>
            <w:vAlign w:val="center"/>
            <w:textDirection w:val="lrTb"/>
            <w:noWrap w:val="false"/>
          </w:tcPr>
          <w:p>
            <w:pPr>
              <w:jc w:val="center"/>
              <w:spacing w:line="500" w:lineRule="exact"/>
              <w:widowControl/>
              <w:rPr>
                <w:rFonts w:eastAsia="Times New Roman"/>
                <w:b/>
                <w:color w:val="auto"/>
                <w:sz w:val="24"/>
                <w:highlight w:val="none"/>
                <w:lang w:val="zh-CN"/>
              </w:rPr>
            </w:pPr>
            <w:r>
              <w:rPr>
                <w:b/>
                <w:color w:val="auto"/>
                <w:sz w:val="24"/>
                <w:highlight w:val="none"/>
                <w:lang w:val="zh-CN"/>
              </w:rPr>
              <w:t xml:space="preserve">类别</w:t>
            </w:r>
            <w:r/>
          </w:p>
        </w:tc>
        <w:tc>
          <w:tcPr>
            <w:tcW w:w="1430" w:type="dxa"/>
            <w:vAlign w:val="center"/>
            <w:textDirection w:val="lrTb"/>
            <w:noWrap w:val="false"/>
          </w:tcPr>
          <w:p>
            <w:pPr>
              <w:jc w:val="center"/>
              <w:spacing w:line="500" w:lineRule="exact"/>
              <w:widowControl/>
              <w:rPr>
                <w:rFonts w:eastAsia="Times New Roman"/>
                <w:b/>
                <w:color w:val="auto"/>
                <w:sz w:val="24"/>
                <w:highlight w:val="none"/>
                <w:lang w:val="zh-CN"/>
              </w:rPr>
            </w:pPr>
            <w:r>
              <w:rPr>
                <w:b/>
                <w:color w:val="auto"/>
                <w:sz w:val="24"/>
                <w:highlight w:val="none"/>
                <w:lang w:val="zh-CN"/>
              </w:rPr>
              <w:t xml:space="preserve">评分因素</w:t>
            </w:r>
            <w:r/>
          </w:p>
        </w:tc>
        <w:tc>
          <w:tcPr>
            <w:tcW w:w="5136" w:type="dxa"/>
            <w:vAlign w:val="center"/>
            <w:textDirection w:val="lrTb"/>
            <w:noWrap w:val="false"/>
          </w:tcPr>
          <w:p>
            <w:pPr>
              <w:jc w:val="center"/>
              <w:spacing w:line="500" w:lineRule="exact"/>
              <w:rPr>
                <w:rFonts w:eastAsia="Times New Roman"/>
                <w:b/>
                <w:color w:val="auto"/>
                <w:sz w:val="24"/>
                <w:highlight w:val="none"/>
              </w:rPr>
            </w:pPr>
            <w:r>
              <w:rPr>
                <w:b/>
                <w:color w:val="auto"/>
                <w:sz w:val="24"/>
                <w:highlight w:val="none"/>
              </w:rPr>
              <w:t xml:space="preserve">评分标准</w:t>
            </w:r>
            <w:r/>
          </w:p>
        </w:tc>
      </w:tr>
      <w:tr>
        <w:trPr>
          <w:jc w:val="center"/>
          <w:trHeight w:val="1862"/>
        </w:trPr>
        <w:tc>
          <w:tcPr>
            <w:tcW w:w="783" w:type="dxa"/>
            <w:vAlign w:val="center"/>
            <w:textDirection w:val="lrTb"/>
            <w:noWrap w:val="false"/>
          </w:tcPr>
          <w:p>
            <w:pPr>
              <w:jc w:val="center"/>
              <w:spacing w:line="500" w:lineRule="exact"/>
              <w:widowControl/>
              <w:rPr>
                <w:rFonts w:eastAsia="Times New Roman"/>
                <w:color w:val="auto"/>
                <w:sz w:val="24"/>
                <w:highlight w:val="none"/>
                <w:lang w:val="zh-CN"/>
              </w:rPr>
            </w:pPr>
            <w:r>
              <w:rPr>
                <w:color w:val="auto"/>
                <w:sz w:val="24"/>
                <w:highlight w:val="none"/>
                <w:lang w:val="zh-CN"/>
              </w:rPr>
              <w:t xml:space="preserve">1</w:t>
            </w:r>
            <w:r/>
          </w:p>
        </w:tc>
        <w:tc>
          <w:tcPr>
            <w:tcW w:w="1302" w:type="dxa"/>
            <w:vAlign w:val="center"/>
            <w:textDirection w:val="lrTb"/>
            <w:noWrap w:val="false"/>
          </w:tcPr>
          <w:p>
            <w:pPr>
              <w:jc w:val="center"/>
              <w:spacing w:line="500" w:lineRule="exact"/>
              <w:widowControl/>
              <w:rPr>
                <w:rFonts w:eastAsia="Times New Roman"/>
                <w:color w:val="auto"/>
                <w:sz w:val="24"/>
                <w:highlight w:val="none"/>
                <w:lang w:val="zh-CN"/>
              </w:rPr>
            </w:pPr>
            <w:r>
              <w:rPr>
                <w:color w:val="auto"/>
                <w:sz w:val="24"/>
                <w:highlight w:val="none"/>
                <w:lang w:val="zh-CN"/>
              </w:rPr>
              <w:t xml:space="preserve">价格分       （</w:t>
            </w:r>
            <w:r>
              <w:rPr>
                <w:rFonts w:hint="eastAsia"/>
                <w:color w:val="auto"/>
                <w:sz w:val="24"/>
                <w:highlight w:val="none"/>
              </w:rPr>
              <w:t xml:space="preserve">10</w:t>
            </w:r>
            <w:r>
              <w:rPr>
                <w:color w:val="auto"/>
                <w:sz w:val="24"/>
                <w:highlight w:val="none"/>
                <w:lang w:val="zh-CN"/>
              </w:rPr>
              <w:t xml:space="preserve">分）</w:t>
            </w:r>
            <w:r/>
          </w:p>
        </w:tc>
        <w:tc>
          <w:tcPr>
            <w:tcW w:w="1430" w:type="dxa"/>
            <w:vAlign w:val="center"/>
            <w:textDirection w:val="lrTb"/>
            <w:noWrap w:val="false"/>
          </w:tcPr>
          <w:p>
            <w:pPr>
              <w:jc w:val="center"/>
              <w:spacing w:line="500" w:lineRule="exact"/>
              <w:widowControl/>
              <w:rPr>
                <w:rFonts w:eastAsia="Times New Roman"/>
                <w:color w:val="auto"/>
                <w:sz w:val="24"/>
                <w:highlight w:val="none"/>
                <w:lang w:val="zh-CN"/>
              </w:rPr>
            </w:pPr>
            <w:r>
              <w:rPr>
                <w:color w:val="auto"/>
                <w:sz w:val="24"/>
                <w:highlight w:val="none"/>
                <w:lang w:val="zh-CN"/>
              </w:rPr>
              <w:t xml:space="preserve">投标报价</w:t>
            </w:r>
            <w:r>
              <w:rPr>
                <w:color w:val="auto"/>
                <w:sz w:val="24"/>
                <w:highlight w:val="none"/>
              </w:rPr>
              <w:t xml:space="preserve"> </w:t>
            </w:r>
            <w:r>
              <w:rPr>
                <w:color w:val="auto"/>
                <w:sz w:val="24"/>
                <w:highlight w:val="none"/>
                <w:lang w:val="zh-CN"/>
              </w:rPr>
              <w:t xml:space="preserve">（</w:t>
            </w:r>
            <w:r>
              <w:rPr>
                <w:rFonts w:hint="eastAsia"/>
                <w:color w:val="auto"/>
                <w:sz w:val="24"/>
                <w:highlight w:val="none"/>
              </w:rPr>
              <w:t xml:space="preserve">10</w:t>
            </w:r>
            <w:r>
              <w:rPr>
                <w:color w:val="auto"/>
                <w:sz w:val="24"/>
                <w:highlight w:val="none"/>
                <w:lang w:val="zh-CN"/>
              </w:rPr>
              <w:t xml:space="preserve">分）</w:t>
            </w:r>
            <w:r/>
          </w:p>
        </w:tc>
        <w:tc>
          <w:tcPr>
            <w:tcW w:w="5136" w:type="dxa"/>
            <w:vAlign w:val="center"/>
            <w:textDirection w:val="lrTb"/>
            <w:noWrap w:val="false"/>
          </w:tcPr>
          <w:p>
            <w:pPr>
              <w:ind w:firstLine="480"/>
              <w:spacing w:line="500" w:lineRule="exact"/>
              <w:rPr>
                <w:color w:val="auto"/>
                <w:sz w:val="24"/>
                <w:highlight w:val="none"/>
              </w:rPr>
            </w:pPr>
            <w:r>
              <w:rPr>
                <w:color w:val="auto"/>
                <w:sz w:val="24"/>
                <w:highlight w:val="none"/>
              </w:rPr>
              <w:t xml:space="preserve">价格分采用低价优先法计算，即满足招标文件要求且投标价格最低的投标报价为评标基准价，其价格分为满分。其他投标人的价格分统一按照下列公式计算：投标报价得分=（评标基准价／投标报价）×</w:t>
            </w:r>
            <w:r>
              <w:rPr>
                <w:rFonts w:hint="eastAsia"/>
                <w:color w:val="auto"/>
                <w:sz w:val="24"/>
                <w:highlight w:val="none"/>
              </w:rPr>
              <w:t xml:space="preserve">10</w:t>
            </w:r>
            <w:r>
              <w:rPr>
                <w:color w:val="auto"/>
                <w:sz w:val="24"/>
                <w:highlight w:val="none"/>
              </w:rPr>
              <w:t xml:space="preserve">。（得分保留两位小数）</w:t>
            </w:r>
            <w:r/>
          </w:p>
        </w:tc>
      </w:tr>
      <w:tr>
        <w:trPr>
          <w:jc w:val="center"/>
          <w:trHeight w:val="90"/>
        </w:trPr>
        <w:tc>
          <w:tcPr>
            <w:tcW w:w="783" w:type="dxa"/>
            <w:vAlign w:val="center"/>
            <w:vMerge w:val="restart"/>
            <w:textDirection w:val="lrTb"/>
            <w:noWrap w:val="false"/>
          </w:tcPr>
          <w:p>
            <w:pPr>
              <w:jc w:val="center"/>
              <w:spacing w:line="500" w:lineRule="exact"/>
              <w:widowControl/>
              <w:rPr>
                <w:color w:val="auto"/>
                <w:sz w:val="24"/>
                <w:highlight w:val="none"/>
              </w:rPr>
            </w:pPr>
            <w:r>
              <w:rPr>
                <w:color w:val="auto"/>
                <w:sz w:val="24"/>
                <w:highlight w:val="none"/>
              </w:rPr>
            </w:r>
            <w:r/>
          </w:p>
          <w:p>
            <w:pPr>
              <w:jc w:val="center"/>
              <w:spacing w:line="500" w:lineRule="exact"/>
              <w:widowControl/>
              <w:rPr>
                <w:color w:val="auto"/>
                <w:sz w:val="24"/>
                <w:highlight w:val="none"/>
              </w:rPr>
            </w:pPr>
            <w:r>
              <w:rPr>
                <w:color w:val="auto"/>
                <w:sz w:val="24"/>
                <w:highlight w:val="none"/>
              </w:rPr>
            </w:r>
            <w:r/>
          </w:p>
          <w:p>
            <w:pPr>
              <w:jc w:val="center"/>
              <w:spacing w:line="500" w:lineRule="exact"/>
              <w:widowControl/>
              <w:rPr>
                <w:color w:val="auto"/>
                <w:sz w:val="24"/>
                <w:highlight w:val="none"/>
              </w:rPr>
            </w:pPr>
            <w:r>
              <w:rPr>
                <w:color w:val="auto"/>
                <w:sz w:val="24"/>
                <w:highlight w:val="none"/>
              </w:rPr>
            </w:r>
            <w:r/>
          </w:p>
          <w:p>
            <w:pPr>
              <w:jc w:val="center"/>
              <w:spacing w:line="500" w:lineRule="exact"/>
              <w:widowControl/>
              <w:rPr>
                <w:color w:val="auto"/>
                <w:sz w:val="24"/>
                <w:highlight w:val="none"/>
              </w:rPr>
            </w:pPr>
            <w:r>
              <w:rPr>
                <w:color w:val="auto"/>
                <w:sz w:val="24"/>
                <w:highlight w:val="none"/>
              </w:rPr>
            </w:r>
            <w:r/>
          </w:p>
          <w:p>
            <w:pPr>
              <w:jc w:val="center"/>
              <w:spacing w:line="500" w:lineRule="exact"/>
              <w:widowControl/>
              <w:rPr>
                <w:color w:val="auto"/>
                <w:sz w:val="24"/>
                <w:highlight w:val="none"/>
              </w:rPr>
            </w:pPr>
            <w:r>
              <w:rPr>
                <w:color w:val="auto"/>
                <w:sz w:val="24"/>
                <w:highlight w:val="none"/>
              </w:rPr>
            </w:r>
            <w:r/>
          </w:p>
          <w:p>
            <w:pPr>
              <w:jc w:val="center"/>
              <w:spacing w:line="500" w:lineRule="exact"/>
              <w:widowControl/>
              <w:rPr>
                <w:color w:val="auto"/>
                <w:sz w:val="24"/>
                <w:highlight w:val="none"/>
              </w:rPr>
            </w:pPr>
            <w:r>
              <w:rPr>
                <w:color w:val="auto"/>
                <w:sz w:val="24"/>
                <w:highlight w:val="none"/>
              </w:rPr>
            </w:r>
            <w:r/>
          </w:p>
          <w:p>
            <w:pPr>
              <w:jc w:val="center"/>
              <w:spacing w:line="500" w:lineRule="exact"/>
              <w:widowControl/>
              <w:rPr>
                <w:rFonts w:eastAsia="Times New Roman"/>
                <w:color w:val="auto"/>
                <w:sz w:val="24"/>
                <w:highlight w:val="none"/>
              </w:rPr>
            </w:pPr>
            <w:r>
              <w:rPr>
                <w:color w:val="auto"/>
                <w:sz w:val="24"/>
                <w:highlight w:val="none"/>
              </w:rPr>
              <w:t xml:space="preserve">2</w:t>
            </w:r>
            <w:r/>
          </w:p>
        </w:tc>
        <w:tc>
          <w:tcPr>
            <w:tcW w:w="1302" w:type="dxa"/>
            <w:vAlign w:val="center"/>
            <w:vMerge w:val="restart"/>
            <w:textDirection w:val="lrTb"/>
            <w:noWrap w:val="false"/>
          </w:tcPr>
          <w:p>
            <w:pPr>
              <w:jc w:val="center"/>
              <w:spacing w:line="500" w:lineRule="exact"/>
              <w:widowControl/>
              <w:rPr>
                <w:color w:val="auto"/>
                <w:sz w:val="24"/>
                <w:highlight w:val="none"/>
                <w:lang w:val="zh-CN"/>
              </w:rPr>
            </w:pPr>
            <w:r>
              <w:rPr>
                <w:color w:val="auto"/>
                <w:sz w:val="24"/>
                <w:highlight w:val="none"/>
                <w:lang w:val="zh-CN"/>
              </w:rPr>
            </w:r>
            <w:r/>
          </w:p>
          <w:p>
            <w:pPr>
              <w:jc w:val="center"/>
              <w:spacing w:line="500" w:lineRule="exact"/>
              <w:widowControl/>
              <w:rPr>
                <w:color w:val="auto"/>
                <w:sz w:val="24"/>
                <w:highlight w:val="none"/>
                <w:lang w:val="zh-CN"/>
              </w:rPr>
            </w:pPr>
            <w:r>
              <w:rPr>
                <w:color w:val="auto"/>
                <w:sz w:val="24"/>
                <w:highlight w:val="none"/>
                <w:lang w:val="zh-CN"/>
              </w:rPr>
            </w:r>
            <w:r/>
          </w:p>
          <w:p>
            <w:pPr>
              <w:jc w:val="center"/>
              <w:spacing w:line="500" w:lineRule="exact"/>
              <w:widowControl/>
              <w:rPr>
                <w:color w:val="auto"/>
                <w:sz w:val="24"/>
                <w:highlight w:val="none"/>
                <w:lang w:val="zh-CN"/>
              </w:rPr>
            </w:pPr>
            <w:r>
              <w:rPr>
                <w:color w:val="auto"/>
                <w:sz w:val="24"/>
                <w:highlight w:val="none"/>
                <w:lang w:val="zh-CN"/>
              </w:rPr>
            </w:r>
            <w:r/>
          </w:p>
          <w:p>
            <w:pPr>
              <w:jc w:val="center"/>
              <w:spacing w:line="500" w:lineRule="exact"/>
              <w:widowControl/>
              <w:rPr>
                <w:color w:val="auto"/>
                <w:sz w:val="24"/>
                <w:highlight w:val="none"/>
                <w:lang w:val="zh-CN"/>
              </w:rPr>
            </w:pPr>
            <w:r>
              <w:rPr>
                <w:color w:val="auto"/>
                <w:sz w:val="24"/>
                <w:highlight w:val="none"/>
                <w:lang w:val="zh-CN"/>
              </w:rPr>
            </w:r>
            <w:r/>
          </w:p>
          <w:p>
            <w:pPr>
              <w:jc w:val="center"/>
              <w:spacing w:line="500" w:lineRule="exact"/>
              <w:widowControl/>
              <w:rPr>
                <w:color w:val="auto"/>
                <w:sz w:val="24"/>
                <w:highlight w:val="none"/>
                <w:lang w:val="zh-CN"/>
              </w:rPr>
            </w:pPr>
            <w:r>
              <w:rPr>
                <w:color w:val="auto"/>
                <w:sz w:val="24"/>
                <w:highlight w:val="none"/>
                <w:lang w:val="zh-CN"/>
              </w:rPr>
            </w:r>
            <w:r/>
          </w:p>
          <w:p>
            <w:pPr>
              <w:jc w:val="center"/>
              <w:spacing w:line="500" w:lineRule="exact"/>
              <w:widowControl/>
              <w:rPr>
                <w:rFonts w:eastAsia="Times New Roman"/>
                <w:color w:val="auto"/>
                <w:sz w:val="24"/>
                <w:highlight w:val="none"/>
                <w:lang w:val="zh-CN"/>
              </w:rPr>
            </w:pPr>
            <w:r>
              <w:rPr>
                <w:color w:val="auto"/>
                <w:sz w:val="24"/>
                <w:highlight w:val="none"/>
                <w:lang w:val="zh-CN"/>
              </w:rPr>
              <w:t xml:space="preserve">商务部分</w:t>
            </w:r>
            <w:r/>
          </w:p>
          <w:p>
            <w:pPr>
              <w:jc w:val="center"/>
              <w:spacing w:line="500" w:lineRule="exact"/>
              <w:widowControl/>
              <w:rPr>
                <w:rFonts w:eastAsia="Times New Roman"/>
                <w:color w:val="auto"/>
                <w:sz w:val="24"/>
                <w:highlight w:val="none"/>
                <w:lang w:val="zh-CN"/>
              </w:rPr>
            </w:pPr>
            <w:r>
              <w:rPr>
                <w:color w:val="auto"/>
                <w:sz w:val="24"/>
                <w:highlight w:val="none"/>
                <w:lang w:val="zh-CN"/>
              </w:rPr>
              <w:t xml:space="preserve">（</w:t>
            </w:r>
            <w:r>
              <w:rPr>
                <w:rFonts w:hint="eastAsia"/>
                <w:color w:val="auto"/>
                <w:sz w:val="24"/>
                <w:highlight w:val="none"/>
              </w:rPr>
              <w:t xml:space="preserve">15</w:t>
            </w:r>
            <w:r>
              <w:rPr>
                <w:color w:val="auto"/>
                <w:sz w:val="24"/>
                <w:highlight w:val="none"/>
                <w:lang w:val="zh-CN"/>
              </w:rPr>
              <w:t xml:space="preserve">分）</w:t>
            </w:r>
            <w:r/>
          </w:p>
        </w:tc>
        <w:tc>
          <w:tcPr>
            <w:tcW w:w="1430" w:type="dxa"/>
            <w:vAlign w:val="center"/>
            <w:textDirection w:val="lrTb"/>
            <w:noWrap w:val="false"/>
          </w:tcPr>
          <w:p>
            <w:pPr>
              <w:jc w:val="center"/>
              <w:spacing w:line="500" w:lineRule="exact"/>
              <w:widowControl/>
              <w:rPr>
                <w:color w:val="auto"/>
                <w:sz w:val="24"/>
                <w:highlight w:val="none"/>
              </w:rPr>
            </w:pPr>
            <w:r>
              <w:rPr>
                <w:color w:val="auto"/>
                <w:sz w:val="24"/>
                <w:highlight w:val="none"/>
              </w:rPr>
            </w:r>
            <w:r/>
          </w:p>
          <w:p>
            <w:pPr>
              <w:jc w:val="center"/>
              <w:spacing w:line="500" w:lineRule="exact"/>
              <w:widowControl/>
              <w:rPr>
                <w:color w:val="auto"/>
                <w:sz w:val="24"/>
                <w:highlight w:val="none"/>
              </w:rPr>
            </w:pPr>
            <w:r>
              <w:rPr>
                <w:color w:val="auto"/>
                <w:sz w:val="24"/>
                <w:highlight w:val="none"/>
              </w:rPr>
            </w:r>
            <w:r/>
          </w:p>
          <w:p>
            <w:pPr>
              <w:jc w:val="center"/>
              <w:spacing w:line="500" w:lineRule="exact"/>
              <w:widowControl/>
              <w:rPr>
                <w:color w:val="auto"/>
                <w:sz w:val="24"/>
                <w:highlight w:val="none"/>
                <w:lang w:val="zh-CN"/>
              </w:rPr>
            </w:pPr>
            <w:r>
              <w:rPr>
                <w:rFonts w:hint="eastAsia"/>
                <w:color w:val="auto"/>
                <w:sz w:val="24"/>
                <w:highlight w:val="none"/>
              </w:rPr>
              <w:t xml:space="preserve">企业实力</w:t>
            </w:r>
            <w:r/>
          </w:p>
          <w:p>
            <w:pPr>
              <w:jc w:val="center"/>
              <w:spacing w:line="500" w:lineRule="exact"/>
              <w:widowControl/>
              <w:rPr>
                <w:rFonts w:eastAsia="Times New Roman"/>
                <w:color w:val="auto"/>
                <w:sz w:val="24"/>
                <w:highlight w:val="none"/>
                <w:lang w:val="zh-CN"/>
              </w:rPr>
            </w:pPr>
            <w:r>
              <w:rPr>
                <w:color w:val="auto"/>
                <w:sz w:val="24"/>
                <w:highlight w:val="none"/>
                <w:lang w:val="zh-CN"/>
              </w:rPr>
              <w:t xml:space="preserve">（</w:t>
            </w:r>
            <w:r>
              <w:rPr>
                <w:rFonts w:hint="eastAsia"/>
                <w:color w:val="auto"/>
                <w:sz w:val="24"/>
                <w:highlight w:val="none"/>
              </w:rPr>
              <w:t xml:space="preserve">6</w:t>
            </w:r>
            <w:r>
              <w:rPr>
                <w:color w:val="auto"/>
                <w:sz w:val="24"/>
                <w:highlight w:val="none"/>
                <w:lang w:val="zh-CN"/>
              </w:rPr>
              <w:t xml:space="preserve">分）</w:t>
            </w:r>
            <w:r/>
          </w:p>
        </w:tc>
        <w:tc>
          <w:tcPr>
            <w:tcW w:w="5136" w:type="dxa"/>
            <w:vAlign w:val="center"/>
            <w:textDirection w:val="lrTb"/>
            <w:noWrap w:val="false"/>
          </w:tcPr>
          <w:p>
            <w:pPr>
              <w:ind w:firstLine="480"/>
              <w:spacing w:line="500" w:lineRule="exact"/>
              <w:rPr>
                <w:rFonts w:hint="default" w:eastAsiaTheme="minorEastAsia"/>
                <w:strike/>
                <w:color w:val="auto"/>
                <w:sz w:val="24"/>
                <w:highlight w:val="none"/>
                <w:lang w:val="en-US" w:eastAsia="zh-CN"/>
              </w:rPr>
            </w:pPr>
            <w:r>
              <w:rPr>
                <w:color w:val="auto"/>
                <w:sz w:val="24"/>
                <w:highlight w:val="none"/>
              </w:rPr>
              <w:t xml:space="preserve">投标人具有</w:t>
            </w:r>
            <w:r>
              <w:rPr>
                <w:rFonts w:hint="eastAsia"/>
                <w:color w:val="auto"/>
                <w:sz w:val="24"/>
                <w:highlight w:val="none"/>
              </w:rPr>
              <w:t xml:space="preserve">有效期内的</w:t>
            </w:r>
            <w:r>
              <w:rPr>
                <w:color w:val="auto"/>
                <w:sz w:val="24"/>
                <w:highlight w:val="none"/>
              </w:rPr>
              <w:t xml:space="preserve">信息安全管理体系认证证书得</w:t>
            </w:r>
            <w:r>
              <w:rPr>
                <w:rFonts w:hint="eastAsia"/>
                <w:color w:val="auto"/>
                <w:sz w:val="24"/>
                <w:highlight w:val="none"/>
                <w:lang w:val="en-US" w:eastAsia="zh-CN"/>
              </w:rPr>
              <w:t xml:space="preserve">2</w:t>
            </w:r>
            <w:r>
              <w:rPr>
                <w:color w:val="auto"/>
                <w:sz w:val="24"/>
                <w:highlight w:val="none"/>
              </w:rPr>
              <w:t xml:space="preserve">分；</w:t>
            </w:r>
            <w:r>
              <w:rPr>
                <w:rFonts w:hint="eastAsia"/>
                <w:color w:val="auto"/>
                <w:sz w:val="24"/>
                <w:highlight w:val="none"/>
                <w:lang w:val="en-US" w:eastAsia="zh-CN"/>
              </w:rPr>
              <w:t xml:space="preserve">质量管理体系认证证书</w:t>
            </w:r>
            <w:r>
              <w:rPr>
                <w:color w:val="auto"/>
                <w:sz w:val="24"/>
                <w:highlight w:val="none"/>
              </w:rPr>
              <w:t xml:space="preserve">得</w:t>
            </w:r>
            <w:r>
              <w:rPr>
                <w:rFonts w:hint="eastAsia"/>
                <w:color w:val="auto"/>
                <w:sz w:val="24"/>
                <w:highlight w:val="none"/>
                <w:lang w:val="en-US" w:eastAsia="zh-CN"/>
              </w:rPr>
              <w:t xml:space="preserve">2</w:t>
            </w:r>
            <w:r>
              <w:rPr>
                <w:color w:val="auto"/>
                <w:sz w:val="24"/>
                <w:highlight w:val="none"/>
              </w:rPr>
              <w:t xml:space="preserve">分</w:t>
            </w:r>
            <w:r>
              <w:rPr>
                <w:rFonts w:hint="eastAsia"/>
                <w:color w:val="auto"/>
                <w:sz w:val="24"/>
                <w:highlight w:val="none"/>
              </w:rPr>
              <w:t xml:space="preserve">；信息技术服务管理体系认证</w:t>
            </w:r>
            <w:r>
              <w:rPr>
                <w:rFonts w:hint="eastAsia"/>
                <w:color w:val="auto"/>
                <w:sz w:val="24"/>
                <w:highlight w:val="none"/>
                <w:lang w:val="en-US" w:eastAsia="zh-CN"/>
              </w:rPr>
              <w:t xml:space="preserve">证书</w:t>
            </w:r>
            <w:r>
              <w:rPr>
                <w:color w:val="auto"/>
                <w:sz w:val="24"/>
                <w:highlight w:val="none"/>
              </w:rPr>
              <w:t xml:space="preserve">得</w:t>
            </w:r>
            <w:r>
              <w:rPr>
                <w:rFonts w:hint="eastAsia"/>
                <w:color w:val="auto"/>
                <w:sz w:val="24"/>
                <w:highlight w:val="none"/>
                <w:lang w:val="en-US" w:eastAsia="zh-CN"/>
              </w:rPr>
              <w:t xml:space="preserve">2</w:t>
            </w:r>
            <w:r>
              <w:rPr>
                <w:color w:val="auto"/>
                <w:sz w:val="24"/>
                <w:highlight w:val="none"/>
              </w:rPr>
              <w:t xml:space="preserve">分。</w:t>
            </w:r>
            <w:r/>
          </w:p>
          <w:p>
            <w:pPr>
              <w:ind w:firstLine="480"/>
              <w:spacing w:line="500" w:lineRule="exact"/>
              <w:rPr>
                <w:color w:val="auto"/>
                <w:sz w:val="24"/>
                <w:highlight w:val="none"/>
              </w:rPr>
            </w:pPr>
            <w:r>
              <w:rPr>
                <w:color w:val="auto"/>
                <w:sz w:val="24"/>
                <w:highlight w:val="none"/>
              </w:rPr>
              <w:t xml:space="preserve">注：投标时须提供以上相关证书扫描件且加盖投标人公章，未提供不得分</w:t>
            </w:r>
            <w:r>
              <w:rPr>
                <w:rFonts w:hint="eastAsia"/>
                <w:color w:val="auto"/>
                <w:sz w:val="24"/>
                <w:highlight w:val="none"/>
              </w:rPr>
              <w:t xml:space="preserve">。</w:t>
            </w:r>
            <w:r>
              <w:rPr>
                <w:rFonts w:hint="eastAsia" w:ascii="宋体" w:hAnsi="宋体" w:cs="宋体"/>
                <w:color w:val="auto"/>
                <w:sz w:val="24"/>
                <w:highlight w:val="none"/>
                <w:lang w:val="zh-CN"/>
              </w:rPr>
              <w:t xml:space="preserve">投标人应当确保证书开标当天处于有效期内</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否则不予认可。</w:t>
            </w:r>
            <w:r/>
          </w:p>
        </w:tc>
      </w:tr>
      <w:tr>
        <w:trPr>
          <w:jc w:val="center"/>
          <w:trHeight w:val="347"/>
        </w:trPr>
        <w:tc>
          <w:tcPr>
            <w:tcW w:w="783" w:type="dxa"/>
            <w:vAlign w:val="center"/>
            <w:vMerge w:val="continue"/>
            <w:textDirection w:val="lrTb"/>
            <w:noWrap w:val="false"/>
          </w:tcPr>
          <w:p>
            <w:pPr>
              <w:jc w:val="center"/>
              <w:spacing w:line="500" w:lineRule="exact"/>
              <w:widowControl/>
              <w:rPr>
                <w:rFonts w:eastAsia="Times New Roman"/>
                <w:color w:val="auto"/>
                <w:sz w:val="24"/>
                <w:highlight w:val="none"/>
                <w:lang w:val="zh-CN"/>
              </w:rPr>
            </w:pPr>
            <w:r>
              <w:rPr>
                <w:rFonts w:eastAsia="Times New Roman"/>
                <w:color w:val="auto"/>
                <w:sz w:val="24"/>
                <w:highlight w:val="none"/>
                <w:lang w:val="zh-CN"/>
              </w:rPr>
            </w:r>
            <w:r/>
          </w:p>
        </w:tc>
        <w:tc>
          <w:tcPr>
            <w:tcW w:w="1302" w:type="dxa"/>
            <w:vAlign w:val="center"/>
            <w:vMerge w:val="continue"/>
            <w:textDirection w:val="lrTb"/>
            <w:noWrap w:val="false"/>
          </w:tcPr>
          <w:p>
            <w:pPr>
              <w:jc w:val="center"/>
              <w:spacing w:line="500" w:lineRule="exact"/>
              <w:widowControl/>
              <w:rPr>
                <w:rFonts w:eastAsia="Times New Roman"/>
                <w:color w:val="auto"/>
                <w:sz w:val="24"/>
                <w:highlight w:val="none"/>
                <w:lang w:val="zh-CN"/>
              </w:rPr>
            </w:pPr>
            <w:r>
              <w:rPr>
                <w:rFonts w:eastAsia="Times New Roman"/>
                <w:color w:val="auto"/>
                <w:sz w:val="24"/>
                <w:highlight w:val="none"/>
                <w:lang w:val="zh-CN"/>
              </w:rPr>
            </w:r>
            <w:r/>
          </w:p>
        </w:tc>
        <w:tc>
          <w:tcPr>
            <w:tcW w:w="1430" w:type="dxa"/>
            <w:vAlign w:val="center"/>
            <w:textDirection w:val="lrTb"/>
            <w:noWrap w:val="false"/>
          </w:tcPr>
          <w:p>
            <w:pPr>
              <w:jc w:val="center"/>
              <w:spacing w:line="500" w:lineRule="exact"/>
              <w:widowControl/>
              <w:rPr>
                <w:color w:val="auto"/>
                <w:sz w:val="24"/>
                <w:highlight w:val="none"/>
              </w:rPr>
            </w:pPr>
            <w:r>
              <w:rPr>
                <w:color w:val="auto"/>
                <w:sz w:val="24"/>
                <w:highlight w:val="none"/>
              </w:rPr>
              <w:t xml:space="preserve">团队实力</w:t>
            </w:r>
            <w:r/>
          </w:p>
          <w:p>
            <w:pPr>
              <w:jc w:val="center"/>
              <w:spacing w:line="500" w:lineRule="exact"/>
              <w:widowControl/>
              <w:rPr>
                <w:rFonts w:eastAsia="Times New Roman"/>
                <w:color w:val="auto"/>
                <w:sz w:val="24"/>
                <w:highlight w:val="none"/>
                <w:lang w:val="zh-CN"/>
              </w:rPr>
            </w:pPr>
            <w:r>
              <w:rPr>
                <w:color w:val="auto"/>
                <w:sz w:val="24"/>
                <w:highlight w:val="none"/>
              </w:rPr>
              <w:t xml:space="preserve">（</w:t>
            </w:r>
            <w:r>
              <w:rPr>
                <w:rFonts w:hint="eastAsia"/>
                <w:color w:val="auto"/>
                <w:sz w:val="24"/>
                <w:highlight w:val="none"/>
              </w:rPr>
              <w:t xml:space="preserve">3</w:t>
            </w:r>
            <w:r>
              <w:rPr>
                <w:color w:val="auto"/>
                <w:sz w:val="24"/>
                <w:highlight w:val="none"/>
              </w:rPr>
              <w:t xml:space="preserve">分）</w:t>
            </w:r>
            <w:r/>
          </w:p>
        </w:tc>
        <w:tc>
          <w:tcPr>
            <w:tcW w:w="5136" w:type="dxa"/>
            <w:vAlign w:val="center"/>
            <w:textDirection w:val="lrTb"/>
            <w:noWrap w:val="false"/>
          </w:tcPr>
          <w:p>
            <w:pPr>
              <w:ind w:firstLine="480"/>
              <w:spacing w:line="500" w:lineRule="exact"/>
              <w:rPr>
                <w:rFonts w:hint="default" w:eastAsiaTheme="minorEastAsia"/>
                <w:color w:val="auto"/>
                <w:sz w:val="24"/>
                <w:highlight w:val="none"/>
                <w:lang w:val="en-US" w:eastAsia="zh-CN"/>
              </w:rPr>
            </w:pPr>
            <w:r>
              <w:rPr>
                <w:color w:val="auto"/>
                <w:sz w:val="24"/>
                <w:highlight w:val="none"/>
              </w:rPr>
              <w:t xml:space="preserve">投标人拟派项目负责人具有国家人力资源和社会保障部工业和信息化部批准颁发的信息系统项目管理师的得</w:t>
            </w:r>
            <w:r>
              <w:rPr>
                <w:rFonts w:hint="eastAsia"/>
                <w:color w:val="auto"/>
                <w:sz w:val="24"/>
                <w:highlight w:val="none"/>
              </w:rPr>
              <w:t xml:space="preserve">3</w:t>
            </w:r>
            <w:r>
              <w:rPr>
                <w:color w:val="auto"/>
                <w:sz w:val="24"/>
                <w:highlight w:val="none"/>
              </w:rPr>
              <w:t xml:space="preserve">分。</w:t>
            </w:r>
            <w:r/>
          </w:p>
          <w:p>
            <w:pPr>
              <w:ind w:firstLine="480"/>
              <w:spacing w:line="500" w:lineRule="exact"/>
              <w:rPr>
                <w:color w:val="auto"/>
                <w:sz w:val="24"/>
                <w:highlight w:val="none"/>
              </w:rPr>
            </w:pPr>
            <w:r>
              <w:rPr>
                <w:rFonts w:hint="eastAsia"/>
                <w:color w:val="auto"/>
                <w:sz w:val="24"/>
                <w:highlight w:val="none"/>
              </w:rPr>
              <w:t xml:space="preserve">注：</w:t>
            </w:r>
            <w:r>
              <w:rPr>
                <w:color w:val="auto"/>
                <w:sz w:val="24"/>
                <w:highlight w:val="none"/>
              </w:rPr>
              <w:t xml:space="preserve">投标时须提供以上相关证书扫描件加盖投标人公章，并提供相关人员在投标单位近</w:t>
            </w:r>
            <w:r>
              <w:rPr>
                <w:rFonts w:hint="eastAsia"/>
                <w:color w:val="auto"/>
                <w:sz w:val="24"/>
                <w:highlight w:val="none"/>
              </w:rPr>
              <w:t xml:space="preserve">三</w:t>
            </w:r>
            <w:r>
              <w:rPr>
                <w:color w:val="auto"/>
                <w:sz w:val="24"/>
                <w:highlight w:val="none"/>
              </w:rPr>
              <w:t xml:space="preserve">个月以来任意一个月的在投标人单位缴纳社保的证明材料扫描件加盖投标人公章。</w:t>
            </w:r>
            <w:r/>
          </w:p>
        </w:tc>
      </w:tr>
      <w:tr>
        <w:trPr>
          <w:jc w:val="center"/>
          <w:trHeight w:val="396"/>
        </w:trPr>
        <w:tc>
          <w:tcPr>
            <w:tcW w:w="783" w:type="dxa"/>
            <w:vAlign w:val="center"/>
            <w:vMerge w:val="continue"/>
            <w:textDirection w:val="lrTb"/>
            <w:noWrap w:val="false"/>
          </w:tcPr>
          <w:p>
            <w:pPr>
              <w:jc w:val="center"/>
              <w:spacing w:line="500" w:lineRule="exact"/>
              <w:widowControl/>
              <w:rPr>
                <w:rFonts w:eastAsia="Times New Roman"/>
                <w:color w:val="auto"/>
                <w:sz w:val="24"/>
                <w:highlight w:val="none"/>
                <w:lang w:val="zh-CN"/>
              </w:rPr>
            </w:pPr>
            <w:r>
              <w:rPr>
                <w:rFonts w:eastAsia="Times New Roman"/>
                <w:color w:val="auto"/>
                <w:sz w:val="24"/>
                <w:highlight w:val="none"/>
                <w:lang w:val="zh-CN"/>
              </w:rPr>
            </w:r>
            <w:r/>
          </w:p>
        </w:tc>
        <w:tc>
          <w:tcPr>
            <w:tcW w:w="1302" w:type="dxa"/>
            <w:vAlign w:val="center"/>
            <w:vMerge w:val="continue"/>
            <w:textDirection w:val="lrTb"/>
            <w:noWrap w:val="false"/>
          </w:tcPr>
          <w:p>
            <w:pPr>
              <w:jc w:val="center"/>
              <w:spacing w:line="500" w:lineRule="exact"/>
              <w:widowControl/>
              <w:rPr>
                <w:rFonts w:eastAsia="Times New Roman"/>
                <w:color w:val="auto"/>
                <w:sz w:val="24"/>
                <w:highlight w:val="none"/>
                <w:lang w:val="zh-CN"/>
              </w:rPr>
            </w:pPr>
            <w:r>
              <w:rPr>
                <w:rFonts w:eastAsia="Times New Roman"/>
                <w:color w:val="auto"/>
                <w:sz w:val="24"/>
                <w:highlight w:val="none"/>
                <w:lang w:val="zh-CN"/>
              </w:rPr>
            </w:r>
            <w:r/>
          </w:p>
        </w:tc>
        <w:tc>
          <w:tcPr>
            <w:tcW w:w="1430" w:type="dxa"/>
            <w:vAlign w:val="center"/>
            <w:textDirection w:val="lrTb"/>
            <w:noWrap w:val="false"/>
          </w:tcPr>
          <w:p>
            <w:pPr>
              <w:jc w:val="center"/>
              <w:spacing w:line="500" w:lineRule="exact"/>
              <w:widowControl/>
              <w:rPr>
                <w:color w:val="auto"/>
                <w:sz w:val="24"/>
                <w:highlight w:val="none"/>
              </w:rPr>
            </w:pPr>
            <w:r>
              <w:rPr>
                <w:color w:val="auto"/>
                <w:sz w:val="24"/>
                <w:highlight w:val="none"/>
              </w:rPr>
              <w:t xml:space="preserve">业绩</w:t>
            </w:r>
            <w:r/>
          </w:p>
          <w:p>
            <w:pPr>
              <w:jc w:val="center"/>
              <w:spacing w:line="500" w:lineRule="exact"/>
              <w:widowControl/>
              <w:rPr>
                <w:color w:val="auto"/>
                <w:sz w:val="24"/>
                <w:highlight w:val="none"/>
              </w:rPr>
            </w:pPr>
            <w:r>
              <w:rPr>
                <w:color w:val="auto"/>
                <w:sz w:val="24"/>
                <w:highlight w:val="none"/>
              </w:rPr>
              <w:t xml:space="preserve">（</w:t>
            </w:r>
            <w:r>
              <w:rPr>
                <w:rFonts w:hint="eastAsia"/>
                <w:color w:val="auto"/>
                <w:sz w:val="24"/>
                <w:highlight w:val="none"/>
              </w:rPr>
              <w:t xml:space="preserve">6</w:t>
            </w:r>
            <w:r>
              <w:rPr>
                <w:color w:val="auto"/>
                <w:sz w:val="24"/>
                <w:highlight w:val="none"/>
              </w:rPr>
              <w:t xml:space="preserve">分）</w:t>
            </w:r>
            <w:r/>
          </w:p>
        </w:tc>
        <w:tc>
          <w:tcPr>
            <w:tcW w:w="5136" w:type="dxa"/>
            <w:vAlign w:val="center"/>
            <w:textDirection w:val="lrTb"/>
            <w:noWrap w:val="false"/>
          </w:tcPr>
          <w:p>
            <w:pPr>
              <w:ind w:firstLine="480"/>
              <w:spacing w:line="500" w:lineRule="exact"/>
              <w:rPr>
                <w:color w:val="auto"/>
                <w:sz w:val="24"/>
                <w:highlight w:val="none"/>
              </w:rPr>
            </w:pPr>
            <w:r>
              <w:rPr>
                <w:color w:val="auto"/>
                <w:sz w:val="24"/>
                <w:highlight w:val="none"/>
              </w:rPr>
              <w:t xml:space="preserve">投标人提供近三年内（自2023年01月01日起，以合同签订日期为准）完成类似项目业绩（</w:t>
            </w:r>
            <w:r>
              <w:rPr>
                <w:color w:val="auto"/>
                <w:sz w:val="24"/>
                <w:highlight w:val="none"/>
                <w:lang w:val="zh-CN"/>
              </w:rPr>
              <w:t xml:space="preserve">类似项目是指</w:t>
            </w:r>
            <w:r>
              <w:rPr>
                <w:rFonts w:hint="eastAsia"/>
                <w:color w:val="auto"/>
                <w:sz w:val="24"/>
                <w:highlight w:val="none"/>
              </w:rPr>
              <w:t xml:space="preserve">大模型应用</w:t>
            </w:r>
            <w:r>
              <w:rPr>
                <w:color w:val="auto"/>
                <w:sz w:val="24"/>
                <w:highlight w:val="none"/>
                <w:lang w:val="zh-CN"/>
              </w:rPr>
              <w:t xml:space="preserve">、数据采集、政务信息化</w:t>
            </w:r>
            <w:r>
              <w:rPr>
                <w:color w:val="auto"/>
                <w:sz w:val="24"/>
                <w:highlight w:val="none"/>
              </w:rPr>
              <w:t xml:space="preserve">相关</w:t>
            </w:r>
            <w:r>
              <w:rPr>
                <w:color w:val="auto"/>
                <w:sz w:val="24"/>
                <w:highlight w:val="none"/>
                <w:lang w:val="zh-CN"/>
              </w:rPr>
              <w:t xml:space="preserve">的信息化建设项目等</w:t>
            </w:r>
            <w:r>
              <w:rPr>
                <w:color w:val="auto"/>
                <w:sz w:val="24"/>
                <w:highlight w:val="none"/>
              </w:rPr>
              <w:t xml:space="preserve">），每提供一份得</w:t>
            </w:r>
            <w:r>
              <w:rPr>
                <w:rFonts w:hint="eastAsia"/>
                <w:color w:val="auto"/>
                <w:sz w:val="24"/>
                <w:highlight w:val="none"/>
              </w:rPr>
              <w:t xml:space="preserve">2</w:t>
            </w:r>
            <w:r>
              <w:rPr>
                <w:color w:val="auto"/>
                <w:sz w:val="24"/>
                <w:highlight w:val="none"/>
              </w:rPr>
              <w:t xml:space="preserve">分，最多得</w:t>
            </w:r>
            <w:r>
              <w:rPr>
                <w:rFonts w:hint="eastAsia"/>
                <w:color w:val="auto"/>
                <w:sz w:val="24"/>
                <w:highlight w:val="none"/>
              </w:rPr>
              <w:t xml:space="preserve">6</w:t>
            </w:r>
            <w:r>
              <w:rPr>
                <w:color w:val="auto"/>
                <w:sz w:val="24"/>
                <w:highlight w:val="none"/>
              </w:rPr>
              <w:t xml:space="preserve">分。</w:t>
            </w:r>
            <w:r/>
          </w:p>
          <w:p>
            <w:pPr>
              <w:ind w:firstLine="480"/>
              <w:spacing w:line="500" w:lineRule="exact"/>
              <w:rPr>
                <w:color w:val="auto"/>
                <w:sz w:val="24"/>
                <w:highlight w:val="none"/>
              </w:rPr>
            </w:pPr>
            <w:r>
              <w:rPr>
                <w:rFonts w:hint="eastAsia"/>
                <w:color w:val="auto"/>
                <w:sz w:val="24"/>
                <w:highlight w:val="none"/>
              </w:rPr>
              <w:t xml:space="preserve">注：</w:t>
            </w:r>
            <w:r>
              <w:rPr>
                <w:color w:val="auto"/>
                <w:sz w:val="24"/>
                <w:highlight w:val="none"/>
              </w:rPr>
              <w:t xml:space="preserve">提供合同原件扫描件，合同须能反映项目名称、主要标的物、签订时间、单位公章或专用合同章</w:t>
            </w:r>
            <w:r>
              <w:rPr>
                <w:rFonts w:hint="eastAsia"/>
                <w:color w:val="auto"/>
                <w:sz w:val="24"/>
                <w:highlight w:val="none"/>
              </w:rPr>
              <w:t xml:space="preserve">，</w:t>
            </w:r>
            <w:r>
              <w:rPr>
                <w:color w:val="auto"/>
                <w:sz w:val="24"/>
                <w:highlight w:val="none"/>
              </w:rPr>
              <w:t xml:space="preserve">如不能反映的，另须提供盖有原委托单位公章的证明，否则不予认可</w:t>
            </w:r>
            <w:r>
              <w:rPr>
                <w:rFonts w:hint="eastAsia"/>
                <w:color w:val="auto"/>
                <w:sz w:val="24"/>
                <w:highlight w:val="none"/>
              </w:rPr>
              <w:t xml:space="preserve">。</w:t>
            </w:r>
            <w:r/>
          </w:p>
        </w:tc>
      </w:tr>
      <w:tr>
        <w:trPr>
          <w:jc w:val="center"/>
          <w:trHeight w:val="323"/>
        </w:trPr>
        <w:tc>
          <w:tcPr>
            <w:tcW w:w="783" w:type="dxa"/>
            <w:vAlign w:val="center"/>
            <w:textDirection w:val="lrTb"/>
            <w:noWrap w:val="false"/>
          </w:tcPr>
          <w:p>
            <w:pPr>
              <w:jc w:val="center"/>
              <w:spacing w:line="500" w:lineRule="exact"/>
              <w:widowControl/>
              <w:rPr>
                <w:color w:val="auto"/>
                <w:sz w:val="24"/>
                <w:highlight w:val="none"/>
                <w:lang w:val="zh-CN"/>
              </w:rPr>
            </w:pPr>
            <w:r>
              <w:rPr>
                <w:rFonts w:hint="eastAsia"/>
                <w:color w:val="auto"/>
                <w:sz w:val="24"/>
                <w:highlight w:val="none"/>
              </w:rPr>
              <w:t xml:space="preserve">3</w:t>
            </w:r>
            <w:r/>
          </w:p>
        </w:tc>
        <w:tc>
          <w:tcPr>
            <w:tcW w:w="1302" w:type="dxa"/>
            <w:vAlign w:val="center"/>
            <w:textDirection w:val="lrTb"/>
            <w:noWrap w:val="false"/>
          </w:tcPr>
          <w:p>
            <w:pPr>
              <w:jc w:val="center"/>
              <w:spacing w:line="500" w:lineRule="exact"/>
              <w:widowControl/>
              <w:rPr>
                <w:rFonts w:eastAsia="Times New Roman"/>
                <w:color w:val="auto"/>
                <w:sz w:val="24"/>
                <w:highlight w:val="none"/>
                <w:lang w:val="zh-CN"/>
              </w:rPr>
            </w:pPr>
            <w:r>
              <w:rPr>
                <w:color w:val="auto"/>
                <w:sz w:val="24"/>
                <w:highlight w:val="none"/>
                <w:lang w:val="zh-CN"/>
              </w:rPr>
              <w:t xml:space="preserve">演示部分（</w:t>
            </w:r>
            <w:r>
              <w:rPr>
                <w:rFonts w:hint="eastAsia"/>
                <w:color w:val="auto"/>
                <w:sz w:val="24"/>
                <w:highlight w:val="none"/>
              </w:rPr>
              <w:t xml:space="preserve">20</w:t>
            </w:r>
            <w:r>
              <w:rPr>
                <w:color w:val="auto"/>
                <w:sz w:val="24"/>
                <w:highlight w:val="none"/>
                <w:lang w:val="zh-CN"/>
              </w:rPr>
              <w:t xml:space="preserve">分）</w:t>
            </w:r>
            <w:r/>
          </w:p>
        </w:tc>
        <w:tc>
          <w:tcPr>
            <w:tcW w:w="1430" w:type="dxa"/>
            <w:vAlign w:val="center"/>
            <w:textDirection w:val="lrTb"/>
            <w:noWrap w:val="false"/>
          </w:tcPr>
          <w:p>
            <w:pPr>
              <w:jc w:val="center"/>
              <w:spacing w:line="500" w:lineRule="exact"/>
              <w:widowControl/>
              <w:rPr>
                <w:rFonts w:eastAsia="Times New Roman"/>
                <w:color w:val="auto"/>
                <w:sz w:val="24"/>
                <w:highlight w:val="none"/>
                <w:lang w:val="zh-CN"/>
              </w:rPr>
            </w:pPr>
            <w:r>
              <w:rPr>
                <w:color w:val="auto"/>
                <w:sz w:val="24"/>
                <w:highlight w:val="none"/>
                <w:lang w:val="zh-CN"/>
              </w:rPr>
              <w:t xml:space="preserve">演示与功能讲解（</w:t>
            </w:r>
            <w:r>
              <w:rPr>
                <w:rFonts w:hint="eastAsia"/>
                <w:color w:val="auto"/>
                <w:sz w:val="24"/>
                <w:highlight w:val="none"/>
              </w:rPr>
              <w:t xml:space="preserve">20</w:t>
            </w:r>
            <w:r>
              <w:rPr>
                <w:color w:val="auto"/>
                <w:sz w:val="24"/>
                <w:highlight w:val="none"/>
              </w:rPr>
              <w:t xml:space="preserve">分</w:t>
            </w:r>
            <w:r>
              <w:rPr>
                <w:color w:val="auto"/>
                <w:sz w:val="24"/>
                <w:highlight w:val="none"/>
                <w:lang w:val="zh-CN"/>
              </w:rPr>
              <w:t xml:space="preserve">）</w:t>
            </w:r>
            <w:r/>
          </w:p>
        </w:tc>
        <w:tc>
          <w:tcPr>
            <w:tcW w:w="5136" w:type="dxa"/>
            <w:vAlign w:val="center"/>
            <w:textDirection w:val="lrTb"/>
            <w:noWrap w:val="false"/>
          </w:tcPr>
          <w:p>
            <w:pPr>
              <w:ind w:firstLine="480"/>
              <w:spacing w:line="500" w:lineRule="exact"/>
              <w:rPr>
                <w:color w:val="auto"/>
                <w:sz w:val="24"/>
                <w:highlight w:val="none"/>
              </w:rPr>
            </w:pPr>
            <w:r>
              <w:rPr>
                <w:color w:val="auto"/>
                <w:sz w:val="24"/>
                <w:highlight w:val="none"/>
              </w:rPr>
              <w:t xml:space="preserve">投标人需</w:t>
            </w:r>
            <w:r>
              <w:rPr>
                <w:color w:val="auto"/>
                <w:sz w:val="24"/>
                <w:highlight w:val="none"/>
              </w:rPr>
              <w:t xml:space="preserve">全面理解招标文件中技术需求,为保证系统平台的成熟性,对系统平台以下的主要模块功能进行真实系统或DEMO演示并录屏(含语音讲解)，并在评审时进行播放，演示视频时间不超过 10 分钟。投标人需按照以下要求提供系统或Demo演示视频文件：视频文件的格式为*.mp4或*.avi，投标人须将视频文件分段压缩为*.zip文件上传（单个文件不得大于50M，所有文件总共不得大于300M）。须使用真实的应用系统或Demo演示，根据演示内容的采购需求符合性、功能完整性、整体集成性、操作简便性、效果流畅性等进行评分。本项目最高得</w:t>
            </w:r>
            <w:r>
              <w:rPr>
                <w:rFonts w:hint="eastAsia"/>
                <w:color w:val="auto"/>
                <w:sz w:val="24"/>
                <w:highlight w:val="none"/>
              </w:rPr>
              <w:t xml:space="preserve">20</w:t>
            </w:r>
            <w:r>
              <w:rPr>
                <w:color w:val="auto"/>
                <w:sz w:val="24"/>
                <w:highlight w:val="none"/>
              </w:rPr>
              <w:t xml:space="preserve">分</w:t>
            </w:r>
            <w:r>
              <w:rPr>
                <w:rFonts w:hint="eastAsia"/>
                <w:color w:val="auto"/>
                <w:sz w:val="24"/>
                <w:highlight w:val="none"/>
              </w:rPr>
              <w:t xml:space="preserve">，投标人因自身原因未按上述规定的形式提供演示或不进行演示的，本项不得分。</w:t>
            </w:r>
            <w:r/>
          </w:p>
          <w:p>
            <w:pPr>
              <w:spacing w:line="500" w:lineRule="exact"/>
              <w:rPr>
                <w:color w:val="auto"/>
                <w:sz w:val="24"/>
                <w:highlight w:val="none"/>
              </w:rPr>
            </w:pPr>
            <w:r>
              <w:rPr>
                <w:rFonts w:hint="eastAsia"/>
                <w:color w:val="auto"/>
                <w:sz w:val="24"/>
                <w:highlight w:val="none"/>
              </w:rPr>
              <w:t xml:space="preserve">具体要求和评分标准如下：</w:t>
            </w:r>
            <w:r/>
          </w:p>
          <w:p>
            <w:pPr>
              <w:ind w:firstLine="480"/>
              <w:spacing w:line="500" w:lineRule="exact"/>
              <w:rPr>
                <w:color w:val="auto"/>
                <w:sz w:val="24"/>
                <w:highlight w:val="none"/>
              </w:rPr>
            </w:pPr>
            <w:r>
              <w:rPr>
                <w:color w:val="auto"/>
                <w:sz w:val="24"/>
                <w:highlight w:val="none"/>
              </w:rPr>
              <w:t xml:space="preserve">1</w:t>
            </w:r>
            <w:r>
              <w:rPr>
                <w:rFonts w:hint="eastAsia"/>
                <w:color w:val="auto"/>
                <w:sz w:val="24"/>
                <w:highlight w:val="none"/>
              </w:rPr>
              <w:t xml:space="preserve">、实时线索情况（5分）</w:t>
            </w:r>
            <w:r/>
          </w:p>
          <w:p>
            <w:pPr>
              <w:ind w:firstLine="480"/>
              <w:spacing w:line="500" w:lineRule="exact"/>
              <w:rPr>
                <w:color w:val="auto"/>
                <w:sz w:val="24"/>
                <w:highlight w:val="none"/>
              </w:rPr>
            </w:pPr>
            <w:r>
              <w:rPr>
                <w:rFonts w:hint="eastAsia"/>
                <w:color w:val="auto"/>
                <w:sz w:val="24"/>
                <w:highlight w:val="none"/>
              </w:rPr>
              <w:t xml:space="preserve">（</w:t>
            </w:r>
            <w:r>
              <w:rPr>
                <w:color w:val="auto"/>
                <w:sz w:val="24"/>
                <w:highlight w:val="none"/>
              </w:rPr>
              <w:t xml:space="preserve">1</w:t>
            </w:r>
            <w:r>
              <w:rPr>
                <w:rFonts w:hint="eastAsia"/>
                <w:color w:val="auto"/>
                <w:sz w:val="24"/>
                <w:highlight w:val="none"/>
              </w:rPr>
              <w:t xml:space="preserve">）演示实时线索情况：显示实时DR线索情况。演示全面符合功能要求的得1分，演示不全面或不演示的不得分。</w:t>
            </w:r>
            <w:r/>
          </w:p>
          <w:p>
            <w:pPr>
              <w:ind w:firstLine="480"/>
              <w:spacing w:line="500" w:lineRule="exact"/>
              <w:rPr>
                <w:color w:val="auto"/>
                <w:sz w:val="24"/>
                <w:highlight w:val="none"/>
              </w:rPr>
            </w:pPr>
            <w:r>
              <w:rPr>
                <w:rFonts w:hint="eastAsia"/>
                <w:color w:val="auto"/>
                <w:sz w:val="24"/>
                <w:highlight w:val="none"/>
              </w:rPr>
              <w:t xml:space="preserve">（</w:t>
            </w:r>
            <w:r>
              <w:rPr>
                <w:color w:val="auto"/>
                <w:sz w:val="24"/>
                <w:highlight w:val="none"/>
              </w:rPr>
              <w:t xml:space="preserve">2</w:t>
            </w:r>
            <w:r>
              <w:rPr>
                <w:rFonts w:hint="eastAsia"/>
                <w:color w:val="auto"/>
                <w:sz w:val="24"/>
                <w:highlight w:val="none"/>
              </w:rPr>
              <w:t xml:space="preserve">）点击跳转管理后台实时线索菜单。演示全面符合功能要求的得1分，演示不全面或不演示的不得分。</w:t>
            </w:r>
            <w:r/>
          </w:p>
          <w:p>
            <w:pPr>
              <w:ind w:firstLine="480"/>
              <w:spacing w:line="500" w:lineRule="exact"/>
              <w:rPr>
                <w:color w:val="auto"/>
                <w:sz w:val="24"/>
                <w:highlight w:val="none"/>
              </w:rPr>
            </w:pPr>
            <w:r>
              <w:rPr>
                <w:rFonts w:hint="eastAsia"/>
                <w:color w:val="auto"/>
                <w:sz w:val="24"/>
                <w:highlight w:val="none"/>
              </w:rPr>
              <w:t xml:space="preserve">（3）演示线索分发功能，演示选中一条线索进行分发。演示全面符合功能要求的得1分，演示不全面或不演示的不得分。</w:t>
            </w:r>
            <w:r/>
          </w:p>
          <w:p>
            <w:pPr>
              <w:ind w:firstLine="480"/>
              <w:spacing w:line="500" w:lineRule="exact"/>
              <w:rPr>
                <w:color w:val="auto"/>
                <w:sz w:val="24"/>
                <w:highlight w:val="none"/>
              </w:rPr>
            </w:pPr>
            <w:r>
              <w:rPr>
                <w:rFonts w:hint="eastAsia"/>
                <w:color w:val="auto"/>
                <w:sz w:val="24"/>
                <w:highlight w:val="none"/>
              </w:rPr>
              <w:t xml:space="preserve">（4）演示线索处置功能，演示选中一条线索进行处置。演示全面符合功能要求的得1分，演示不全面或不演示的不得分。</w:t>
            </w:r>
            <w:r/>
          </w:p>
          <w:p>
            <w:pPr>
              <w:ind w:firstLine="480"/>
              <w:spacing w:line="500" w:lineRule="exact"/>
              <w:rPr>
                <w:color w:val="auto"/>
                <w:highlight w:val="none"/>
              </w:rPr>
            </w:pPr>
            <w:r>
              <w:rPr>
                <w:rFonts w:hint="eastAsia"/>
                <w:color w:val="auto"/>
                <w:sz w:val="24"/>
                <w:highlight w:val="none"/>
              </w:rPr>
              <w:t xml:space="preserve">（5）演示线索复核功能，演示选中一条线索进行复核。演示全面符合功能要求的得1分，演示不全面或不演示的不得分。</w:t>
            </w:r>
            <w:r/>
          </w:p>
          <w:p>
            <w:pPr>
              <w:ind w:firstLine="480"/>
              <w:spacing w:line="500" w:lineRule="exact"/>
              <w:rPr>
                <w:color w:val="auto"/>
                <w:sz w:val="24"/>
                <w:highlight w:val="none"/>
              </w:rPr>
            </w:pPr>
            <w:r>
              <w:rPr>
                <w:rFonts w:hint="eastAsia"/>
                <w:color w:val="auto"/>
                <w:sz w:val="24"/>
                <w:highlight w:val="none"/>
              </w:rPr>
              <w:t xml:space="preserve">2、线索来源功能演示（2分）</w:t>
            </w:r>
            <w:r/>
          </w:p>
          <w:p>
            <w:pPr>
              <w:ind w:firstLine="480"/>
              <w:spacing w:line="500" w:lineRule="exact"/>
              <w:rPr>
                <w:color w:val="auto"/>
                <w:sz w:val="24"/>
                <w:highlight w:val="none"/>
              </w:rPr>
            </w:pPr>
            <w:r>
              <w:rPr>
                <w:rFonts w:hint="eastAsia"/>
                <w:color w:val="auto"/>
                <w:sz w:val="24"/>
                <w:highlight w:val="none"/>
              </w:rPr>
              <w:t xml:space="preserve">（</w:t>
            </w:r>
            <w:r>
              <w:rPr>
                <w:color w:val="auto"/>
                <w:sz w:val="24"/>
                <w:highlight w:val="none"/>
              </w:rPr>
              <w:t xml:space="preserve">1</w:t>
            </w:r>
            <w:r>
              <w:rPr>
                <w:rFonts w:hint="eastAsia"/>
                <w:color w:val="auto"/>
                <w:sz w:val="24"/>
                <w:highlight w:val="none"/>
              </w:rPr>
              <w:t xml:space="preserve">）线索地区演示，展示线索地区，以及累计新增与当月新增。演示全面符合功能要求的得1分，演示不全面或不演示的不得分。</w:t>
            </w:r>
            <w:r/>
          </w:p>
          <w:p>
            <w:pPr>
              <w:ind w:firstLine="480"/>
              <w:spacing w:line="500" w:lineRule="exact"/>
              <w:rPr>
                <w:color w:val="auto"/>
                <w:highlight w:val="none"/>
              </w:rPr>
            </w:pPr>
            <w:r>
              <w:rPr>
                <w:rFonts w:hint="eastAsia"/>
                <w:color w:val="auto"/>
                <w:sz w:val="24"/>
                <w:highlight w:val="none"/>
              </w:rPr>
              <w:t xml:space="preserve">（</w:t>
            </w:r>
            <w:r>
              <w:rPr>
                <w:color w:val="auto"/>
                <w:sz w:val="24"/>
                <w:highlight w:val="none"/>
              </w:rPr>
              <w:t xml:space="preserve">2</w:t>
            </w:r>
            <w:r>
              <w:rPr>
                <w:rFonts w:hint="eastAsia"/>
                <w:color w:val="auto"/>
                <w:sz w:val="24"/>
                <w:highlight w:val="none"/>
              </w:rPr>
              <w:t xml:space="preserve">）线索来源演示，展示线索来源，以及累计新增与当月新增。演示全面符合功能要求的得1分，演示不全面或不演示的不得分。</w:t>
            </w:r>
            <w:r/>
          </w:p>
          <w:p>
            <w:pPr>
              <w:ind w:firstLine="480"/>
              <w:spacing w:line="500" w:lineRule="exact"/>
              <w:rPr>
                <w:color w:val="auto"/>
                <w:sz w:val="24"/>
                <w:highlight w:val="none"/>
              </w:rPr>
            </w:pPr>
            <w:r>
              <w:rPr>
                <w:rFonts w:hint="eastAsia"/>
                <w:color w:val="auto"/>
                <w:sz w:val="24"/>
                <w:highlight w:val="none"/>
              </w:rPr>
              <w:t xml:space="preserve">3、地图模块（2分）</w:t>
            </w:r>
            <w:r/>
          </w:p>
          <w:p>
            <w:pPr>
              <w:numPr>
                <w:ilvl w:val="0"/>
                <w:numId w:val="3"/>
              </w:numPr>
              <w:ind w:firstLine="480"/>
              <w:spacing w:line="500" w:lineRule="exact"/>
              <w:rPr>
                <w:color w:val="auto"/>
                <w:sz w:val="24"/>
                <w:highlight w:val="none"/>
              </w:rPr>
            </w:pPr>
            <w:r>
              <w:rPr>
                <w:rFonts w:hint="eastAsia"/>
                <w:color w:val="auto"/>
                <w:sz w:val="24"/>
                <w:highlight w:val="none"/>
              </w:rPr>
              <w:t xml:space="preserve">展示地图模块：根据未清退金额各地区显示不同颜，鼠标移至显示未清退金额以及剩余人数。演示全面符合功能要求的得2分，演示不全面或不演示的不得分。</w:t>
            </w:r>
            <w:r/>
          </w:p>
          <w:p>
            <w:pPr>
              <w:ind w:firstLine="480"/>
              <w:spacing w:line="500" w:lineRule="exact"/>
              <w:rPr>
                <w:color w:val="auto"/>
                <w:sz w:val="24"/>
                <w:highlight w:val="none"/>
              </w:rPr>
            </w:pPr>
            <w:r>
              <w:rPr>
                <w:rFonts w:hint="eastAsia"/>
                <w:color w:val="auto"/>
                <w:sz w:val="24"/>
                <w:highlight w:val="none"/>
              </w:rPr>
              <w:t xml:space="preserve">4、DR排名（3分）</w:t>
            </w:r>
            <w:r/>
          </w:p>
          <w:p>
            <w:pPr>
              <w:numPr>
                <w:ilvl w:val="0"/>
                <w:numId w:val="4"/>
              </w:numPr>
              <w:ind w:firstLine="480"/>
              <w:spacing w:line="500" w:lineRule="exact"/>
              <w:rPr>
                <w:color w:val="auto"/>
                <w:sz w:val="24"/>
                <w:highlight w:val="none"/>
              </w:rPr>
            </w:pPr>
            <w:r>
              <w:rPr>
                <w:rFonts w:hint="eastAsia"/>
                <w:color w:val="auto"/>
                <w:sz w:val="24"/>
                <w:highlight w:val="none"/>
              </w:rPr>
              <w:t xml:space="preserve">重点国企模块：根据未清退金额进行排名。演示全面符合功能要求的得1分，演示不全面或不演示的不得分。</w:t>
            </w:r>
            <w:r/>
          </w:p>
          <w:p>
            <w:pPr>
              <w:ind w:firstLine="480"/>
              <w:spacing w:line="500" w:lineRule="exact"/>
              <w:rPr>
                <w:color w:val="auto"/>
                <w:sz w:val="24"/>
                <w:highlight w:val="none"/>
              </w:rPr>
            </w:pPr>
            <w:r>
              <w:rPr>
                <w:rFonts w:hint="eastAsia"/>
                <w:color w:val="auto"/>
                <w:sz w:val="24"/>
                <w:highlight w:val="none"/>
              </w:rPr>
              <w:t xml:space="preserve">（2）重点地区模块：根据未清退金额进行排名。演示全面符合功能要求的得1分，演示不全面或不演示的不得分。</w:t>
            </w:r>
            <w:r/>
          </w:p>
          <w:p>
            <w:pPr>
              <w:ind w:firstLine="480"/>
              <w:spacing w:line="500" w:lineRule="exact"/>
              <w:rPr>
                <w:color w:val="auto"/>
                <w:sz w:val="24"/>
                <w:highlight w:val="none"/>
              </w:rPr>
            </w:pPr>
            <w:r>
              <w:rPr>
                <w:rFonts w:hint="eastAsia"/>
                <w:color w:val="auto"/>
                <w:sz w:val="24"/>
                <w:highlight w:val="none"/>
              </w:rPr>
              <w:t xml:space="preserve">（3）中介灰名单模块：根据未清退金额进行排名。演示全面符合功能要求的得1分，演示不全面或不演示的不得分。</w:t>
            </w:r>
            <w:r/>
          </w:p>
          <w:p>
            <w:pPr>
              <w:ind w:firstLine="480"/>
              <w:spacing w:line="500" w:lineRule="exact"/>
              <w:rPr>
                <w:color w:val="auto"/>
                <w:sz w:val="24"/>
                <w:highlight w:val="none"/>
              </w:rPr>
            </w:pPr>
            <w:r>
              <w:rPr>
                <w:rFonts w:hint="eastAsia"/>
                <w:color w:val="auto"/>
                <w:sz w:val="24"/>
                <w:highlight w:val="none"/>
              </w:rPr>
              <w:t xml:space="preserve">5、DR分析（4分）</w:t>
            </w:r>
            <w:r/>
          </w:p>
          <w:p>
            <w:pPr>
              <w:ind w:firstLine="420"/>
              <w:spacing w:line="500" w:lineRule="exact"/>
              <w:rPr>
                <w:color w:val="auto"/>
                <w:sz w:val="24"/>
                <w:highlight w:val="none"/>
              </w:rPr>
            </w:pPr>
            <w:r>
              <w:rPr>
                <w:rFonts w:hint="eastAsia"/>
                <w:color w:val="auto"/>
                <w:sz w:val="24"/>
                <w:highlight w:val="none"/>
              </w:rPr>
              <w:t xml:space="preserve">（</w:t>
            </w:r>
            <w:r>
              <w:rPr>
                <w:color w:val="auto"/>
                <w:sz w:val="24"/>
                <w:highlight w:val="none"/>
              </w:rPr>
              <w:t xml:space="preserve">1</w:t>
            </w:r>
            <w:r>
              <w:rPr>
                <w:rFonts w:hint="eastAsia"/>
                <w:color w:val="auto"/>
                <w:sz w:val="24"/>
                <w:highlight w:val="none"/>
              </w:rPr>
              <w:t xml:space="preserve">）DR余额模块：根据年度未清退余额展示折线图。演示全面符合功能要求的得2分，演示不全面或不演示的不得分。</w:t>
            </w:r>
            <w:r/>
          </w:p>
          <w:p>
            <w:pPr>
              <w:ind w:firstLine="480"/>
              <w:spacing w:line="500" w:lineRule="exact"/>
              <w:rPr>
                <w:color w:val="auto"/>
                <w:sz w:val="24"/>
                <w:highlight w:val="none"/>
              </w:rPr>
            </w:pPr>
            <w:r>
              <w:rPr>
                <w:rFonts w:hint="eastAsia"/>
                <w:color w:val="auto"/>
                <w:sz w:val="24"/>
                <w:highlight w:val="none"/>
              </w:rPr>
              <w:t xml:space="preserve">（2）DR结构模块：展示DR产品结构占比。演示全面符合功能要求的得2分，演示不全面或不演示的不得分。</w:t>
            </w:r>
            <w:r/>
          </w:p>
          <w:p>
            <w:pPr>
              <w:ind w:firstLine="480"/>
              <w:spacing w:line="500" w:lineRule="exact"/>
              <w:rPr>
                <w:color w:val="auto"/>
                <w:sz w:val="24"/>
                <w:highlight w:val="none"/>
              </w:rPr>
            </w:pPr>
            <w:r>
              <w:rPr>
                <w:rFonts w:hint="eastAsia"/>
                <w:color w:val="auto"/>
                <w:sz w:val="24"/>
                <w:highlight w:val="none"/>
              </w:rPr>
              <w:t xml:space="preserve">6、DR清退情况（2分）</w:t>
            </w:r>
            <w:r/>
          </w:p>
          <w:p>
            <w:pPr>
              <w:ind w:firstLine="480"/>
              <w:spacing w:line="500" w:lineRule="exact"/>
              <w:rPr>
                <w:color w:val="auto"/>
                <w:sz w:val="24"/>
                <w:highlight w:val="none"/>
              </w:rPr>
            </w:pPr>
            <w:r>
              <w:rPr>
                <w:rFonts w:hint="eastAsia"/>
                <w:color w:val="auto"/>
                <w:sz w:val="24"/>
                <w:highlight w:val="none"/>
              </w:rPr>
              <w:t xml:space="preserve">（</w:t>
            </w:r>
            <w:r>
              <w:rPr>
                <w:color w:val="auto"/>
                <w:sz w:val="24"/>
                <w:highlight w:val="none"/>
              </w:rPr>
              <w:t xml:space="preserve">1</w:t>
            </w:r>
            <w:r>
              <w:rPr>
                <w:rFonts w:hint="eastAsia"/>
                <w:color w:val="auto"/>
                <w:sz w:val="24"/>
                <w:highlight w:val="none"/>
              </w:rPr>
              <w:t xml:space="preserve">）DR余额模块：展示不同类别下的DR情清退情况。演示全面符合功能要求的得2分，演示不全面或不演示的不得分。</w:t>
            </w:r>
            <w:r/>
          </w:p>
          <w:p>
            <w:pPr>
              <w:ind w:firstLine="480"/>
              <w:spacing w:line="500" w:lineRule="exact"/>
              <w:rPr>
                <w:color w:val="auto"/>
                <w:sz w:val="24"/>
                <w:highlight w:val="none"/>
              </w:rPr>
            </w:pPr>
            <w:r>
              <w:rPr>
                <w:rFonts w:hint="eastAsia"/>
                <w:color w:val="auto"/>
                <w:sz w:val="24"/>
                <w:highlight w:val="none"/>
              </w:rPr>
              <w:t xml:space="preserve">7、DR清退情况（2分）</w:t>
            </w:r>
            <w:r/>
          </w:p>
          <w:p>
            <w:pPr>
              <w:ind w:firstLine="480"/>
              <w:spacing w:line="500" w:lineRule="exact"/>
              <w:rPr>
                <w:color w:val="auto"/>
                <w:sz w:val="24"/>
                <w:highlight w:val="none"/>
              </w:rPr>
            </w:pPr>
            <w:r>
              <w:rPr>
                <w:rFonts w:hint="eastAsia"/>
                <w:color w:val="auto"/>
                <w:sz w:val="24"/>
                <w:highlight w:val="none"/>
              </w:rPr>
              <w:t xml:space="preserve">（</w:t>
            </w:r>
            <w:r>
              <w:rPr>
                <w:color w:val="auto"/>
                <w:sz w:val="24"/>
                <w:highlight w:val="none"/>
              </w:rPr>
              <w:t xml:space="preserve">1</w:t>
            </w:r>
            <w:r>
              <w:rPr>
                <w:rFonts w:hint="eastAsia"/>
                <w:color w:val="auto"/>
                <w:sz w:val="24"/>
                <w:highlight w:val="none"/>
              </w:rPr>
              <w:t xml:space="preserve">）信息模块：展示工作动态，制度建设，处理问责等。演示全面符合功能要求的得2分，演示不全面或不演示的不得分。</w:t>
            </w:r>
            <w:r/>
          </w:p>
        </w:tc>
      </w:tr>
      <w:tr>
        <w:trPr>
          <w:jc w:val="center"/>
          <w:trHeight w:val="480"/>
        </w:trPr>
        <w:tc>
          <w:tcPr>
            <w:tcW w:w="783" w:type="dxa"/>
            <w:vAlign w:val="center"/>
            <w:vMerge w:val="restart"/>
            <w:textDirection w:val="lrTb"/>
            <w:noWrap w:val="false"/>
          </w:tcPr>
          <w:p>
            <w:pPr>
              <w:jc w:val="center"/>
              <w:spacing w:line="500" w:lineRule="exact"/>
              <w:widowControl/>
              <w:rPr>
                <w:color w:val="auto"/>
                <w:sz w:val="24"/>
                <w:highlight w:val="none"/>
                <w:lang w:val="zh-CN"/>
              </w:rPr>
            </w:pPr>
            <w:r>
              <w:rPr>
                <w:rFonts w:hint="eastAsia"/>
                <w:color w:val="auto"/>
                <w:sz w:val="24"/>
                <w:highlight w:val="none"/>
              </w:rPr>
              <w:t xml:space="preserve">4</w:t>
            </w:r>
            <w:r/>
          </w:p>
        </w:tc>
        <w:tc>
          <w:tcPr>
            <w:tcW w:w="1302" w:type="dxa"/>
            <w:vAlign w:val="center"/>
            <w:vMerge w:val="restart"/>
            <w:textDirection w:val="lrTb"/>
            <w:noWrap w:val="false"/>
          </w:tcPr>
          <w:p>
            <w:pPr>
              <w:jc w:val="center"/>
              <w:spacing w:line="500" w:lineRule="exact"/>
              <w:widowControl/>
              <w:rPr>
                <w:rFonts w:eastAsia="Times New Roman"/>
                <w:color w:val="auto"/>
                <w:sz w:val="24"/>
                <w:highlight w:val="none"/>
                <w:lang w:val="zh-CN"/>
              </w:rPr>
            </w:pPr>
            <w:r>
              <w:rPr>
                <w:rFonts w:hint="eastAsia"/>
                <w:color w:val="auto"/>
                <w:sz w:val="24"/>
                <w:highlight w:val="none"/>
              </w:rPr>
              <w:t xml:space="preserve">技术</w:t>
            </w:r>
            <w:r>
              <w:rPr>
                <w:color w:val="auto"/>
                <w:sz w:val="24"/>
                <w:highlight w:val="none"/>
                <w:lang w:val="zh-CN"/>
              </w:rPr>
              <w:t xml:space="preserve">方案</w:t>
            </w:r>
            <w:r/>
          </w:p>
          <w:p>
            <w:pPr>
              <w:jc w:val="center"/>
              <w:spacing w:line="500" w:lineRule="exact"/>
              <w:widowControl/>
              <w:rPr>
                <w:rFonts w:eastAsia="Times New Roman"/>
                <w:color w:val="auto"/>
                <w:sz w:val="24"/>
                <w:highlight w:val="none"/>
                <w:lang w:val="zh-CN"/>
              </w:rPr>
            </w:pPr>
            <w:r>
              <w:rPr>
                <w:color w:val="auto"/>
                <w:sz w:val="24"/>
                <w:highlight w:val="none"/>
                <w:lang w:val="zh-CN"/>
              </w:rPr>
              <w:t xml:space="preserve">（</w:t>
            </w:r>
            <w:r>
              <w:rPr>
                <w:rFonts w:hint="eastAsia"/>
                <w:color w:val="auto"/>
                <w:sz w:val="24"/>
                <w:highlight w:val="none"/>
              </w:rPr>
              <w:t xml:space="preserve">45</w:t>
            </w:r>
            <w:r>
              <w:rPr>
                <w:color w:val="auto"/>
                <w:sz w:val="24"/>
                <w:highlight w:val="none"/>
                <w:lang w:val="zh-CN"/>
              </w:rPr>
              <w:t xml:space="preserve">分）</w:t>
            </w:r>
            <w:r/>
          </w:p>
        </w:tc>
        <w:tc>
          <w:tcPr>
            <w:tcW w:w="1430" w:type="dxa"/>
            <w:vAlign w:val="center"/>
            <w:textDirection w:val="lrTb"/>
            <w:noWrap w:val="false"/>
          </w:tcPr>
          <w:p>
            <w:pPr>
              <w:jc w:val="center"/>
              <w:spacing w:line="500" w:lineRule="exact"/>
              <w:rPr>
                <w:color w:val="auto"/>
                <w:sz w:val="24"/>
                <w:highlight w:val="none"/>
                <w:lang w:val="zh-CN"/>
              </w:rPr>
            </w:pPr>
            <w:r>
              <w:rPr>
                <w:rFonts w:hint="eastAsia"/>
                <w:color w:val="auto"/>
                <w:sz w:val="24"/>
                <w:highlight w:val="none"/>
              </w:rPr>
              <w:t xml:space="preserve">总体设计方案（12分）</w:t>
            </w:r>
            <w:r/>
          </w:p>
        </w:tc>
        <w:tc>
          <w:tcPr>
            <w:tcW w:w="5136" w:type="dxa"/>
            <w:vAlign w:val="center"/>
            <w:textDirection w:val="lrTb"/>
            <w:noWrap w:val="false"/>
          </w:tcPr>
          <w:p>
            <w:pPr>
              <w:ind w:firstLine="480"/>
              <w:spacing w:line="500" w:lineRule="exact"/>
              <w:rPr>
                <w:rFonts w:hint="eastAsia"/>
                <w:color w:val="auto"/>
                <w:sz w:val="24"/>
                <w:highlight w:val="none"/>
              </w:rPr>
            </w:pPr>
            <w:r>
              <w:rPr>
                <w:color w:val="auto"/>
                <w:sz w:val="24"/>
                <w:highlight w:val="none"/>
              </w:rPr>
              <w:t xml:space="preserve">投标人</w:t>
            </w:r>
            <w:r>
              <w:rPr>
                <w:rFonts w:hint="eastAsia"/>
                <w:color w:val="auto"/>
                <w:sz w:val="24"/>
                <w:highlight w:val="none"/>
              </w:rPr>
              <w:t xml:space="preserve">应在第四章采购需求内容上深化总体设计方案，至少包含以下内容：总体需求分析、业务架构、技术架构、数据设计等。方案优于要求的得</w:t>
            </w:r>
            <w:r>
              <w:rPr>
                <w:rFonts w:hint="eastAsia"/>
                <w:color w:val="auto"/>
                <w:sz w:val="24"/>
                <w:highlight w:val="none"/>
                <w:lang w:val="en-US" w:eastAsia="zh-CN"/>
              </w:rPr>
              <w:t xml:space="preserve">12</w:t>
            </w:r>
            <w:r>
              <w:rPr>
                <w:rFonts w:hint="eastAsia"/>
                <w:color w:val="auto"/>
                <w:sz w:val="24"/>
                <w:highlight w:val="none"/>
              </w:rPr>
              <w:t xml:space="preserve">分，符合要求得</w:t>
            </w:r>
            <w:r>
              <w:rPr>
                <w:rFonts w:hint="eastAsia"/>
                <w:color w:val="auto"/>
                <w:sz w:val="24"/>
                <w:highlight w:val="none"/>
                <w:lang w:val="en-US" w:eastAsia="zh-CN"/>
              </w:rPr>
              <w:t xml:space="preserve">10</w:t>
            </w:r>
            <w:r>
              <w:rPr>
                <w:rFonts w:hint="eastAsia"/>
                <w:color w:val="auto"/>
                <w:sz w:val="24"/>
                <w:highlight w:val="none"/>
              </w:rPr>
              <w:t xml:space="preserve">分，不符合要求或未提供的不得分。</w:t>
            </w:r>
            <w:r/>
          </w:p>
          <w:p>
            <w:pPr>
              <w:ind w:firstLine="480"/>
              <w:spacing w:line="500" w:lineRule="exact"/>
              <w:rPr>
                <w:rFonts w:hint="eastAsia"/>
                <w:color w:val="auto"/>
                <w:sz w:val="24"/>
                <w:highlight w:val="none"/>
              </w:rPr>
            </w:pPr>
            <w:r>
              <w:rPr>
                <w:color w:val="auto"/>
                <w:sz w:val="24"/>
                <w:highlight w:val="none"/>
              </w:rPr>
              <w:t xml:space="preserve">投标人</w:t>
            </w:r>
            <w:r>
              <w:rPr>
                <w:rFonts w:hint="eastAsia" w:ascii="宋体" w:hAnsi="宋体" w:eastAsia="宋体" w:cs="宋体"/>
                <w:color w:val="auto"/>
                <w:sz w:val="24"/>
                <w:highlight w:val="none"/>
              </w:rPr>
              <w:t xml:space="preserve">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2403"/>
        </w:trPr>
        <w:tc>
          <w:tcPr>
            <w:tcW w:w="783" w:type="dxa"/>
            <w:vAlign w:val="center"/>
            <w:vMerge w:val="continue"/>
            <w:textDirection w:val="lrTb"/>
            <w:noWrap w:val="false"/>
          </w:tcPr>
          <w:p>
            <w:pPr>
              <w:jc w:val="center"/>
              <w:spacing w:line="500" w:lineRule="exact"/>
              <w:widowControl/>
              <w:rPr>
                <w:rFonts w:eastAsia="Times New Roman"/>
                <w:color w:val="auto"/>
                <w:sz w:val="24"/>
                <w:highlight w:val="none"/>
              </w:rPr>
            </w:pPr>
            <w:r>
              <w:rPr>
                <w:rFonts w:eastAsia="Times New Roman"/>
                <w:color w:val="auto"/>
                <w:sz w:val="24"/>
                <w:highlight w:val="none"/>
              </w:rPr>
            </w:r>
            <w:r/>
          </w:p>
        </w:tc>
        <w:tc>
          <w:tcPr>
            <w:tcW w:w="1302" w:type="dxa"/>
            <w:vAlign w:val="center"/>
            <w:vMerge w:val="continue"/>
            <w:textDirection w:val="lrTb"/>
            <w:noWrap w:val="false"/>
          </w:tcPr>
          <w:p>
            <w:pPr>
              <w:jc w:val="center"/>
              <w:spacing w:line="500" w:lineRule="exact"/>
              <w:widowControl/>
              <w:rPr>
                <w:rFonts w:eastAsia="Times New Roman"/>
                <w:color w:val="auto"/>
                <w:sz w:val="24"/>
                <w:highlight w:val="none"/>
                <w:lang w:val="zh-CN"/>
              </w:rPr>
            </w:pPr>
            <w:r>
              <w:rPr>
                <w:rFonts w:eastAsia="Times New Roman"/>
                <w:color w:val="auto"/>
                <w:sz w:val="24"/>
                <w:highlight w:val="none"/>
                <w:lang w:val="zh-CN"/>
              </w:rPr>
            </w:r>
            <w:r/>
          </w:p>
        </w:tc>
        <w:tc>
          <w:tcPr>
            <w:tcW w:w="1430" w:type="dxa"/>
            <w:vAlign w:val="center"/>
            <w:textDirection w:val="lrTb"/>
            <w:noWrap w:val="false"/>
          </w:tcPr>
          <w:p>
            <w:pPr>
              <w:jc w:val="center"/>
              <w:spacing w:line="500" w:lineRule="exact"/>
              <w:rPr>
                <w:color w:val="auto"/>
                <w:sz w:val="24"/>
                <w:highlight w:val="none"/>
                <w:lang w:val="zh-CN"/>
              </w:rPr>
            </w:pPr>
            <w:r>
              <w:rPr>
                <w:rFonts w:hint="eastAsia"/>
                <w:color w:val="auto"/>
                <w:sz w:val="24"/>
                <w:highlight w:val="none"/>
              </w:rPr>
              <w:t xml:space="preserve">系统功能设计方案</w:t>
            </w:r>
            <w:r>
              <w:rPr>
                <w:rFonts w:hint="eastAsia"/>
                <w:color w:val="auto"/>
                <w:sz w:val="24"/>
                <w:highlight w:val="none"/>
              </w:rPr>
              <w:br/>
            </w:r>
            <w:r>
              <w:rPr>
                <w:rFonts w:hint="eastAsia"/>
                <w:color w:val="auto"/>
                <w:sz w:val="24"/>
                <w:highlight w:val="none"/>
              </w:rPr>
              <w:t xml:space="preserve">（12分）</w:t>
            </w:r>
            <w:r/>
          </w:p>
        </w:tc>
        <w:tc>
          <w:tcPr>
            <w:tcW w:w="5136" w:type="dxa"/>
            <w:vAlign w:val="center"/>
            <w:textDirection w:val="lrTb"/>
            <w:noWrap w:val="false"/>
          </w:tcPr>
          <w:p>
            <w:pPr>
              <w:ind w:firstLine="480"/>
              <w:spacing w:line="500" w:lineRule="exact"/>
              <w:rPr>
                <w:rFonts w:hint="eastAsia"/>
                <w:color w:val="auto"/>
                <w:sz w:val="24"/>
                <w:highlight w:val="none"/>
              </w:rPr>
            </w:pPr>
            <w:r>
              <w:rPr>
                <w:color w:val="auto"/>
                <w:sz w:val="24"/>
                <w:highlight w:val="none"/>
              </w:rPr>
              <w:t xml:space="preserve">投标人</w:t>
            </w:r>
            <w:r>
              <w:rPr>
                <w:rFonts w:hint="eastAsia"/>
                <w:color w:val="auto"/>
                <w:sz w:val="24"/>
                <w:highlight w:val="none"/>
              </w:rPr>
              <w:t xml:space="preserve">应在第四章采购需求内容上深化系统功能设计方案，至少包含以下内容：包括</w:t>
            </w:r>
            <w:r>
              <w:rPr>
                <w:rFonts w:hint="eastAsia" w:ascii="宋体" w:hAnsi="宋体" w:cs="宋体"/>
                <w:color w:val="auto"/>
                <w:sz w:val="24"/>
                <w:highlight w:val="none"/>
              </w:rPr>
              <w:t xml:space="preserve">系统管理、数据调用监测、智能管理、监管模型支撑、DR监管可视化等</w:t>
            </w:r>
            <w:r>
              <w:rPr>
                <w:rFonts w:hint="eastAsia" w:ascii="宋体" w:hAnsi="宋体" w:cs="宋体"/>
                <w:color w:val="auto"/>
                <w:sz w:val="24"/>
                <w:highlight w:val="none"/>
                <w:lang w:val="en-US" w:eastAsia="zh-CN"/>
              </w:rPr>
              <w:t xml:space="preserve">模块</w:t>
            </w:r>
            <w:r>
              <w:rPr>
                <w:rFonts w:hint="eastAsia"/>
                <w:color w:val="auto"/>
                <w:sz w:val="24"/>
                <w:highlight w:val="none"/>
              </w:rPr>
              <w:t xml:space="preserve">。方案优于要求的得</w:t>
            </w:r>
            <w:r>
              <w:rPr>
                <w:rFonts w:hint="eastAsia"/>
                <w:color w:val="auto"/>
                <w:sz w:val="24"/>
                <w:highlight w:val="none"/>
                <w:lang w:val="en-US" w:eastAsia="zh-CN"/>
              </w:rPr>
              <w:t xml:space="preserve">12</w:t>
            </w:r>
            <w:r>
              <w:rPr>
                <w:rFonts w:hint="eastAsia"/>
                <w:color w:val="auto"/>
                <w:sz w:val="24"/>
                <w:highlight w:val="none"/>
              </w:rPr>
              <w:t xml:space="preserve">分，符合要求得</w:t>
            </w:r>
            <w:r>
              <w:rPr>
                <w:rFonts w:hint="eastAsia"/>
                <w:color w:val="auto"/>
                <w:sz w:val="24"/>
                <w:highlight w:val="none"/>
                <w:lang w:val="en-US" w:eastAsia="zh-CN"/>
              </w:rPr>
              <w:t xml:space="preserve">10</w:t>
            </w:r>
            <w:r>
              <w:rPr>
                <w:rFonts w:hint="eastAsia"/>
                <w:color w:val="auto"/>
                <w:sz w:val="24"/>
                <w:highlight w:val="none"/>
              </w:rPr>
              <w:t xml:space="preserve">分，不符合要求或未提供的不得分。</w:t>
            </w:r>
            <w:r/>
          </w:p>
          <w:p>
            <w:pPr>
              <w:ind w:firstLine="480"/>
              <w:spacing w:line="500" w:lineRule="exact"/>
              <w:rPr>
                <w:rFonts w:hint="eastAsia"/>
                <w:color w:val="auto"/>
                <w:sz w:val="24"/>
                <w:highlight w:val="none"/>
              </w:rPr>
            </w:pPr>
            <w:r>
              <w:rPr>
                <w:color w:val="auto"/>
                <w:sz w:val="24"/>
                <w:highlight w:val="none"/>
              </w:rPr>
              <w:t xml:space="preserve">投标人</w:t>
            </w:r>
            <w:r>
              <w:rPr>
                <w:rFonts w:hint="eastAsia" w:ascii="宋体" w:hAnsi="宋体" w:eastAsia="宋体" w:cs="宋体"/>
                <w:color w:val="auto"/>
                <w:sz w:val="24"/>
                <w:highlight w:val="none"/>
              </w:rPr>
              <w:t xml:space="preserve">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2403"/>
        </w:trPr>
        <w:tc>
          <w:tcPr>
            <w:tcW w:w="783" w:type="dxa"/>
            <w:vAlign w:val="center"/>
            <w:vMerge w:val="continue"/>
            <w:textDirection w:val="lrTb"/>
            <w:noWrap w:val="false"/>
          </w:tcPr>
          <w:p>
            <w:pPr>
              <w:jc w:val="center"/>
              <w:spacing w:line="500" w:lineRule="exact"/>
              <w:widowControl/>
              <w:rPr>
                <w:rFonts w:eastAsia="Times New Roman"/>
                <w:color w:val="auto"/>
                <w:sz w:val="24"/>
                <w:highlight w:val="none"/>
              </w:rPr>
            </w:pPr>
            <w:r>
              <w:rPr>
                <w:rFonts w:eastAsia="Times New Roman"/>
                <w:color w:val="auto"/>
                <w:sz w:val="24"/>
                <w:highlight w:val="none"/>
              </w:rPr>
            </w:r>
            <w:r/>
          </w:p>
        </w:tc>
        <w:tc>
          <w:tcPr>
            <w:tcW w:w="1302" w:type="dxa"/>
            <w:vAlign w:val="center"/>
            <w:vMerge w:val="continue"/>
            <w:textDirection w:val="lrTb"/>
            <w:noWrap w:val="false"/>
          </w:tcPr>
          <w:p>
            <w:pPr>
              <w:jc w:val="center"/>
              <w:spacing w:line="500" w:lineRule="exact"/>
              <w:widowControl/>
              <w:rPr>
                <w:rFonts w:eastAsia="Times New Roman"/>
                <w:color w:val="auto"/>
                <w:sz w:val="24"/>
                <w:highlight w:val="none"/>
                <w:lang w:val="zh-CN"/>
              </w:rPr>
            </w:pPr>
            <w:r>
              <w:rPr>
                <w:rFonts w:eastAsia="Times New Roman"/>
                <w:color w:val="auto"/>
                <w:sz w:val="24"/>
                <w:highlight w:val="none"/>
                <w:lang w:val="zh-CN"/>
              </w:rPr>
            </w:r>
            <w:r/>
          </w:p>
        </w:tc>
        <w:tc>
          <w:tcPr>
            <w:tcW w:w="1430" w:type="dxa"/>
            <w:vAlign w:val="center"/>
            <w:textDirection w:val="lrTb"/>
            <w:noWrap w:val="false"/>
          </w:tcPr>
          <w:p>
            <w:pPr>
              <w:jc w:val="center"/>
              <w:spacing w:line="500" w:lineRule="exact"/>
              <w:rPr>
                <w:color w:val="auto"/>
                <w:sz w:val="24"/>
                <w:highlight w:val="none"/>
                <w:lang w:val="zh-CN"/>
              </w:rPr>
            </w:pPr>
            <w:r>
              <w:rPr>
                <w:rFonts w:hint="eastAsia"/>
                <w:color w:val="auto"/>
                <w:sz w:val="24"/>
                <w:highlight w:val="none"/>
              </w:rPr>
              <w:t xml:space="preserve">项目实施方案（12分）</w:t>
            </w:r>
            <w:r/>
          </w:p>
        </w:tc>
        <w:tc>
          <w:tcPr>
            <w:tcW w:w="5136" w:type="dxa"/>
            <w:vAlign w:val="center"/>
            <w:textDirection w:val="lrTb"/>
            <w:noWrap w:val="false"/>
          </w:tcPr>
          <w:p>
            <w:pPr>
              <w:ind w:firstLine="480"/>
              <w:spacing w:line="500" w:lineRule="exact"/>
              <w:rPr>
                <w:rFonts w:hint="eastAsia"/>
                <w:color w:val="auto"/>
                <w:sz w:val="24"/>
                <w:highlight w:val="none"/>
              </w:rPr>
            </w:pPr>
            <w:r>
              <w:rPr>
                <w:color w:val="auto"/>
                <w:sz w:val="24"/>
                <w:highlight w:val="none"/>
              </w:rPr>
              <w:t xml:space="preserve">投标人</w:t>
            </w:r>
            <w:r>
              <w:rPr>
                <w:rFonts w:hint="eastAsia"/>
                <w:color w:val="auto"/>
                <w:sz w:val="24"/>
                <w:highlight w:val="none"/>
              </w:rPr>
              <w:t xml:space="preserve">应在第四章采购需求内容上深化项目实施方案，至少包含以下内容：进度计划、岗位职责及人员安排、项目管理措施、质量保障措施等。方案优于要求的得</w:t>
            </w:r>
            <w:r>
              <w:rPr>
                <w:rFonts w:hint="eastAsia"/>
                <w:color w:val="auto"/>
                <w:sz w:val="24"/>
                <w:highlight w:val="none"/>
                <w:lang w:val="en-US" w:eastAsia="zh-CN"/>
              </w:rPr>
              <w:t xml:space="preserve">12</w:t>
            </w:r>
            <w:r>
              <w:rPr>
                <w:rFonts w:hint="eastAsia"/>
                <w:color w:val="auto"/>
                <w:sz w:val="24"/>
                <w:highlight w:val="none"/>
              </w:rPr>
              <w:t xml:space="preserve">分，符合要求得</w:t>
            </w:r>
            <w:r>
              <w:rPr>
                <w:rFonts w:hint="eastAsia"/>
                <w:color w:val="auto"/>
                <w:sz w:val="24"/>
                <w:highlight w:val="none"/>
                <w:lang w:val="en-US" w:eastAsia="zh-CN"/>
              </w:rPr>
              <w:t xml:space="preserve">10</w:t>
            </w:r>
            <w:r>
              <w:rPr>
                <w:rFonts w:hint="eastAsia"/>
                <w:color w:val="auto"/>
                <w:sz w:val="24"/>
                <w:highlight w:val="none"/>
              </w:rPr>
              <w:t xml:space="preserve">分，不符合要求或未提供的不得分。</w:t>
            </w:r>
            <w:r/>
          </w:p>
          <w:p>
            <w:pPr>
              <w:ind w:firstLine="480"/>
              <w:spacing w:line="500" w:lineRule="exact"/>
              <w:rPr>
                <w:rFonts w:hint="eastAsia"/>
                <w:color w:val="auto"/>
                <w:sz w:val="24"/>
                <w:highlight w:val="none"/>
              </w:rPr>
            </w:pPr>
            <w:r>
              <w:rPr>
                <w:color w:val="auto"/>
                <w:sz w:val="24"/>
                <w:highlight w:val="none"/>
              </w:rPr>
              <w:t xml:space="preserve">投标人</w:t>
            </w:r>
            <w:r>
              <w:rPr>
                <w:rFonts w:hint="eastAsia" w:ascii="宋体" w:hAnsi="宋体" w:eastAsia="宋体" w:cs="宋体"/>
                <w:color w:val="auto"/>
                <w:sz w:val="24"/>
                <w:highlight w:val="none"/>
              </w:rPr>
              <w:t xml:space="preserve">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2403"/>
        </w:trPr>
        <w:tc>
          <w:tcPr>
            <w:tcW w:w="783" w:type="dxa"/>
            <w:vAlign w:val="center"/>
            <w:textDirection w:val="lrTb"/>
            <w:noWrap w:val="false"/>
          </w:tcPr>
          <w:p>
            <w:pPr>
              <w:jc w:val="center"/>
              <w:spacing w:line="500" w:lineRule="exact"/>
              <w:widowControl/>
              <w:rPr>
                <w:rFonts w:eastAsia="Times New Roman"/>
                <w:color w:val="auto"/>
                <w:sz w:val="24"/>
                <w:highlight w:val="none"/>
              </w:rPr>
            </w:pPr>
            <w:r>
              <w:rPr>
                <w:rFonts w:eastAsia="Times New Roman"/>
                <w:color w:val="auto"/>
                <w:sz w:val="24"/>
                <w:highlight w:val="none"/>
              </w:rPr>
            </w:r>
            <w:r/>
          </w:p>
        </w:tc>
        <w:tc>
          <w:tcPr>
            <w:tcW w:w="1302" w:type="dxa"/>
            <w:vAlign w:val="center"/>
            <w:textDirection w:val="lrTb"/>
            <w:noWrap w:val="false"/>
          </w:tcPr>
          <w:p>
            <w:pPr>
              <w:jc w:val="center"/>
              <w:spacing w:line="500" w:lineRule="exact"/>
              <w:widowControl/>
              <w:rPr>
                <w:rFonts w:eastAsia="Times New Roman"/>
                <w:color w:val="auto"/>
                <w:sz w:val="24"/>
                <w:highlight w:val="none"/>
                <w:lang w:val="zh-CN"/>
              </w:rPr>
            </w:pPr>
            <w:r>
              <w:rPr>
                <w:rFonts w:eastAsia="Times New Roman"/>
                <w:color w:val="auto"/>
                <w:sz w:val="24"/>
                <w:highlight w:val="none"/>
                <w:lang w:val="zh-CN"/>
              </w:rPr>
            </w:r>
            <w:r/>
          </w:p>
        </w:tc>
        <w:tc>
          <w:tcPr>
            <w:tcW w:w="1430" w:type="dxa"/>
            <w:vAlign w:val="center"/>
            <w:textDirection w:val="lrTb"/>
            <w:noWrap w:val="false"/>
          </w:tcPr>
          <w:p>
            <w:pPr>
              <w:jc w:val="center"/>
              <w:spacing w:line="500" w:lineRule="exact"/>
              <w:rPr>
                <w:color w:val="auto"/>
                <w:sz w:val="24"/>
                <w:highlight w:val="none"/>
              </w:rPr>
            </w:pPr>
            <w:r>
              <w:rPr>
                <w:rFonts w:hint="eastAsia"/>
                <w:color w:val="auto"/>
                <w:sz w:val="24"/>
                <w:highlight w:val="none"/>
              </w:rPr>
              <w:t xml:space="preserve">培训方案  （9分）</w:t>
            </w:r>
            <w:r/>
          </w:p>
        </w:tc>
        <w:tc>
          <w:tcPr>
            <w:tcW w:w="5136" w:type="dxa"/>
            <w:vAlign w:val="center"/>
            <w:textDirection w:val="lrTb"/>
            <w:noWrap w:val="false"/>
          </w:tcPr>
          <w:p>
            <w:pPr>
              <w:ind w:firstLine="480"/>
              <w:spacing w:line="500" w:lineRule="exact"/>
              <w:rPr>
                <w:rFonts w:hint="eastAsia"/>
                <w:color w:val="auto"/>
                <w:sz w:val="24"/>
                <w:highlight w:val="none"/>
              </w:rPr>
            </w:pPr>
            <w:r>
              <w:rPr>
                <w:color w:val="auto"/>
                <w:sz w:val="24"/>
                <w:highlight w:val="none"/>
              </w:rPr>
              <w:t xml:space="preserve">投标人</w:t>
            </w:r>
            <w:r>
              <w:rPr>
                <w:rFonts w:hint="eastAsia"/>
                <w:color w:val="auto"/>
                <w:sz w:val="24"/>
                <w:highlight w:val="none"/>
              </w:rPr>
              <w:t xml:space="preserve">应在第四章采购需求内容上深化项目培训方案，至少包含以下内容：培训计划、培训内容等。方案优于要求的得</w:t>
            </w:r>
            <w:r>
              <w:rPr>
                <w:rFonts w:hint="eastAsia"/>
                <w:color w:val="auto"/>
                <w:sz w:val="24"/>
                <w:highlight w:val="none"/>
                <w:lang w:val="en-US" w:eastAsia="zh-CN"/>
              </w:rPr>
              <w:t xml:space="preserve">9</w:t>
            </w:r>
            <w:r>
              <w:rPr>
                <w:rFonts w:hint="eastAsia"/>
                <w:color w:val="auto"/>
                <w:sz w:val="24"/>
                <w:highlight w:val="none"/>
              </w:rPr>
              <w:t xml:space="preserve">分，符合要求得</w:t>
            </w:r>
            <w:r>
              <w:rPr>
                <w:rFonts w:hint="eastAsia"/>
                <w:color w:val="auto"/>
                <w:sz w:val="24"/>
                <w:highlight w:val="none"/>
                <w:lang w:val="en-US" w:eastAsia="zh-CN"/>
              </w:rPr>
              <w:t xml:space="preserve">8</w:t>
            </w:r>
            <w:r>
              <w:rPr>
                <w:rFonts w:hint="eastAsia"/>
                <w:color w:val="auto"/>
                <w:sz w:val="24"/>
                <w:highlight w:val="none"/>
              </w:rPr>
              <w:t xml:space="preserve">分，不符合要求或未提供的不得分。</w:t>
            </w:r>
            <w:r/>
          </w:p>
          <w:p>
            <w:pPr>
              <w:ind w:firstLine="480"/>
              <w:spacing w:line="500" w:lineRule="exact"/>
              <w:rPr>
                <w:rFonts w:hint="eastAsia"/>
                <w:color w:val="auto"/>
                <w:sz w:val="24"/>
                <w:highlight w:val="none"/>
              </w:rPr>
            </w:pPr>
            <w:r>
              <w:rPr>
                <w:color w:val="auto"/>
                <w:sz w:val="24"/>
                <w:highlight w:val="none"/>
              </w:rPr>
              <w:t xml:space="preserve">投标人</w:t>
            </w:r>
            <w:r>
              <w:rPr>
                <w:rFonts w:hint="eastAsia" w:ascii="宋体" w:hAnsi="宋体" w:eastAsia="宋体" w:cs="宋体"/>
                <w:color w:val="auto"/>
                <w:sz w:val="24"/>
                <w:highlight w:val="none"/>
              </w:rPr>
              <w:t xml:space="preserve">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783"/>
        </w:trPr>
        <w:tc>
          <w:tcPr>
            <w:tcW w:w="783" w:type="dxa"/>
            <w:vAlign w:val="center"/>
            <w:textDirection w:val="lrTb"/>
            <w:noWrap w:val="false"/>
          </w:tcPr>
          <w:p>
            <w:pPr>
              <w:jc w:val="center"/>
              <w:spacing w:line="500" w:lineRule="exact"/>
              <w:widowControl/>
              <w:rPr>
                <w:color w:val="auto"/>
                <w:sz w:val="24"/>
                <w:highlight w:val="none"/>
              </w:rPr>
            </w:pPr>
            <w:r>
              <w:rPr>
                <w:rFonts w:hint="eastAsia"/>
                <w:color w:val="auto"/>
                <w:sz w:val="24"/>
                <w:highlight w:val="none"/>
              </w:rPr>
              <w:t xml:space="preserve">5</w:t>
            </w:r>
            <w:r/>
          </w:p>
        </w:tc>
        <w:tc>
          <w:tcPr>
            <w:tcW w:w="1302" w:type="dxa"/>
            <w:vAlign w:val="center"/>
            <w:textDirection w:val="lrTb"/>
            <w:noWrap w:val="false"/>
          </w:tcPr>
          <w:p>
            <w:pPr>
              <w:jc w:val="center"/>
              <w:spacing w:line="500" w:lineRule="exact"/>
              <w:widowControl/>
              <w:rPr>
                <w:rFonts w:eastAsia="Times New Roman"/>
                <w:color w:val="auto"/>
                <w:sz w:val="24"/>
                <w:highlight w:val="none"/>
                <w:lang w:val="zh-CN"/>
              </w:rPr>
            </w:pPr>
            <w:r>
              <w:rPr>
                <w:color w:val="auto"/>
                <w:sz w:val="24"/>
                <w:highlight w:val="none"/>
                <w:lang w:val="zh-CN"/>
              </w:rPr>
              <w:t xml:space="preserve">售后服务方案</w:t>
            </w:r>
            <w:r>
              <w:rPr>
                <w:rFonts w:hint="eastAsia"/>
                <w:color w:val="auto"/>
                <w:sz w:val="24"/>
                <w:highlight w:val="none"/>
                <w:lang w:val="zh-CN"/>
              </w:rPr>
              <w:t xml:space="preserve">（</w:t>
            </w:r>
            <w:r>
              <w:rPr>
                <w:rFonts w:hint="eastAsia"/>
                <w:color w:val="auto"/>
                <w:sz w:val="24"/>
                <w:highlight w:val="none"/>
              </w:rPr>
              <w:t xml:space="preserve">10分</w:t>
            </w:r>
            <w:r>
              <w:rPr>
                <w:rFonts w:hint="eastAsia"/>
                <w:color w:val="auto"/>
                <w:sz w:val="24"/>
                <w:highlight w:val="none"/>
                <w:lang w:val="zh-CN"/>
              </w:rPr>
              <w:t xml:space="preserve">）</w:t>
            </w:r>
            <w:r/>
          </w:p>
        </w:tc>
        <w:tc>
          <w:tcPr>
            <w:tcW w:w="1430" w:type="dxa"/>
            <w:vAlign w:val="center"/>
            <w:textDirection w:val="lrTb"/>
            <w:noWrap w:val="false"/>
          </w:tcPr>
          <w:p>
            <w:pPr>
              <w:jc w:val="center"/>
              <w:spacing w:line="500" w:lineRule="exact"/>
              <w:widowControl/>
              <w:rPr>
                <w:color w:val="auto"/>
                <w:sz w:val="24"/>
                <w:highlight w:val="none"/>
                <w:lang w:val="zh-CN"/>
              </w:rPr>
            </w:pPr>
            <w:r>
              <w:rPr>
                <w:color w:val="auto"/>
                <w:sz w:val="24"/>
                <w:highlight w:val="none"/>
                <w:lang w:val="zh-CN"/>
              </w:rPr>
              <w:t xml:space="preserve">售后服务方案</w:t>
            </w:r>
            <w:r>
              <w:rPr>
                <w:rFonts w:hint="eastAsia"/>
                <w:color w:val="auto"/>
                <w:sz w:val="24"/>
                <w:highlight w:val="none"/>
                <w:lang w:val="zh-CN"/>
              </w:rPr>
              <w:t xml:space="preserve">（</w:t>
            </w:r>
            <w:r>
              <w:rPr>
                <w:rFonts w:hint="eastAsia"/>
                <w:color w:val="auto"/>
                <w:sz w:val="24"/>
                <w:highlight w:val="none"/>
              </w:rPr>
              <w:t xml:space="preserve">10分</w:t>
            </w:r>
            <w:r>
              <w:rPr>
                <w:rFonts w:hint="eastAsia"/>
                <w:color w:val="auto"/>
                <w:sz w:val="24"/>
                <w:highlight w:val="none"/>
                <w:lang w:val="zh-CN"/>
              </w:rPr>
              <w:t xml:space="preserve">）</w:t>
            </w:r>
            <w:r/>
          </w:p>
        </w:tc>
        <w:tc>
          <w:tcPr>
            <w:tcW w:w="5136" w:type="dxa"/>
            <w:vAlign w:val="center"/>
            <w:textDirection w:val="lrTb"/>
            <w:noWrap w:val="false"/>
          </w:tcPr>
          <w:p>
            <w:pPr>
              <w:ind w:firstLine="480"/>
              <w:spacing w:line="500" w:lineRule="exact"/>
              <w:rPr>
                <w:rFonts w:hint="eastAsia"/>
                <w:color w:val="auto"/>
                <w:sz w:val="24"/>
                <w:highlight w:val="none"/>
              </w:rPr>
            </w:pPr>
            <w:r>
              <w:rPr>
                <w:color w:val="auto"/>
                <w:sz w:val="24"/>
                <w:highlight w:val="none"/>
              </w:rPr>
              <w:t xml:space="preserve">投标人</w:t>
            </w:r>
            <w:r>
              <w:rPr>
                <w:rFonts w:hint="eastAsia"/>
                <w:color w:val="auto"/>
                <w:sz w:val="24"/>
                <w:highlight w:val="none"/>
              </w:rPr>
              <w:t xml:space="preserve">应在第四章采购需求内容上深化售后服务方案，至少包含以下内容：服务方式、服务内容、故障响应等。方案优于要求的得10分，符合要求得</w:t>
            </w:r>
            <w:r>
              <w:rPr>
                <w:rFonts w:hint="eastAsia"/>
                <w:color w:val="auto"/>
                <w:sz w:val="24"/>
                <w:highlight w:val="none"/>
                <w:lang w:val="en-US" w:eastAsia="zh-CN"/>
              </w:rPr>
              <w:t xml:space="preserve">8</w:t>
            </w:r>
            <w:r>
              <w:rPr>
                <w:rFonts w:hint="eastAsia"/>
                <w:color w:val="auto"/>
                <w:sz w:val="24"/>
                <w:highlight w:val="none"/>
              </w:rPr>
              <w:t xml:space="preserve">分，不符合要求或未提供的不得分。</w:t>
            </w:r>
            <w:r/>
          </w:p>
          <w:p>
            <w:pPr>
              <w:ind w:firstLine="480"/>
              <w:spacing w:line="500" w:lineRule="exact"/>
              <w:rPr>
                <w:rFonts w:hint="eastAsia"/>
                <w:color w:val="auto"/>
                <w:sz w:val="24"/>
                <w:highlight w:val="none"/>
              </w:rPr>
            </w:pPr>
            <w:r>
              <w:rPr>
                <w:color w:val="auto"/>
                <w:sz w:val="24"/>
                <w:highlight w:val="none"/>
              </w:rPr>
              <w:t xml:space="preserve">投标人</w:t>
            </w:r>
            <w:r>
              <w:rPr>
                <w:rFonts w:hint="eastAsia" w:ascii="宋体" w:hAnsi="宋体" w:eastAsia="宋体" w:cs="宋体"/>
                <w:color w:val="auto"/>
                <w:sz w:val="24"/>
                <w:highlight w:val="none"/>
              </w:rPr>
              <w:t xml:space="preserve">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r>
      <w:r/>
    </w:p>
    <w:p>
      <w:pPr>
        <w:pStyle w:val="884"/>
        <w:rPr>
          <w:color w:val="auto"/>
          <w:highlight w:val="none"/>
        </w:rPr>
      </w:pPr>
      <w:r>
        <w:rPr>
          <w:rFonts w:hint="eastAsia"/>
          <w:color w:val="auto"/>
          <w:highlight w:val="none"/>
        </w:rPr>
        <w:br w:type="page" w:clear="all"/>
      </w:r>
      <w:bookmarkEnd w:id="179"/>
      <w:r/>
      <w:bookmarkEnd w:id="180"/>
      <w:r/>
      <w:r/>
    </w:p>
    <w:p>
      <w:pPr>
        <w:rPr>
          <w:rFonts w:hint="eastAsia" w:ascii="黑体" w:hAnsi="宋体" w:eastAsia="黑体" w:cs="黑体"/>
          <w:color w:val="auto"/>
          <w:sz w:val="44"/>
          <w:szCs w:val="44"/>
          <w:highlight w:val="none"/>
        </w:rPr>
      </w:pPr>
      <w:r>
        <w:rPr>
          <w:rFonts w:hint="eastAsia" w:ascii="宋体" w:hAnsi="宋体" w:eastAsia="宋体" w:cs="宋体"/>
          <w:color w:val="auto"/>
          <w:sz w:val="24"/>
          <w:szCs w:val="24"/>
          <w:highlight w:val="none"/>
        </w:rPr>
        <w:t xml:space="preserve"> </w:t>
      </w:r>
      <w:r/>
    </w:p>
    <w:p>
      <w:pPr>
        <w:pStyle w:val="887"/>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响应文件格式 </w:t>
      </w:r>
      <w:r/>
    </w:p>
    <w:p>
      <w:pPr>
        <w:pStyle w:val="887"/>
        <w:jc w:val="center"/>
        <w:spacing w:beforeAutospacing="0" w:afterAutospacing="0"/>
        <w:rPr>
          <w:color w:val="auto"/>
          <w:highlight w:val="none"/>
        </w:rPr>
      </w:pPr>
      <w:r/>
      <w:bookmarkStart w:id="181" w:name="_Toc49090576"/>
      <w:r/>
      <w:bookmarkEnd w:id="181"/>
      <w:r/>
      <w:bookmarkStart w:id="182" w:name="_Toc120614282"/>
      <w:r/>
      <w:bookmarkEnd w:id="182"/>
      <w:r/>
      <w:bookmarkStart w:id="183" w:name="_Toc26554094"/>
      <w:r/>
      <w:bookmarkStart w:id="184" w:name="_Hlt26955039"/>
      <w:r/>
      <w:bookmarkStart w:id="185" w:name="_Hlt26671244"/>
      <w:r>
        <w:rPr>
          <w:rFonts w:hint="eastAsia" w:ascii="宋体" w:hAnsi="宋体" w:eastAsia="宋体" w:cs="宋体"/>
          <w:b/>
          <w:color w:val="auto"/>
          <w:sz w:val="72"/>
          <w:szCs w:val="72"/>
          <w:highlight w:val="none"/>
        </w:rPr>
        <w:t xml:space="preserve">响  应  文  件</w:t>
      </w:r>
      <w:r/>
    </w:p>
    <w:p>
      <w:pPr>
        <w:pStyle w:val="887"/>
        <w:jc w:val="center"/>
        <w:spacing w:beforeAutospacing="0" w:afterAutospacing="0"/>
        <w:rPr>
          <w:color w:val="auto"/>
          <w:highlight w:val="none"/>
        </w:rPr>
      </w:pPr>
      <w:r>
        <w:rPr>
          <w:color w:val="auto"/>
          <w:highlight w:val="none"/>
        </w:rPr>
        <w:t xml:space="preserve"> </w:t>
      </w:r>
      <w:r/>
    </w:p>
    <w:p>
      <w:pPr>
        <w:pStyle w:val="887"/>
        <w:jc w:val="center"/>
        <w:spacing w:beforeAutospacing="0" w:afterAutospacing="0"/>
        <w:rPr>
          <w:color w:val="auto"/>
          <w:highlight w:val="none"/>
        </w:rPr>
      </w:pPr>
      <w:r>
        <w:rPr>
          <w:color w:val="auto"/>
          <w:highlight w:val="none"/>
        </w:rPr>
        <w:t xml:space="preserve"> </w:t>
      </w:r>
      <w:r/>
    </w:p>
    <w:p>
      <w:pPr>
        <w:pStyle w:val="887"/>
        <w:jc w:val="center"/>
        <w:spacing w:beforeAutospacing="0" w:afterAutospacing="0"/>
        <w:rPr>
          <w:color w:val="auto"/>
          <w:highlight w:val="none"/>
        </w:rPr>
      </w:pPr>
      <w:r>
        <w:rPr>
          <w:color w:val="auto"/>
          <w:highlight w:val="none"/>
        </w:rPr>
        <w:t xml:space="preserve"> </w:t>
      </w:r>
      <w:r/>
    </w:p>
    <w:p>
      <w:pPr>
        <w:pStyle w:val="887"/>
        <w:jc w:val="center"/>
        <w:spacing w:beforeAutospacing="0" w:afterAutospacing="0"/>
        <w:rPr>
          <w:color w:val="auto"/>
          <w:highlight w:val="none"/>
        </w:rPr>
      </w:pPr>
      <w:r>
        <w:rPr>
          <w:color w:val="auto"/>
          <w:highlight w:val="none"/>
        </w:rPr>
        <w:t xml:space="preserve"> </w:t>
      </w:r>
      <w:r/>
    </w:p>
    <w:p>
      <w:pPr>
        <w:pStyle w:val="887"/>
        <w:jc w:val="center"/>
        <w:spacing w:beforeAutospacing="0" w:afterAutospacing="0"/>
        <w:rPr>
          <w:color w:val="auto"/>
          <w:highlight w:val="none"/>
        </w:rPr>
      </w:pPr>
      <w:r>
        <w:rPr>
          <w:color w:val="auto"/>
          <w:highlight w:val="none"/>
        </w:rPr>
        <w:t xml:space="preserve"> </w:t>
      </w:r>
      <w:r/>
    </w:p>
    <w:p>
      <w:pPr>
        <w:pStyle w:val="887"/>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目名 称：</w:t>
      </w:r>
      <w:r>
        <w:rPr>
          <w:rFonts w:hint="eastAsia" w:ascii="宋体" w:hAnsi="宋体" w:eastAsia="宋体" w:cs="宋体"/>
          <w:b/>
          <w:color w:val="auto"/>
          <w:sz w:val="36"/>
          <w:szCs w:val="36"/>
          <w:highlight w:val="none"/>
          <w:u w:val="single"/>
        </w:rPr>
        <w:t xml:space="preserve">               </w:t>
      </w:r>
      <w:r/>
    </w:p>
    <w:p>
      <w:pPr>
        <w:pStyle w:val="887"/>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目编 号：</w:t>
      </w:r>
      <w:r>
        <w:rPr>
          <w:rFonts w:hint="eastAsia" w:ascii="宋体" w:hAnsi="宋体" w:eastAsia="宋体" w:cs="宋体"/>
          <w:b/>
          <w:color w:val="auto"/>
          <w:sz w:val="36"/>
          <w:szCs w:val="36"/>
          <w:highlight w:val="none"/>
          <w:u w:val="single"/>
        </w:rPr>
        <w:t xml:space="preserve">               </w:t>
      </w:r>
      <w:r/>
    </w:p>
    <w:p>
      <w:pPr>
        <w:pStyle w:val="887"/>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t xml:space="preserve">        </w:t>
      </w:r>
      <w:r/>
    </w:p>
    <w:p>
      <w:pPr>
        <w:pStyle w:val="887"/>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887"/>
        <w:jc w:val="center"/>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r/>
    </w:p>
    <w:p>
      <w:pPr>
        <w:pStyle w:val="887"/>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响应文件目录</w:t>
      </w:r>
      <w:r/>
    </w:p>
    <w:p>
      <w:pPr>
        <w:pStyle w:val="887"/>
        <w:jc w:val="center"/>
        <w:spacing w:beforeAutospacing="0" w:afterAutospacing="0" w:line="0" w:lineRule="atLeast"/>
        <w:rPr>
          <w:color w:val="auto"/>
          <w:highlight w:val="none"/>
        </w:rPr>
      </w:pPr>
      <w:r>
        <w:rPr>
          <w:color w:val="auto"/>
          <w:highlight w:val="none"/>
        </w:rPr>
        <w:t xml:space="preserve"> </w:t>
      </w:r>
      <w:r/>
    </w:p>
    <w:p>
      <w:pPr>
        <w:pStyle w:val="887"/>
        <w:ind w:left="480"/>
        <w:jc w:val="both"/>
        <w:spacing w:beforeAutospacing="0" w:afterAutospacing="0"/>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一、法人或者其他组织的营业执照等证明文件，自然人的身份证明</w:t>
      </w:r>
      <w:r/>
    </w:p>
    <w:p>
      <w:pPr>
        <w:pStyle w:val="887"/>
        <w:ind w:left="480"/>
        <w:jc w:val="both"/>
        <w:spacing w:beforeAutospacing="0" w:afterAutospacing="0"/>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二、</w:t>
      </w:r>
      <w:r>
        <w:rPr>
          <w:rFonts w:hint="eastAsia" w:asciiTheme="minorEastAsia" w:hAnsiTheme="minorEastAsia" w:cstheme="minorEastAsia"/>
          <w:i w:val="0"/>
          <w:iCs/>
          <w:color w:val="auto"/>
          <w:sz w:val="24"/>
          <w:szCs w:val="24"/>
          <w:highlight w:val="none"/>
          <w:u w:val="none"/>
          <w:lang w:val="en-US" w:eastAsia="zh-CN"/>
        </w:rPr>
        <w:t xml:space="preserve">2024或2025</w:t>
      </w:r>
      <w:r>
        <w:rPr>
          <w:rFonts w:hint="eastAsia" w:asciiTheme="minorEastAsia" w:hAnsiTheme="minorEastAsia" w:eastAsiaTheme="minorEastAsia" w:cstheme="minorEastAsia"/>
          <w:i w:val="0"/>
          <w:iCs/>
          <w:color w:val="auto"/>
          <w:sz w:val="24"/>
          <w:szCs w:val="24"/>
          <w:highlight w:val="none"/>
          <w:u w:val="none"/>
        </w:rPr>
        <w:t xml:space="preserve">年度的财务状况报</w:t>
      </w:r>
      <w:r>
        <w:rPr>
          <w:rFonts w:hint="eastAsia" w:asciiTheme="minorEastAsia" w:hAnsiTheme="minorEastAsia" w:cstheme="minorEastAsia"/>
          <w:i w:val="0"/>
          <w:iCs/>
          <w:color w:val="auto"/>
          <w:sz w:val="24"/>
          <w:szCs w:val="24"/>
          <w:highlight w:val="none"/>
          <w:u w:val="none"/>
          <w:lang w:val="en-US" w:eastAsia="zh-CN"/>
        </w:rPr>
        <w:t xml:space="preserve">告</w:t>
      </w:r>
      <w:r>
        <w:rPr>
          <w:rFonts w:hint="eastAsia" w:asciiTheme="minorEastAsia" w:hAnsiTheme="minorEastAsia" w:eastAsiaTheme="minorEastAsia" w:cstheme="minorEastAsia"/>
          <w:i w:val="0"/>
          <w:iCs/>
          <w:color w:val="auto"/>
          <w:sz w:val="24"/>
          <w:szCs w:val="24"/>
          <w:highlight w:val="none"/>
          <w:u w:val="none"/>
        </w:rPr>
        <w:t xml:space="preserve">（</w:t>
      </w:r>
      <w:r>
        <w:rPr>
          <w:rFonts w:hint="eastAsia" w:asciiTheme="minorEastAsia" w:hAnsiTheme="minorEastAsia" w:eastAsiaTheme="minorEastAsia" w:cstheme="minorEastAsia"/>
          <w:i w:val="0"/>
          <w:iCs/>
          <w:color w:val="auto"/>
          <w:sz w:val="24"/>
          <w:szCs w:val="24"/>
          <w:highlight w:val="none"/>
          <w:u w:val="none"/>
          <w:lang w:val="en-US" w:eastAsia="zh-CN"/>
        </w:rPr>
        <w:t xml:space="preserve">至少提供资产负债表、利润表、现金流量表，</w:t>
      </w:r>
      <w:r>
        <w:rPr>
          <w:rFonts w:hint="eastAsia" w:asciiTheme="minorEastAsia" w:hAnsiTheme="minorEastAsia" w:eastAsiaTheme="minorEastAsia" w:cstheme="minorEastAsia"/>
          <w:i w:val="0"/>
          <w:iCs/>
          <w:color w:val="auto"/>
          <w:sz w:val="24"/>
          <w:szCs w:val="24"/>
          <w:highlight w:val="none"/>
          <w:u w:val="none"/>
        </w:rPr>
        <w:t xml:space="preserve">磋商供应商成立不满一年无需提供）</w:t>
      </w:r>
      <w:r/>
    </w:p>
    <w:p>
      <w:pPr>
        <w:pStyle w:val="887"/>
        <w:ind w:left="480"/>
        <w:jc w:val="both"/>
        <w:spacing w:beforeAutospacing="0" w:afterAutospacing="0"/>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lang w:val="en-US" w:eastAsia="zh-CN"/>
        </w:rPr>
        <w:t xml:space="preserve">三</w:t>
      </w:r>
      <w:r>
        <w:rPr>
          <w:rFonts w:hint="eastAsia" w:asciiTheme="minorEastAsia" w:hAnsiTheme="minorEastAsia" w:eastAsiaTheme="minorEastAsia" w:cstheme="minorEastAsia"/>
          <w:i w:val="0"/>
          <w:iCs/>
          <w:color w:val="auto"/>
          <w:sz w:val="24"/>
          <w:szCs w:val="24"/>
          <w:highlight w:val="none"/>
          <w:u w:val="none"/>
        </w:rPr>
        <w:t xml:space="preserve">、具备履行合同所必需的设备和专业技术能力的书面声明</w:t>
      </w:r>
      <w:r/>
    </w:p>
    <w:p>
      <w:pPr>
        <w:pStyle w:val="887"/>
        <w:ind w:left="480"/>
        <w:jc w:val="both"/>
        <w:spacing w:beforeAutospacing="0" w:afterAutospacing="0"/>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lang w:val="en-US" w:eastAsia="zh-CN"/>
        </w:rPr>
        <w:t xml:space="preserve">四</w:t>
      </w:r>
      <w:r>
        <w:rPr>
          <w:rFonts w:hint="eastAsia" w:asciiTheme="minorEastAsia" w:hAnsiTheme="minorEastAsia" w:eastAsiaTheme="minorEastAsia" w:cstheme="minorEastAsia"/>
          <w:i w:val="0"/>
          <w:iCs/>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87"/>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五、参加政府采购活动前 3 年内在经营活动中没有重大违法记录的书面声明</w:t>
      </w:r>
      <w:r/>
    </w:p>
    <w:p>
      <w:pPr>
        <w:pStyle w:val="887"/>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六、特定资格要求的证明文件（如果本项目设置特定资格要求，则需要提供）</w:t>
      </w:r>
      <w:r/>
    </w:p>
    <w:p>
      <w:pPr>
        <w:pStyle w:val="887"/>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七、法人授权书</w:t>
      </w:r>
      <w:r/>
    </w:p>
    <w:p>
      <w:pPr>
        <w:pStyle w:val="887"/>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八、磋商响应函</w:t>
      </w:r>
      <w:r/>
    </w:p>
    <w:p>
      <w:pPr>
        <w:pStyle w:val="887"/>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九、</w:t>
      </w:r>
      <w:r>
        <w:rPr>
          <w:rFonts w:hint="eastAsia" w:asciiTheme="minorEastAsia" w:hAnsiTheme="minorEastAsia" w:eastAsiaTheme="minorEastAsia" w:cstheme="minorEastAsia"/>
          <w:i w:val="0"/>
          <w:iCs/>
          <w:color w:val="auto"/>
          <w:sz w:val="24"/>
          <w:szCs w:val="24"/>
          <w:highlight w:val="none"/>
          <w:u w:val="none"/>
          <w:lang w:val="en-US" w:eastAsia="zh-CN"/>
        </w:rPr>
        <w:t xml:space="preserve">中小</w:t>
      </w:r>
      <w:r>
        <w:rPr>
          <w:rFonts w:hint="eastAsia" w:asciiTheme="minorEastAsia" w:hAnsiTheme="minorEastAsia" w:eastAsiaTheme="minorEastAsia" w:cstheme="minorEastAsia"/>
          <w:i w:val="0"/>
          <w:iCs/>
          <w:color w:val="auto"/>
          <w:sz w:val="24"/>
          <w:szCs w:val="24"/>
          <w:highlight w:val="none"/>
          <w:u w:val="none"/>
        </w:rPr>
        <w:t xml:space="preserve">企业声明函</w:t>
      </w:r>
      <w:r/>
    </w:p>
    <w:p>
      <w:pPr>
        <w:pStyle w:val="887"/>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十、残疾人福利性单位声明函</w:t>
      </w:r>
      <w:r/>
    </w:p>
    <w:p>
      <w:pPr>
        <w:pStyle w:val="887"/>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一</w:t>
      </w:r>
      <w:r>
        <w:rPr>
          <w:rFonts w:hint="eastAsia" w:asciiTheme="minorEastAsia" w:hAnsiTheme="minorEastAsia" w:eastAsiaTheme="minorEastAsia" w:cstheme="minorEastAsia"/>
          <w:i w:val="0"/>
          <w:iCs/>
          <w:color w:val="auto"/>
          <w:sz w:val="24"/>
          <w:szCs w:val="24"/>
          <w:highlight w:val="none"/>
          <w:u w:val="none"/>
        </w:rPr>
        <w:t xml:space="preserve">、联合体协议</w:t>
      </w:r>
      <w:r/>
    </w:p>
    <w:p>
      <w:pPr>
        <w:pStyle w:val="887"/>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eastAsiaTheme="minorEastAsia" w:cstheme="minorEastAsia"/>
          <w:i w:val="0"/>
          <w:iCs/>
          <w:color w:val="auto"/>
          <w:sz w:val="24"/>
          <w:szCs w:val="24"/>
          <w:highlight w:val="none"/>
          <w:u w:val="none"/>
        </w:rPr>
        <w:t xml:space="preserve">二</w:t>
      </w:r>
      <w:r>
        <w:rPr>
          <w:rFonts w:hint="eastAsia" w:asciiTheme="minorEastAsia" w:hAnsiTheme="minorEastAsia" w:eastAsiaTheme="minorEastAsia" w:cstheme="minorEastAsia"/>
          <w:i w:val="0"/>
          <w:iCs/>
          <w:color w:val="auto"/>
          <w:sz w:val="24"/>
          <w:szCs w:val="24"/>
          <w:highlight w:val="none"/>
          <w:u w:val="none"/>
        </w:rPr>
        <w:t xml:space="preserve">、分项报价表</w:t>
      </w:r>
      <w:r/>
    </w:p>
    <w:p>
      <w:pPr>
        <w:pStyle w:val="887"/>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eastAsiaTheme="minorEastAsia" w:cstheme="minorEastAsia"/>
          <w:i w:val="0"/>
          <w:iCs/>
          <w:color w:val="auto"/>
          <w:sz w:val="24"/>
          <w:szCs w:val="24"/>
          <w:highlight w:val="none"/>
          <w:u w:val="none"/>
        </w:rPr>
        <w:t xml:space="preserve">三</w:t>
      </w:r>
      <w:r>
        <w:rPr>
          <w:rFonts w:hint="eastAsia" w:asciiTheme="minorEastAsia" w:hAnsiTheme="minorEastAsia" w:eastAsiaTheme="minorEastAsia" w:cstheme="minorEastAsia"/>
          <w:i w:val="0"/>
          <w:iCs/>
          <w:color w:val="auto"/>
          <w:sz w:val="24"/>
          <w:szCs w:val="24"/>
          <w:highlight w:val="none"/>
          <w:u w:val="none"/>
        </w:rPr>
        <w:t xml:space="preserve">、技术要求响应及偏离</w:t>
      </w:r>
      <w:r>
        <w:rPr>
          <w:rFonts w:hint="eastAsia" w:asciiTheme="minorEastAsia" w:hAnsiTheme="minorEastAsia" w:eastAsiaTheme="minorEastAsia" w:cstheme="minorEastAsia"/>
          <w:i w:val="0"/>
          <w:iCs/>
          <w:color w:val="auto"/>
          <w:sz w:val="24"/>
          <w:szCs w:val="24"/>
          <w:highlight w:val="none"/>
          <w:u w:val="none"/>
        </w:rPr>
        <w:t xml:space="preserve">表</w:t>
      </w:r>
      <w:r/>
    </w:p>
    <w:p>
      <w:pPr>
        <w:pStyle w:val="887"/>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eastAsiaTheme="minorEastAsia" w:cstheme="minorEastAsia"/>
          <w:i w:val="0"/>
          <w:iCs/>
          <w:color w:val="auto"/>
          <w:sz w:val="24"/>
          <w:szCs w:val="24"/>
          <w:highlight w:val="none"/>
          <w:u w:val="none"/>
        </w:rPr>
        <w:t xml:space="preserve">四</w:t>
      </w:r>
      <w:r>
        <w:rPr>
          <w:rFonts w:hint="eastAsia" w:asciiTheme="minorEastAsia" w:hAnsiTheme="minorEastAsia" w:eastAsiaTheme="minorEastAsia" w:cstheme="minorEastAsia"/>
          <w:i w:val="0"/>
          <w:iCs/>
          <w:color w:val="auto"/>
          <w:sz w:val="24"/>
          <w:szCs w:val="24"/>
          <w:highlight w:val="none"/>
          <w:u w:val="none"/>
        </w:rPr>
        <w:t xml:space="preserve">、商务要求响应及偏离表</w:t>
      </w:r>
      <w:r/>
    </w:p>
    <w:p>
      <w:pPr>
        <w:pStyle w:val="887"/>
        <w:ind w:left="480"/>
        <w:jc w:val="both"/>
        <w:spacing w:beforeAutospacing="0" w:afterAutospacing="0"/>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eastAsiaTheme="minorEastAsia" w:cstheme="minorEastAsia"/>
          <w:i w:val="0"/>
          <w:iCs/>
          <w:color w:val="auto"/>
          <w:sz w:val="24"/>
          <w:szCs w:val="24"/>
          <w:highlight w:val="none"/>
          <w:u w:val="none"/>
        </w:rPr>
        <w:t xml:space="preserve">五</w:t>
      </w:r>
      <w:r>
        <w:rPr>
          <w:rFonts w:hint="eastAsia" w:asciiTheme="minorEastAsia" w:hAnsiTheme="minorEastAsia" w:eastAsiaTheme="minorEastAsia" w:cstheme="minorEastAsia"/>
          <w:i w:val="0"/>
          <w:iCs/>
          <w:color w:val="auto"/>
          <w:sz w:val="24"/>
          <w:szCs w:val="24"/>
          <w:highlight w:val="none"/>
          <w:u w:val="none"/>
        </w:rPr>
        <w:t xml:space="preserve">、开标一览表</w:t>
      </w:r>
      <w:r/>
    </w:p>
    <w:p>
      <w:pPr>
        <w:ind w:firstLine="480"/>
        <w:spacing w:before="50" w:after="50"/>
        <w:widowControl/>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eastAsiaTheme="minorEastAsia" w:cstheme="minorEastAsia"/>
          <w:i w:val="0"/>
          <w:iCs/>
          <w:color w:val="auto"/>
          <w:sz w:val="24"/>
          <w:szCs w:val="24"/>
          <w:highlight w:val="none"/>
          <w:u w:val="none"/>
        </w:rPr>
        <w:t xml:space="preserve">六</w:t>
      </w:r>
      <w:r>
        <w:rPr>
          <w:rFonts w:hint="eastAsia" w:asciiTheme="minorEastAsia" w:hAnsiTheme="minorEastAsia" w:eastAsiaTheme="minorEastAsia" w:cstheme="minorEastAsia"/>
          <w:i w:val="0"/>
          <w:iCs/>
          <w:color w:val="auto"/>
          <w:sz w:val="24"/>
          <w:szCs w:val="24"/>
          <w:highlight w:val="none"/>
          <w:u w:val="none"/>
        </w:rPr>
        <w:t xml:space="preserve">、技术方案、服务承诺、培训承诺等</w:t>
      </w:r>
      <w:r/>
    </w:p>
    <w:p>
      <w:pPr>
        <w:pStyle w:val="887"/>
        <w:ind w:firstLine="480"/>
        <w:jc w:val="both"/>
        <w:spacing w:beforeAutospacing="0" w:afterAutospacing="0" w:line="360" w:lineRule="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eastAsiaTheme="minorEastAsia" w:cstheme="minorEastAsia"/>
          <w:i w:val="0"/>
          <w:iCs/>
          <w:color w:val="auto"/>
          <w:sz w:val="24"/>
          <w:szCs w:val="24"/>
          <w:highlight w:val="none"/>
          <w:u w:val="none"/>
        </w:rPr>
        <w:t xml:space="preserve">七</w:t>
      </w:r>
      <w:r>
        <w:rPr>
          <w:rFonts w:hint="eastAsia" w:asciiTheme="minorEastAsia" w:hAnsiTheme="minorEastAsia" w:eastAsiaTheme="minorEastAsia" w:cstheme="minorEastAsia"/>
          <w:i w:val="0"/>
          <w:iCs/>
          <w:color w:val="auto"/>
          <w:sz w:val="24"/>
          <w:szCs w:val="24"/>
          <w:highlight w:val="none"/>
          <w:u w:val="none"/>
        </w:rPr>
        <w:t xml:space="preserve">、盐城市政府采购事前信用承诺书</w:t>
      </w:r>
      <w:r/>
    </w:p>
    <w:p>
      <w:pPr>
        <w:pStyle w:val="887"/>
        <w:ind w:firstLine="480"/>
        <w:jc w:val="both"/>
        <w:spacing w:beforeAutospacing="0" w:afterAutospacing="0" w:line="0" w:lineRule="atLeast"/>
        <w:rPr>
          <w:color w:val="auto"/>
          <w:highlight w:val="none"/>
        </w:rPr>
      </w:pPr>
      <w:r>
        <w:rPr>
          <w:color w:val="auto"/>
          <w:highlight w:val="none"/>
        </w:rPr>
      </w:r>
      <w:r/>
    </w:p>
    <w:p>
      <w:pPr>
        <w:pStyle w:val="887"/>
        <w:ind w:firstLine="480"/>
        <w:jc w:val="both"/>
        <w:spacing w:beforeAutospacing="0" w:afterAutospacing="0" w:line="0" w:lineRule="atLeast"/>
        <w:rPr>
          <w:color w:val="auto"/>
          <w:highlight w:val="none"/>
        </w:rPr>
      </w:pPr>
      <w:r>
        <w:rPr>
          <w:color w:val="auto"/>
          <w:highlight w:val="none"/>
        </w:rPr>
        <w:t xml:space="preserve"> </w:t>
      </w:r>
      <w:r/>
    </w:p>
    <w:p>
      <w:pPr>
        <w:pStyle w:val="887"/>
        <w:ind w:firstLine="480"/>
        <w:jc w:val="both"/>
        <w:spacing w:beforeAutospacing="0" w:afterAutospacing="0" w:line="0" w:lineRule="atLeast"/>
        <w:rPr>
          <w:color w:val="auto"/>
          <w:highlight w:val="none"/>
        </w:rPr>
      </w:pPr>
      <w:r>
        <w:rPr>
          <w:color w:val="auto"/>
          <w:highlight w:val="none"/>
        </w:rPr>
        <w:t xml:space="preserve"> </w:t>
      </w:r>
      <w:r/>
    </w:p>
    <w:p>
      <w:pPr>
        <w:pStyle w:val="887"/>
        <w:ind w:firstLine="480"/>
        <w:jc w:val="both"/>
        <w:spacing w:beforeAutospacing="0" w:afterAutospacing="0" w:line="0" w:lineRule="atLeast"/>
        <w:rPr>
          <w:color w:val="auto"/>
          <w:highlight w:val="none"/>
        </w:rPr>
      </w:pPr>
      <w:r>
        <w:rPr>
          <w:color w:val="auto"/>
          <w:highlight w:val="none"/>
        </w:rPr>
        <w:t xml:space="preserve"> </w:t>
      </w:r>
      <w:r/>
    </w:p>
    <w:p>
      <w:pPr>
        <w:pStyle w:val="887"/>
        <w:ind w:firstLine="480"/>
        <w:jc w:val="both"/>
        <w:spacing w:beforeAutospacing="0" w:afterAutospacing="0" w:line="0" w:lineRule="atLeast"/>
        <w:rPr>
          <w:color w:val="auto"/>
          <w:highlight w:val="none"/>
        </w:rPr>
      </w:pPr>
      <w:r>
        <w:rPr>
          <w:color w:val="auto"/>
          <w:highlight w:val="none"/>
        </w:rPr>
        <w:t xml:space="preserve"> </w:t>
      </w:r>
      <w:r/>
    </w:p>
    <w:p>
      <w:pPr>
        <w:pStyle w:val="887"/>
        <w:ind w:firstLine="480"/>
        <w:jc w:val="both"/>
        <w:spacing w:beforeAutospacing="0" w:afterAutospacing="0" w:line="0" w:lineRule="atLeast"/>
        <w:rPr>
          <w:color w:val="auto"/>
          <w:highlight w:val="none"/>
        </w:rPr>
      </w:pPr>
      <w:r>
        <w:rPr>
          <w:color w:val="auto"/>
          <w:highlight w:val="none"/>
        </w:rPr>
      </w:r>
      <w:r/>
    </w:p>
    <w:p>
      <w:pPr>
        <w:pStyle w:val="887"/>
        <w:ind w:firstLine="480"/>
        <w:jc w:val="both"/>
        <w:spacing w:beforeAutospacing="0" w:afterAutospacing="0" w:line="0" w:lineRule="atLeast"/>
        <w:rPr>
          <w:color w:val="auto"/>
          <w:highlight w:val="none"/>
        </w:rPr>
      </w:pPr>
      <w:r>
        <w:rPr>
          <w:color w:val="auto"/>
          <w:highlight w:val="none"/>
        </w:rPr>
      </w:r>
      <w:r/>
    </w:p>
    <w:p>
      <w:pPr>
        <w:pStyle w:val="887"/>
        <w:ind w:firstLine="480"/>
        <w:jc w:val="both"/>
        <w:spacing w:beforeAutospacing="0" w:afterAutospacing="0" w:line="0" w:lineRule="atLeast"/>
        <w:rPr>
          <w:color w:val="auto"/>
          <w:highlight w:val="none"/>
        </w:rPr>
      </w:pPr>
      <w:r>
        <w:rPr>
          <w:color w:val="auto"/>
          <w:highlight w:val="none"/>
        </w:rPr>
      </w:r>
      <w:r/>
    </w:p>
    <w:p>
      <w:pPr>
        <w:pStyle w:val="887"/>
        <w:ind w:firstLine="480"/>
        <w:jc w:val="both"/>
        <w:spacing w:beforeAutospacing="0" w:afterAutospacing="0" w:line="0" w:lineRule="atLeast"/>
        <w:rPr>
          <w:color w:val="auto"/>
          <w:highlight w:val="none"/>
        </w:rPr>
      </w:pPr>
      <w:r>
        <w:rPr>
          <w:color w:val="auto"/>
          <w:highlight w:val="none"/>
        </w:rPr>
      </w:r>
      <w:r/>
    </w:p>
    <w:p>
      <w:pPr>
        <w:pStyle w:val="887"/>
        <w:ind w:firstLine="480"/>
        <w:jc w:val="both"/>
        <w:spacing w:beforeAutospacing="0" w:afterAutospacing="0" w:line="0" w:lineRule="atLeast"/>
        <w:rPr>
          <w:color w:val="auto"/>
          <w:highlight w:val="none"/>
        </w:rPr>
      </w:pPr>
      <w:r>
        <w:rPr>
          <w:color w:val="auto"/>
          <w:highlight w:val="none"/>
        </w:rPr>
      </w:r>
      <w:r/>
    </w:p>
    <w:p>
      <w:pPr>
        <w:pStyle w:val="887"/>
        <w:ind w:firstLine="480"/>
        <w:jc w:val="both"/>
        <w:spacing w:beforeAutospacing="0" w:afterAutospacing="0" w:line="0" w:lineRule="atLeast"/>
        <w:rPr>
          <w:color w:val="auto"/>
          <w:highlight w:val="none"/>
        </w:rPr>
      </w:pPr>
      <w:r>
        <w:rPr>
          <w:color w:val="auto"/>
          <w:highlight w:val="none"/>
        </w:rPr>
      </w:r>
      <w:r/>
    </w:p>
    <w:p>
      <w:pPr>
        <w:pStyle w:val="887"/>
        <w:ind w:firstLine="480"/>
        <w:jc w:val="both"/>
        <w:spacing w:beforeAutospacing="0" w:afterAutospacing="0" w:line="0" w:lineRule="atLeast"/>
        <w:rPr>
          <w:color w:val="auto"/>
          <w:highlight w:val="none"/>
        </w:rPr>
      </w:pPr>
      <w:r>
        <w:rPr>
          <w:color w:val="auto"/>
          <w:highlight w:val="none"/>
        </w:rPr>
      </w:r>
      <w:r/>
    </w:p>
    <w:p>
      <w:pPr>
        <w:pStyle w:val="887"/>
        <w:ind w:firstLine="480"/>
        <w:jc w:val="both"/>
        <w:spacing w:beforeAutospacing="0" w:afterAutospacing="0" w:line="0" w:lineRule="atLeast"/>
        <w:rPr>
          <w:color w:val="auto"/>
          <w:highlight w:val="none"/>
        </w:rPr>
      </w:pPr>
      <w:r>
        <w:rPr>
          <w:color w:val="auto"/>
          <w:highlight w:val="none"/>
        </w:rPr>
      </w:r>
      <w:r/>
    </w:p>
    <w:p>
      <w:pPr>
        <w:pStyle w:val="887"/>
        <w:ind w:firstLine="480"/>
        <w:jc w:val="both"/>
        <w:spacing w:beforeAutospacing="0" w:afterAutospacing="0" w:line="0" w:lineRule="atLeast"/>
        <w:rPr>
          <w:color w:val="auto"/>
          <w:highlight w:val="none"/>
        </w:rPr>
      </w:pPr>
      <w:r>
        <w:rPr>
          <w:color w:val="auto"/>
          <w:highlight w:val="none"/>
        </w:rPr>
        <w:t xml:space="preserve"> </w:t>
      </w:r>
      <w:r/>
    </w:p>
    <w:p>
      <w:pPr>
        <w:pStyle w:val="887"/>
        <w:ind w:firstLine="480"/>
        <w:jc w:val="both"/>
        <w:spacing w:beforeAutospacing="0" w:afterAutospacing="0" w:line="0" w:lineRule="atLeast"/>
        <w:rPr>
          <w:color w:val="auto"/>
          <w:highlight w:val="none"/>
        </w:rPr>
      </w:pPr>
      <w:r>
        <w:rPr>
          <w:color w:val="auto"/>
          <w:highlight w:val="none"/>
        </w:rPr>
        <w:t xml:space="preserve"> </w:t>
      </w:r>
      <w:r/>
    </w:p>
    <w:p>
      <w:pPr>
        <w:pStyle w:val="887"/>
        <w:ind w:firstLine="480"/>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887"/>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87"/>
        <w:ind w:firstLine="480"/>
        <w:jc w:val="both"/>
        <w:spacing w:beforeAutospacing="0" w:afterAutospacing="0" w:line="0" w:lineRule="atLeast"/>
        <w:rPr>
          <w:color w:val="auto"/>
          <w:highlight w:val="none"/>
        </w:rPr>
      </w:pPr>
      <w:r>
        <w:rPr>
          <w:color w:val="auto"/>
          <w:highlight w:val="none"/>
        </w:rPr>
        <w:t xml:space="preserve"> </w:t>
      </w:r>
      <w:r/>
    </w:p>
    <w:p>
      <w:pPr>
        <w:pStyle w:val="887"/>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w:t>
      </w:r>
      <w:r>
        <w:rPr>
          <w:rFonts w:hint="eastAsia" w:ascii="黑体" w:hAnsi="宋体" w:eastAsia="黑体" w:cs="黑体"/>
          <w:i/>
          <w:color w:val="auto"/>
          <w:sz w:val="32"/>
          <w:szCs w:val="32"/>
          <w:highlight w:val="none"/>
          <w:u w:val="single"/>
          <w:lang w:val="en-US" w:eastAsia="zh-CN"/>
        </w:rPr>
        <w:t xml:space="preserve">2024或2025</w:t>
      </w:r>
      <w:r>
        <w:rPr>
          <w:rFonts w:hint="eastAsia" w:ascii="黑体" w:hAnsi="宋体" w:eastAsia="黑体" w:cs="黑体"/>
          <w:i/>
          <w:color w:val="auto"/>
          <w:sz w:val="32"/>
          <w:szCs w:val="32"/>
          <w:highlight w:val="none"/>
          <w:u w:val="single"/>
        </w:rPr>
        <w:t xml:space="preserve">年度的财务状况报</w:t>
      </w:r>
      <w:r>
        <w:rPr>
          <w:rFonts w:hint="eastAsia" w:ascii="黑体" w:hAnsi="宋体" w:eastAsia="黑体" w:cs="黑体"/>
          <w:i/>
          <w:color w:val="auto"/>
          <w:sz w:val="32"/>
          <w:szCs w:val="32"/>
          <w:highlight w:val="none"/>
          <w:u w:val="single"/>
          <w:lang w:val="en-US" w:eastAsia="zh-CN"/>
        </w:rPr>
        <w:t xml:space="preserve">告</w:t>
      </w:r>
      <w:r/>
    </w:p>
    <w:p>
      <w:pPr>
        <w:ind w:firstLine="480"/>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（至少提供资产负债表、利润表、现金流量表，投标人成立不满一年无需提供）</w:t>
      </w:r>
      <w:r/>
    </w:p>
    <w:p>
      <w:pPr>
        <w:pStyle w:val="887"/>
        <w:ind w:firstLine="480"/>
        <w:jc w:val="both"/>
        <w:spacing w:beforeAutospacing="0" w:afterAutospacing="0" w:line="0" w:lineRule="atLeast"/>
        <w:rPr>
          <w:rFonts w:hint="eastAsia" w:eastAsia="宋体"/>
          <w:color w:val="auto"/>
          <w:highlight w:val="none"/>
          <w:lang w:eastAsia="zh-CN"/>
        </w:rPr>
      </w:pPr>
      <w:r>
        <w:rPr>
          <w:rFonts w:hint="eastAsia" w:eastAsia="宋体"/>
          <w:color w:val="auto"/>
          <w:highlight w:val="none"/>
          <w:lang w:eastAsia="zh-CN"/>
        </w:rPr>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887"/>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87"/>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87"/>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87"/>
        <w:jc w:val="both"/>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pStyle w:val="887"/>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887"/>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887"/>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887"/>
        <w:jc w:val="center"/>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887"/>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887"/>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887"/>
        <w:jc w:val="center"/>
        <w:spacing w:beforeAutospacing="0" w:afterAutospacing="0"/>
        <w:rPr>
          <w:rFonts w:ascii="黑体" w:hAnsi="宋体" w:eastAsia="黑体" w:cs="黑体"/>
          <w:i/>
          <w:color w:val="auto"/>
          <w:sz w:val="32"/>
          <w:szCs w:val="32"/>
          <w:highlight w:val="none"/>
          <w:u w:val="single"/>
        </w:rPr>
      </w:pPr>
      <w:r/>
      <w:bookmarkStart w:id="186" w:name="_Toc120614284"/>
      <w:r/>
      <w:r/>
    </w:p>
    <w:p>
      <w:pPr>
        <w:pStyle w:val="8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87"/>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887"/>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本授权书声明：____________（供应商名称）授权________________（被授权人的姓名）为我方就JSZC-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887"/>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887"/>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887"/>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887"/>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87"/>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单位地址：</w:t>
      </w:r>
      <w:r>
        <w:rPr>
          <w:rFonts w:ascii="Times New Roman" w:hAnsi="Times New Roman"/>
          <w:color w:val="auto"/>
          <w:highlight w:val="none"/>
          <w:u w:val="single"/>
          <w:shd w:val="clear" w:color="auto" w:fill="auto"/>
        </w:rPr>
        <w:t xml:space="preserve">                                         </w:t>
      </w:r>
      <w:r/>
    </w:p>
    <w:p>
      <w:pPr>
        <w:pStyle w:val="887"/>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日期：</w:t>
      </w:r>
      <w:bookmarkStart w:id="187" w:name="_格式3__银行出具的资信证明"/>
      <w:r/>
      <w:bookmarkStart w:id="188" w:name="_Hlt26955070"/>
      <w:r/>
      <w:bookmarkStart w:id="189" w:name="_Hlt26671380"/>
      <w:r>
        <w:rPr>
          <w:rFonts w:ascii="Times New Roman" w:hAnsi="Times New Roman"/>
          <w:color w:val="auto"/>
          <w:highlight w:val="none"/>
          <w:u w:val="single"/>
          <w:shd w:val="clear" w:color="auto" w:fill="auto"/>
        </w:rPr>
        <w:t xml:space="preserve">                                         </w:t>
      </w:r>
      <w:r/>
    </w:p>
    <w:p>
      <w:pPr>
        <w:pStyle w:val="887"/>
        <w:ind w:firstLine="360"/>
        <w:jc w:val="both"/>
        <w:spacing w:beforeAutospacing="0" w:afterAutospacing="0" w:line="0" w:lineRule="atLeast"/>
        <w:rPr>
          <w:color w:val="auto"/>
          <w:highlight w:val="none"/>
          <w:shd w:val="clear" w:color="auto" w:fill="auto"/>
        </w:rPr>
      </w:pPr>
      <w:r>
        <w:rPr>
          <w:rFonts w:ascii="楷体" w:hAnsi="楷体" w:eastAsia="楷体" w:cs="楷体"/>
          <w:color w:val="auto"/>
          <w:highlight w:val="none"/>
          <w:shd w:val="clear" w:color="auto" w:fill="auto"/>
        </w:rPr>
        <w:t xml:space="preserve">备注 我公司（单位）委托进行现场演示的人员为（本项目如果无现场演示要求，请项目经办人自行删除备注）</w:t>
      </w:r>
      <w:r/>
    </w:p>
    <w:p>
      <w:pPr>
        <w:pStyle w:val="887"/>
        <w:jc w:val="both"/>
        <w:spacing w:beforeAutospacing="0" w:afterAutospacing="0" w:line="0" w:lineRule="atLeast"/>
        <w:rPr>
          <w:color w:val="auto"/>
          <w:highlight w:val="none"/>
          <w:shd w:val="clear" w:color="auto" w:fill="auto"/>
        </w:rPr>
      </w:pPr>
      <w:r>
        <w:rPr>
          <w:rFonts w:hint="eastAsia" w:ascii="楷体" w:hAnsi="楷体" w:eastAsia="楷体" w:cs="楷体"/>
          <w:color w:val="auto"/>
          <w:highlight w:val="none"/>
          <w:u w:val="single"/>
          <w:shd w:val="clear" w:color="auto" w:fill="auto"/>
        </w:rPr>
        <w:t xml:space="preserve">        </w:t>
      </w:r>
      <w:r>
        <w:rPr>
          <w:rFonts w:hint="eastAsia" w:ascii="楷体" w:hAnsi="楷体" w:eastAsia="楷体" w:cs="楷体"/>
          <w:color w:val="auto"/>
          <w:highlight w:val="none"/>
          <w:shd w:val="clear" w:color="auto" w:fill="auto"/>
        </w:rPr>
        <w:t xml:space="preserve">（人员姓名），身份证号</w:t>
      </w:r>
      <w:r>
        <w:rPr>
          <w:rFonts w:hint="eastAsia" w:ascii="楷体" w:hAnsi="楷体" w:eastAsia="楷体" w:cs="楷体"/>
          <w:color w:val="auto"/>
          <w:highlight w:val="none"/>
          <w:u w:val="single"/>
          <w:shd w:val="clear" w:color="auto" w:fill="auto"/>
        </w:rPr>
        <w:t xml:space="preserve">         </w:t>
      </w:r>
      <w:r>
        <w:rPr>
          <w:rFonts w:hint="eastAsia" w:ascii="楷体" w:hAnsi="楷体" w:eastAsia="楷体" w:cs="楷体"/>
          <w:color w:val="auto"/>
          <w:highlight w:val="none"/>
          <w:shd w:val="clear" w:color="auto" w:fill="auto"/>
        </w:rPr>
        <w:t xml:space="preserve">。</w:t>
      </w:r>
      <w:r/>
    </w:p>
    <w:p>
      <w:pPr>
        <w:pStyle w:val="887"/>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w:t>
      </w:r>
      <w:r/>
    </w:p>
    <w:p>
      <w:pPr>
        <w:pStyle w:val="887"/>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887"/>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887"/>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ind w:firstLine="3390"/>
        <w:jc w:val="both"/>
        <w:keepLines/>
        <w:keepNext/>
        <w:spacing w:before="260" w:beforeAutospacing="0" w:after="260" w:afterAutospacing="0" w:line="415" w:lineRule="auto"/>
        <w:rPr>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i/>
          <w:color w:val="auto"/>
          <w:sz w:val="32"/>
          <w:szCs w:val="32"/>
          <w:highlight w:val="none"/>
          <w:u w:val="single"/>
        </w:rPr>
        <w:t xml:space="preserve">八、磋商响应函</w:t>
      </w:r>
      <w:r/>
    </w:p>
    <w:p>
      <w:pPr>
        <w:pStyle w:val="887"/>
        <w:spacing w:beforeAutospacing="0" w:afterAutospacing="0" w:line="0" w:lineRule="atLeast"/>
        <w:rPr>
          <w:color w:val="auto"/>
          <w:highlight w:val="none"/>
        </w:rPr>
      </w:pPr>
      <w:r>
        <w:rPr>
          <w:rFonts w:hint="eastAsia" w:ascii="宋体" w:hAnsi="宋体" w:eastAsia="宋体" w:cs="宋体"/>
          <w:color w:val="auto"/>
          <w:highlight w:val="none"/>
        </w:rPr>
        <w:t xml:space="preserve">致：盐城市政府采购中心</w:t>
      </w:r>
      <w:r/>
    </w:p>
    <w:p>
      <w:pPr>
        <w:pStyle w:val="88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根据贵方的JSZC-320900-***</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w:t>
      </w:r>
      <w:r>
        <w:rPr>
          <w:rFonts w:hint="eastAsia" w:ascii="宋体" w:hAnsi="宋体" w:eastAsia="宋体" w:cs="宋体"/>
          <w:color w:val="auto"/>
          <w:highlight w:val="none"/>
          <w:lang w:eastAsia="zh-CN"/>
        </w:rPr>
        <w:t xml:space="preserve">磋商邀请文件</w:t>
      </w:r>
      <w:r>
        <w:rPr>
          <w:rFonts w:hint="eastAsia" w:ascii="宋体" w:hAnsi="宋体" w:eastAsia="宋体" w:cs="宋体"/>
          <w:color w:val="auto"/>
          <w:highlight w:val="none"/>
        </w:rPr>
        <w:t xml:space="preserve">，正式授权下述签字人______(姓名)代表我方______________（供应商的名称），全权处理本次项目磋商的有关事宜。</w:t>
      </w:r>
      <w:r/>
    </w:p>
    <w:p>
      <w:pPr>
        <w:pStyle w:val="88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88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w:t>
      </w:r>
      <w:r>
        <w:rPr>
          <w:rFonts w:hint="eastAsia" w:ascii="宋体" w:hAnsi="宋体" w:eastAsia="宋体" w:cs="宋体"/>
          <w:color w:val="auto"/>
          <w:highlight w:val="none"/>
          <w:lang w:eastAsia="zh-CN"/>
        </w:rPr>
        <w:t xml:space="preserve">磋商邀请文件</w:t>
      </w:r>
      <w:r>
        <w:rPr>
          <w:rFonts w:hint="eastAsia" w:ascii="宋体" w:hAnsi="宋体" w:eastAsia="宋体" w:cs="宋体"/>
          <w:color w:val="auto"/>
          <w:highlight w:val="none"/>
        </w:rPr>
        <w:t xml:space="preserve">规定的各项要求，向买方提供所需货物、服务（包含与货物相关的服务及与服务相关的货物）。</w:t>
      </w:r>
      <w:r/>
    </w:p>
    <w:p>
      <w:pPr>
        <w:pStyle w:val="88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2.我们完全理解贵方不一定将合同授予最低报价的供应商。</w:t>
      </w:r>
      <w:r/>
    </w:p>
    <w:p>
      <w:pPr>
        <w:pStyle w:val="88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w:t>
      </w:r>
      <w:r>
        <w:rPr>
          <w:rFonts w:hint="eastAsia" w:ascii="宋体" w:hAnsi="宋体" w:eastAsia="宋体" w:cs="宋体"/>
          <w:color w:val="auto"/>
          <w:highlight w:val="none"/>
          <w:lang w:eastAsia="zh-CN"/>
        </w:rPr>
        <w:t xml:space="preserve">磋商邀请文件</w:t>
      </w:r>
      <w:r>
        <w:rPr>
          <w:rFonts w:hint="eastAsia" w:ascii="宋体" w:hAnsi="宋体" w:eastAsia="宋体" w:cs="宋体"/>
          <w:color w:val="auto"/>
          <w:highlight w:val="none"/>
        </w:rPr>
        <w:t xml:space="preserve">及其有效补充文件，我们知道必须放弃提出含糊不清或误解问题的权利。</w:t>
      </w:r>
      <w:r/>
    </w:p>
    <w:p>
      <w:pPr>
        <w:pStyle w:val="88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4.我们同意从规定的开标日期起遵循本响应文件，并在规定的磋商有效期期满之前均具有约束力。</w:t>
      </w:r>
      <w:r/>
    </w:p>
    <w:p>
      <w:pPr>
        <w:pStyle w:val="88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5.同意向贵方提供贵方可能另外要求的与磋商有关的任何证据或资料，并保证我方已提供和将要提供的文件是真实的、准确的。</w:t>
      </w:r>
      <w:r/>
    </w:p>
    <w:p>
      <w:pPr>
        <w:pStyle w:val="88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6.一旦我方成交,我方将根据</w:t>
      </w:r>
      <w:r>
        <w:rPr>
          <w:rFonts w:hint="eastAsia" w:ascii="宋体" w:hAnsi="宋体" w:eastAsia="宋体" w:cs="宋体"/>
          <w:color w:val="auto"/>
          <w:highlight w:val="none"/>
          <w:lang w:eastAsia="zh-CN"/>
        </w:rPr>
        <w:t xml:space="preserve">磋商邀请文件</w:t>
      </w:r>
      <w:r>
        <w:rPr>
          <w:rFonts w:hint="eastAsia" w:ascii="宋体" w:hAnsi="宋体" w:eastAsia="宋体" w:cs="宋体"/>
          <w:color w:val="auto"/>
          <w:highlight w:val="none"/>
        </w:rPr>
        <w:t xml:space="preserve">的规定，严格履行合同的责任和义务,并保证在</w:t>
      </w:r>
      <w:r>
        <w:rPr>
          <w:rFonts w:hint="eastAsia" w:ascii="宋体" w:hAnsi="宋体" w:eastAsia="宋体" w:cs="宋体"/>
          <w:color w:val="auto"/>
          <w:highlight w:val="none"/>
          <w:lang w:eastAsia="zh-CN"/>
        </w:rPr>
        <w:t xml:space="preserve">磋商邀请文件</w:t>
      </w:r>
      <w:r>
        <w:rPr>
          <w:rFonts w:hint="eastAsia" w:ascii="宋体" w:hAnsi="宋体" w:eastAsia="宋体" w:cs="宋体"/>
          <w:color w:val="auto"/>
          <w:highlight w:val="none"/>
        </w:rPr>
        <w:t xml:space="preserve">规定的时间完成项目，交付买方验收、使用。</w:t>
      </w:r>
      <w:r/>
    </w:p>
    <w:p>
      <w:pPr>
        <w:pStyle w:val="887"/>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7.我方与本磋商有关的正式通讯地址为：</w:t>
      </w:r>
      <w:r/>
    </w:p>
    <w:p>
      <w:pPr>
        <w:pStyle w:val="88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88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88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88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88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供应商开户行：</w:t>
      </w:r>
      <w:r/>
    </w:p>
    <w:p>
      <w:pPr>
        <w:pStyle w:val="88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88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887"/>
        <w:ind w:firstLine="240"/>
        <w:jc w:val="center"/>
        <w:spacing w:beforeAutospacing="0" w:afterAutospacing="0" w:line="0" w:lineRule="atLeast"/>
        <w:rPr>
          <w:color w:val="auto"/>
          <w:highlight w:val="none"/>
        </w:rPr>
      </w:pPr>
      <w:r>
        <w:rPr>
          <w:color w:val="auto"/>
          <w:highlight w:val="none"/>
        </w:rPr>
        <w:t xml:space="preserve"> </w:t>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t xml:space="preserve"> </w:t>
      </w:r>
      <w:r/>
    </w:p>
    <w:p>
      <w:pPr>
        <w:pStyle w:val="887"/>
        <w:ind w:firstLine="240"/>
        <w:jc w:val="center"/>
        <w:spacing w:beforeAutospacing="0" w:afterAutospacing="0" w:line="0" w:lineRule="atLeast"/>
        <w:rPr>
          <w:color w:val="auto"/>
          <w:highlight w:val="none"/>
        </w:rPr>
      </w:pPr>
      <w:r>
        <w:rPr>
          <w:color w:val="auto"/>
          <w:highlight w:val="none"/>
        </w:rPr>
        <w:t xml:space="preserve"> </w:t>
      </w:r>
      <w:r/>
    </w:p>
    <w:p>
      <w:pPr>
        <w:pStyle w:val="887"/>
        <w:ind w:firstLine="240"/>
        <w:jc w:val="center"/>
        <w:spacing w:beforeAutospacing="0" w:afterAutospacing="0" w:line="0" w:lineRule="atLeast"/>
        <w:rPr>
          <w:color w:val="auto"/>
          <w:highlight w:val="none"/>
        </w:rPr>
      </w:pPr>
      <w:r>
        <w:rPr>
          <w:color w:val="auto"/>
          <w:highlight w:val="none"/>
        </w:rPr>
        <w:t xml:space="preserve"> </w:t>
      </w:r>
      <w:r/>
    </w:p>
    <w:p>
      <w:pPr>
        <w:pStyle w:val="887"/>
        <w:ind w:firstLine="240"/>
        <w:jc w:val="center"/>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line="0" w:lineRule="atLeast"/>
        <w:rPr>
          <w:color w:val="auto"/>
          <w:highlight w:val="none"/>
        </w:rPr>
      </w:pPr>
      <w:r>
        <w:rPr>
          <w:color w:val="auto"/>
          <w:highlight w:val="none"/>
        </w:rPr>
        <w:t xml:space="preserve"> </w:t>
      </w: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号）的规定，本公司（联合体）参加盐城市政府采购中心组织的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7"/>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磋商邀请文件</w:t>
      </w:r>
      <w:r>
        <w:rPr>
          <w:rFonts w:hint="eastAsia"/>
          <w:i/>
          <w:iCs/>
          <w:color w:val="auto"/>
          <w:sz w:val="24"/>
          <w:highlight w:val="none"/>
          <w:u w:val="single"/>
        </w:rPr>
        <w:t xml:space="preserve">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7"/>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磋商邀请文件</w:t>
      </w:r>
      <w:r>
        <w:rPr>
          <w:rFonts w:hint="eastAsia"/>
          <w:i/>
          <w:iCs/>
          <w:color w:val="auto"/>
          <w:sz w:val="24"/>
          <w:highlight w:val="none"/>
          <w:u w:val="single"/>
        </w:rPr>
        <w:t xml:space="preserve">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87"/>
        <w:ind w:right="720"/>
        <w:jc w:val="both"/>
        <w:spacing w:beforeAutospacing="0" w:afterAutospacing="0" w:line="0" w:lineRule="atLeast"/>
        <w:rPr>
          <w:color w:val="auto"/>
          <w:highlight w:val="none"/>
        </w:rPr>
      </w:pPr>
      <w:r>
        <w:rPr>
          <w:color w:val="auto"/>
          <w:highlight w:val="none"/>
        </w:rPr>
        <w:t xml:space="preserve"> </w:t>
      </w:r>
      <w:r/>
    </w:p>
    <w:p>
      <w:pPr>
        <w:pStyle w:val="887"/>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87"/>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87"/>
        <w:ind w:firstLine="240"/>
        <w:jc w:val="both"/>
        <w:spacing w:beforeAutospacing="0" w:afterAutospacing="0" w:line="0" w:lineRule="atLeast"/>
        <w:rPr>
          <w:color w:val="auto"/>
          <w:highlight w:val="none"/>
        </w:rPr>
      </w:pPr>
      <w:r>
        <w:rPr>
          <w:color w:val="auto"/>
          <w:highlight w:val="none"/>
        </w:rPr>
        <w:t xml:space="preserve"> </w:t>
      </w:r>
      <w:r/>
    </w:p>
    <w:p>
      <w:pPr>
        <w:pStyle w:val="88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8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87"/>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十、残疾人福利性单位声明函（分包号：**）</w:t>
      </w:r>
      <w:r/>
    </w:p>
    <w:p>
      <w:pPr>
        <w:pStyle w:val="88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w:t>
      </w:r>
      <w:r>
        <w:rPr>
          <w:rFonts w:hint="eastAsia" w:ascii="宋体" w:hAnsi="宋体" w:eastAsia="宋体" w:cs="宋体"/>
          <w:color w:val="auto"/>
          <w:highlight w:val="none"/>
          <w:lang w:val="en-US" w:eastAsia="zh-CN"/>
        </w:rPr>
        <w:t xml:space="preserve">磋商邀请文件</w:t>
      </w:r>
      <w:r>
        <w:rPr>
          <w:rFonts w:hint="eastAsia" w:ascii="宋体" w:hAnsi="宋体" w:eastAsia="宋体" w:cs="宋体"/>
          <w:color w:val="auto"/>
          <w:highlight w:val="none"/>
        </w:rPr>
        <w:t xml:space="preserve">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88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87"/>
        <w:ind w:firstLine="480"/>
        <w:jc w:val="both"/>
        <w:spacing w:beforeAutospacing="0" w:afterAutospacing="0" w:line="0" w:lineRule="atLeast"/>
        <w:rPr>
          <w:color w:val="auto"/>
          <w:highlight w:val="none"/>
        </w:rPr>
      </w:pPr>
      <w:r>
        <w:rPr>
          <w:color w:val="auto"/>
          <w:highlight w:val="none"/>
        </w:rPr>
        <w:t xml:space="preserve"> </w:t>
      </w:r>
      <w:r/>
    </w:p>
    <w:p>
      <w:pPr>
        <w:pStyle w:val="88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。2、成交供应商为残疾人福利单位的，此声明函将随成交结果，接受社会监督）</w:t>
      </w:r>
      <w:r/>
    </w:p>
    <w:p>
      <w:pPr>
        <w:pStyle w:val="887"/>
        <w:ind w:firstLine="624"/>
        <w:jc w:val="both"/>
        <w:spacing w:beforeAutospacing="0" w:afterAutospacing="0" w:line="0" w:lineRule="atLeast"/>
        <w:rPr>
          <w:color w:val="auto"/>
          <w:highlight w:val="none"/>
        </w:rPr>
      </w:pPr>
      <w:r>
        <w:rPr>
          <w:color w:val="auto"/>
          <w:highlight w:val="none"/>
        </w:rPr>
        <w:t xml:space="preserve"> </w:t>
      </w:r>
      <w:r/>
    </w:p>
    <w:p>
      <w:pPr>
        <w:pStyle w:val="887"/>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87"/>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887"/>
        <w:jc w:val="center"/>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line="0" w:lineRule="atLeast"/>
        <w:rPr>
          <w:color w:val="auto"/>
          <w:highlight w:val="none"/>
        </w:rPr>
      </w:pPr>
      <w:r>
        <w:rPr>
          <w:color w:val="auto"/>
          <w:highlight w:val="none"/>
        </w:rPr>
      </w:r>
      <w:r/>
    </w:p>
    <w:p>
      <w:pPr>
        <w:rPr>
          <w:rFonts w:hint="eastAsia" w:ascii="黑体" w:hAnsi="黑体" w:eastAsia="黑体" w:cs="黑体"/>
          <w:b/>
          <w:color w:val="auto"/>
          <w:sz w:val="32"/>
          <w:szCs w:val="32"/>
          <w:highlight w:val="none"/>
          <w:lang w:val="en-US" w:eastAsia="zh-CN"/>
        </w:rPr>
      </w:pPr>
      <w:r>
        <w:rPr>
          <w:rFonts w:hint="eastAsia" w:ascii="黑体" w:hAnsi="黑体" w:eastAsia="黑体" w:cs="黑体"/>
          <w:b/>
          <w:color w:val="auto"/>
          <w:sz w:val="32"/>
          <w:szCs w:val="32"/>
          <w:highlight w:val="none"/>
          <w:lang w:val="en-US" w:eastAsia="zh-CN"/>
        </w:rPr>
        <w:br w:type="page" w:clear="all"/>
      </w:r>
      <w:r/>
    </w:p>
    <w:p>
      <w:pPr>
        <w:spacing w:line="241" w:lineRule="auto"/>
        <w:rPr>
          <w:rFonts w:ascii="Arial"/>
          <w:color w:val="auto"/>
          <w:sz w:val="21"/>
          <w:highlight w:val="none"/>
        </w:rPr>
      </w:pPr>
      <w:r>
        <w:rPr>
          <w:rFonts w:ascii="Arial"/>
          <w:color w:val="auto"/>
          <w:sz w:val="21"/>
          <w:highlight w:val="none"/>
        </w:rPr>
      </w:r>
      <w:r/>
    </w:p>
    <w:p>
      <w:pPr>
        <w:pStyle w:val="887"/>
        <w:jc w:val="center"/>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、联合体协议（参考格式）（分包号：**）</w:t>
      </w:r>
      <w:r/>
    </w:p>
    <w:p>
      <w:pPr>
        <w:pStyle w:val="887"/>
        <w:jc w:val="both"/>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（联合体中各供应商全称）在此达成以下协议：</w:t>
      </w:r>
      <w:r/>
    </w:p>
    <w:p>
      <w:pPr>
        <w:pStyle w:val="887"/>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自愿组成联合体，参加盐城市政府采购中心组织的采购编号为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项目（分包号：**）的政府采购活动，我联合体指定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887"/>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87"/>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87"/>
        <w:ind w:firstLine="645"/>
        <w:jc w:val="both"/>
        <w:spacing w:beforeAutospacing="0" w:afterAutospacing="0" w:line="0" w:lineRule="atLeast"/>
        <w:rPr>
          <w:color w:val="auto"/>
          <w:highlight w:val="none"/>
        </w:rPr>
      </w:pPr>
      <w:r>
        <w:rPr>
          <w:color w:val="auto"/>
          <w:highlight w:val="none"/>
        </w:rPr>
        <w:t xml:space="preserve"> </w:t>
      </w:r>
      <w:r/>
    </w:p>
    <w:p>
      <w:pPr>
        <w:pStyle w:val="887"/>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备注：本</w:t>
      </w:r>
      <w:r>
        <w:rPr>
          <w:rFonts w:hint="eastAsia" w:ascii="宋体" w:hAnsi="宋体" w:eastAsia="宋体" w:cs="宋体"/>
          <w:color w:val="auto"/>
          <w:highlight w:val="none"/>
          <w:lang w:eastAsia="zh-CN"/>
        </w:rPr>
        <w:t xml:space="preserve">磋商邀请文件</w:t>
      </w:r>
      <w:r>
        <w:rPr>
          <w:rFonts w:hint="eastAsia" w:ascii="宋体" w:hAnsi="宋体" w:eastAsia="宋体" w:cs="宋体"/>
          <w:color w:val="auto"/>
          <w:highlight w:val="none"/>
        </w:rPr>
        <w:t xml:space="preserve">中要求加盖CA电子公章的地方，仅需加盖牵头单位的CA电子公章。</w:t>
      </w:r>
      <w:r/>
    </w:p>
    <w:p>
      <w:pPr>
        <w:pStyle w:val="887"/>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887"/>
        <w:ind w:firstLine="645"/>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联合体中各供应商全称（公章）：     </w:t>
      </w:r>
      <w:r/>
    </w:p>
    <w:p>
      <w:pPr>
        <w:pStyle w:val="887"/>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日期：</w:t>
      </w:r>
      <w:r/>
    </w:p>
    <w:p>
      <w:pPr>
        <w:pStyle w:val="887"/>
        <w:ind w:firstLine="645"/>
        <w:jc w:val="both"/>
        <w:spacing w:beforeAutospacing="0" w:afterAutospacing="0" w:line="0" w:lineRule="atLeast"/>
        <w:rPr>
          <w:color w:val="auto"/>
          <w:highlight w:val="none"/>
        </w:rPr>
      </w:pPr>
      <w:r>
        <w:rPr>
          <w:color w:val="auto"/>
          <w:highlight w:val="none"/>
        </w:rPr>
        <w:t xml:space="preserve"> </w:t>
      </w:r>
      <w:r/>
    </w:p>
    <w:p>
      <w:pPr>
        <w:pStyle w:val="887"/>
        <w:jc w:val="both"/>
        <w:spacing w:beforeAutospacing="0" w:afterAutospacing="0" w:line="0" w:lineRule="atLeast"/>
        <w:rPr>
          <w:color w:val="auto"/>
          <w:highlight w:val="none"/>
        </w:rPr>
      </w:pPr>
      <w:r>
        <w:rPr>
          <w:color w:val="auto"/>
          <w:highlight w:val="none"/>
        </w:rPr>
        <w:t xml:space="preserve"> </w:t>
      </w:r>
      <w:r/>
    </w:p>
    <w:p>
      <w:pPr>
        <w:pStyle w:val="887"/>
        <w:jc w:val="both"/>
        <w:spacing w:beforeAutospacing="0" w:afterAutospacing="0" w:line="0" w:lineRule="atLeast"/>
        <w:rPr>
          <w:color w:val="auto"/>
          <w:highlight w:val="none"/>
        </w:rPr>
      </w:pPr>
      <w:r>
        <w:rPr>
          <w:color w:val="auto"/>
          <w:highlight w:val="none"/>
        </w:rPr>
        <w:t xml:space="preserve"> </w:t>
      </w:r>
      <w:r/>
    </w:p>
    <w:p>
      <w:pPr>
        <w:pStyle w:val="887"/>
        <w:jc w:val="both"/>
        <w:spacing w:beforeAutospacing="0" w:afterAutospacing="0" w:line="0" w:lineRule="atLeast"/>
        <w:rPr>
          <w:color w:val="auto"/>
          <w:highlight w:val="none"/>
        </w:rPr>
      </w:pPr>
      <w:r>
        <w:rPr>
          <w:color w:val="auto"/>
          <w:highlight w:val="none"/>
        </w:rPr>
        <w:t xml:space="preserve"> </w:t>
      </w:r>
      <w:r/>
    </w:p>
    <w:p>
      <w:pPr>
        <w:pStyle w:val="887"/>
        <w:jc w:val="both"/>
        <w:spacing w:beforeAutospacing="0" w:afterAutospacing="0" w:line="0" w:lineRule="atLeast"/>
        <w:rPr>
          <w:color w:val="auto"/>
          <w:highlight w:val="none"/>
        </w:rPr>
      </w:pPr>
      <w:r>
        <w:rPr>
          <w:color w:val="auto"/>
          <w:highlight w:val="none"/>
        </w:rPr>
        <w:t xml:space="preserve"> </w:t>
      </w:r>
      <w:r/>
    </w:p>
    <w:p>
      <w:pPr>
        <w:pStyle w:val="887"/>
        <w:jc w:val="both"/>
        <w:spacing w:beforeAutospacing="0" w:afterAutospacing="0" w:line="0" w:lineRule="atLeast"/>
        <w:rPr>
          <w:color w:val="auto"/>
          <w:highlight w:val="none"/>
        </w:rPr>
      </w:pPr>
      <w:r>
        <w:rPr>
          <w:color w:val="auto"/>
          <w:highlight w:val="none"/>
        </w:rPr>
        <w:t xml:space="preserve"> </w:t>
      </w:r>
      <w:r/>
    </w:p>
    <w:p>
      <w:pPr>
        <w:pStyle w:val="887"/>
        <w:jc w:val="both"/>
        <w:spacing w:beforeAutospacing="0" w:afterAutospacing="0" w:line="0" w:lineRule="atLeast"/>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r>
      <w:r/>
    </w:p>
    <w:p>
      <w:pPr>
        <w:pStyle w:val="887"/>
        <w:jc w:val="both"/>
        <w:spacing w:beforeAutospacing="0" w:afterAutospacing="0"/>
        <w:rPr>
          <w:color w:val="auto"/>
          <w:highlight w:val="none"/>
        </w:rPr>
      </w:pPr>
      <w:r>
        <w:rPr>
          <w:color w:val="auto"/>
          <w:highlight w:val="none"/>
        </w:rPr>
      </w:r>
      <w:r/>
    </w:p>
    <w:p>
      <w:pPr>
        <w:pStyle w:val="887"/>
        <w:jc w:val="both"/>
        <w:spacing w:beforeAutospacing="0" w:afterAutospacing="0"/>
        <w:rPr>
          <w:color w:val="auto"/>
          <w:highlight w:val="none"/>
        </w:rPr>
      </w:pPr>
      <w:r>
        <w:rPr>
          <w:color w:val="auto"/>
          <w:highlight w:val="none"/>
        </w:rPr>
      </w:r>
      <w:r/>
    </w:p>
    <w:p>
      <w:pPr>
        <w:pStyle w:val="887"/>
        <w:jc w:val="both"/>
        <w:spacing w:beforeAutospacing="0" w:afterAutospacing="0"/>
        <w:rPr>
          <w:color w:val="auto"/>
          <w:highlight w:val="none"/>
        </w:rPr>
      </w:pPr>
      <w:r>
        <w:rPr>
          <w:color w:val="auto"/>
          <w:highlight w:val="none"/>
        </w:rPr>
      </w:r>
      <w:r/>
    </w:p>
    <w:p>
      <w:pPr>
        <w:pStyle w:val="887"/>
        <w:jc w:val="both"/>
        <w:spacing w:beforeAutospacing="0" w:afterAutospacing="0"/>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lang w:val="en-US" w:eastAsia="zh-CN"/>
        </w:rPr>
        <w:t xml:space="preserve">   </w:t>
      </w:r>
      <w:bookmarkStart w:id="204" w:name="_GoBack"/>
      <w:r/>
      <w:bookmarkEnd w:id="20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、分项报价表（分包号：**）（服务类）</w:t>
      </w:r>
      <w:r/>
    </w:p>
    <w:tbl>
      <w:tblPr>
        <w:tblStyle w:val="881"/>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color w:val="auto"/>
                <w:sz w:val="24"/>
                <w:highlight w:val="none"/>
              </w:rPr>
            </w:pPr>
            <w:r>
              <w:rPr>
                <w:rFonts w:ascii="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7"/>
              <w:jc w:val="center"/>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lang w:val="en-US" w:eastAsia="zh-CN"/>
              </w:rPr>
              <w:t xml:space="preserve">业务系统</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7"/>
              <w:jc w:val="center"/>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lang w:val="en-US" w:eastAsia="zh-CN"/>
              </w:rPr>
              <w:t xml:space="preserve">一级模块</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7"/>
              <w:jc w:val="center"/>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lang w:val="en-US" w:eastAsia="zh-CN"/>
              </w:rPr>
              <w:t xml:space="preserve">二级模块</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7"/>
              <w:jc w:val="center"/>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lang w:val="en-US" w:eastAsia="zh-CN"/>
              </w:rPr>
              <w:t xml:space="preserve">功能点</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7"/>
              <w:jc w:val="center"/>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lang w:val="en-US" w:eastAsia="zh-CN"/>
              </w:rPr>
              <w:t xml:space="preserve">功能描述</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887"/>
              <w:jc w:val="center"/>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lang w:val="en-US" w:eastAsia="zh-CN"/>
              </w:rPr>
              <w:t xml:space="preserve">价格</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7"/>
              <w:jc w:val="both"/>
              <w:spacing w:beforeAutospacing="0" w:afterAutospacing="0" w:line="0" w:lineRule="atLeast"/>
              <w:rPr>
                <w:color w:val="auto"/>
                <w:highlight w:val="none"/>
              </w:rPr>
            </w:pPr>
            <w:r>
              <w:rPr>
                <w:color w:val="auto"/>
                <w:highlight w:val="none"/>
              </w:rPr>
              <w:t xml:space="preserve"> </w:t>
            </w:r>
            <w:r/>
          </w:p>
        </w:tc>
      </w:tr>
    </w:tbl>
    <w:p>
      <w:pPr>
        <w:pStyle w:val="887"/>
        <w:jc w:val="both"/>
        <w:spacing w:beforeAutospacing="0" w:afterAutospacing="0"/>
        <w:rPr>
          <w:color w:val="auto"/>
          <w:highlight w:val="none"/>
          <w:shd w:val="clear" w:color="auto" w:fill="auto"/>
        </w:rPr>
      </w:pPr>
      <w:r>
        <w:rPr>
          <w:rFonts w:hint="eastAsia" w:ascii="宋体" w:hAnsi="宋体" w:eastAsia="宋体" w:cs="宋体"/>
          <w:color w:val="auto"/>
          <w:highlight w:val="none"/>
        </w:rPr>
        <w:t xml:space="preserve">备注： 磋商报价采用总承包方式，投标人的“总报价”应包括采购人需求的服务（包含与服务相关的产品）价格、质量保证费用、培训费用及售后服务费用，项</w:t>
      </w:r>
      <w:r>
        <w:rPr>
          <w:rFonts w:hint="eastAsia" w:ascii="宋体" w:hAnsi="宋体" w:eastAsia="宋体" w:cs="宋体"/>
          <w:color w:val="auto"/>
          <w:highlight w:val="none"/>
          <w:shd w:val="clear" w:color="auto" w:fill="auto"/>
        </w:rPr>
        <w:t xml:space="preserve">目在指定地点、环境交付、安装、调试、验收所需费用和所有相关税金费用及为完成整个项目所产生的</w:t>
      </w:r>
      <w:r>
        <w:rPr>
          <w:rFonts w:hint="eastAsia" w:ascii="宋体" w:hAnsi="宋体" w:eastAsia="宋体" w:cs="宋体"/>
          <w:color w:val="auto"/>
          <w:highlight w:val="none"/>
          <w:shd w:val="clear" w:color="auto" w:fill="auto"/>
          <w:lang w:eastAsia="zh-CN"/>
        </w:rPr>
        <w:t xml:space="preserve">其他所有</w:t>
      </w:r>
      <w:r>
        <w:rPr>
          <w:rFonts w:hint="eastAsia" w:ascii="宋体" w:hAnsi="宋体" w:eastAsia="宋体" w:cs="宋体"/>
          <w:color w:val="auto"/>
          <w:highlight w:val="none"/>
          <w:shd w:val="clear" w:color="auto" w:fill="auto"/>
        </w:rPr>
        <w:t xml:space="preserve">费用。</w:t>
      </w:r>
      <w:r/>
    </w:p>
    <w:p>
      <w:pPr>
        <w:pStyle w:val="887"/>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备注：该表仅适用于项目采用货币报价的情形。项目采用折扣率报价的，请项目经办人自行设计表格。项目经办人也可根据项目实际情况对该表进行重新设计。</w:t>
      </w:r>
      <w:r>
        <w:rPr>
          <w:rFonts w:hint="eastAsia" w:ascii="宋体" w:hAnsi="宋体" w:eastAsia="宋体" w:cs="宋体"/>
          <w:color w:val="auto"/>
          <w:highlight w:val="none"/>
          <w:shd w:val="clear" w:color="auto" w:fill="auto"/>
          <w:lang w:eastAsia="zh-CN"/>
        </w:rPr>
        <w:t xml:space="preserve">磋商邀请文件</w:t>
      </w:r>
      <w:r>
        <w:rPr>
          <w:rFonts w:hint="eastAsia" w:ascii="宋体" w:hAnsi="宋体" w:eastAsia="宋体" w:cs="宋体"/>
          <w:color w:val="auto"/>
          <w:highlight w:val="none"/>
          <w:shd w:val="clear" w:color="auto" w:fill="auto"/>
        </w:rPr>
        <w:t xml:space="preserve">定稿后该备注删除。</w:t>
      </w:r>
      <w:r/>
    </w:p>
    <w:p>
      <w:pPr>
        <w:pStyle w:val="887"/>
        <w:jc w:val="both"/>
        <w:spacing w:beforeAutospacing="0" w:afterAutospacing="0"/>
        <w:rPr>
          <w:color w:val="auto"/>
          <w:highlight w:val="none"/>
          <w:shd w:val="clear" w:color="auto" w:fill="auto"/>
        </w:rPr>
      </w:pPr>
      <w:r>
        <w:rPr>
          <w:color w:val="auto"/>
          <w:highlight w:val="none"/>
          <w:shd w:val="clear" w:color="auto" w:fill="auto"/>
        </w:rPr>
      </w:r>
      <w:r/>
    </w:p>
    <w:p>
      <w:pPr>
        <w:pStyle w:val="887"/>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887"/>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、技术要求响应及偏离表（分包号：**）</w:t>
      </w:r>
      <w:r/>
    </w:p>
    <w:tbl>
      <w:tblPr>
        <w:tblStyle w:val="88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rFonts w:hint="eastAsia" w:ascii="宋体" w:hAnsi="宋体" w:eastAsia="宋体" w:cs="宋体"/>
                <w:color w:val="auto"/>
                <w:highlight w:val="none"/>
                <w:lang w:eastAsia="zh-CN"/>
              </w:rPr>
              <w:t xml:space="preserve">磋商邀请文件</w:t>
            </w:r>
            <w:r>
              <w:rPr>
                <w:rFonts w:hint="eastAsia" w:ascii="宋体" w:hAnsi="宋体" w:eastAsia="宋体" w:cs="宋体"/>
                <w:color w:val="auto"/>
                <w:highlight w:val="none"/>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87"/>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r>
    </w:tbl>
    <w:p>
      <w:pPr>
        <w:pStyle w:val="887"/>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87"/>
        <w:jc w:val="center"/>
        <w:spacing w:beforeAutospacing="0" w:afterAutospacing="0"/>
        <w:rPr>
          <w:color w:val="auto"/>
          <w:highlight w:val="none"/>
        </w:rPr>
      </w:pPr>
      <w:r>
        <w:rPr>
          <w:color w:val="auto"/>
          <w:highlight w:val="none"/>
        </w:rPr>
        <w:t xml:space="preserve"> </w:t>
      </w:r>
      <w:r/>
    </w:p>
    <w:p>
      <w:pPr>
        <w:pStyle w:val="887"/>
        <w:jc w:val="center"/>
        <w:spacing w:beforeAutospacing="0" w:afterAutospacing="0"/>
        <w:rPr>
          <w:color w:val="auto"/>
          <w:highlight w:val="none"/>
        </w:rPr>
      </w:pPr>
      <w:r>
        <w:rPr>
          <w:color w:val="auto"/>
          <w:highlight w:val="none"/>
        </w:rPr>
        <w:t xml:space="preserve"> </w:t>
      </w:r>
      <w:r/>
    </w:p>
    <w:p>
      <w:pPr>
        <w:pStyle w:val="887"/>
        <w:jc w:val="center"/>
        <w:spacing w:beforeAutospacing="0" w:afterAutospacing="0"/>
        <w:rPr>
          <w:color w:val="auto"/>
          <w:highlight w:val="none"/>
        </w:rPr>
      </w:pPr>
      <w:r>
        <w:rPr>
          <w:color w:val="auto"/>
          <w:highlight w:val="none"/>
        </w:rPr>
        <w:t xml:space="preserve"> </w:t>
      </w:r>
      <w:r/>
    </w:p>
    <w:p>
      <w:pPr>
        <w:pStyle w:val="887"/>
        <w:jc w:val="center"/>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bookmarkStart w:id="190" w:name="_Hlt26955054"/>
      <w:r>
        <w:rPr>
          <w:rFonts w:hint="eastAsia" w:ascii="黑体" w:hAnsi="宋体" w:eastAsia="黑体" w:cs="黑体"/>
          <w:b/>
          <w:color w:val="auto"/>
          <w:sz w:val="32"/>
          <w:szCs w:val="32"/>
          <w:highlight w:val="none"/>
        </w:rPr>
        <w:br w:type="page" w:clear="all"/>
      </w:r>
      <w:r/>
    </w:p>
    <w:p>
      <w:pPr>
        <w:pStyle w:val="887"/>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四</w:t>
      </w:r>
      <w:r>
        <w:rPr>
          <w:rFonts w:hint="eastAsia" w:ascii="黑体" w:hAnsi="宋体" w:eastAsia="黑体" w:cs="黑体"/>
          <w:b/>
          <w:color w:val="auto"/>
          <w:sz w:val="32"/>
          <w:szCs w:val="32"/>
          <w:highlight w:val="none"/>
        </w:rPr>
        <w:t xml:space="preserve">、商务要求响应及偏离表（分包号：**）</w:t>
      </w:r>
      <w:r/>
    </w:p>
    <w:tbl>
      <w:tblPr>
        <w:tblStyle w:val="88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bookmarkStart w:id="191" w:name="_Hlt26671372"/>
            <w:r/>
            <w:bookmarkStart w:id="192" w:name="_Hlt26955064"/>
            <w:r/>
            <w:bookmarkStart w:id="193" w:name="_Hlt26782999"/>
            <w:r/>
            <w:bookmarkStart w:id="194" w:name="_Hlt26671343"/>
            <w:r/>
            <w:bookmarkStart w:id="195" w:name="_Hlt24879081"/>
            <w:r/>
            <w:bookmarkStart w:id="196" w:name="_Hlt26955056"/>
            <w:r/>
            <w:bookmarkStart w:id="197" w:name="_Hlt26609391"/>
            <w:r/>
            <w:bookmarkStart w:id="198" w:name="_Hlt26580838"/>
            <w:r>
              <w:rPr>
                <w:rFonts w:hint="eastAsia" w:ascii="宋体" w:hAnsi="宋体" w:eastAsia="宋体" w:cs="宋体"/>
                <w:color w:val="auto"/>
                <w:highlight w:val="none"/>
              </w:rPr>
              <w:t xml:space="preserve">序号</w:t>
            </w:r>
            <w:bookmarkEnd w:id="191"/>
            <w:r/>
            <w:bookmarkEnd w:id="192"/>
            <w:r/>
            <w:bookmarkEnd w:id="193"/>
            <w:r/>
            <w:bookmarkEnd w:id="194"/>
            <w:r/>
            <w:bookmarkEnd w:id="195"/>
            <w:r/>
            <w:bookmarkEnd w:id="196"/>
            <w:r/>
            <w:bookmarkEnd w:id="197"/>
            <w:r/>
            <w:bookmarkEnd w:id="198"/>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rFonts w:hint="eastAsia" w:ascii="宋体" w:hAnsi="宋体" w:eastAsia="宋体" w:cs="宋体"/>
                <w:color w:val="auto"/>
                <w:highlight w:val="none"/>
                <w:lang w:eastAsia="zh-CN"/>
              </w:rPr>
              <w:t xml:space="preserve">磋商邀请文件</w:t>
            </w:r>
            <w:r>
              <w:rPr>
                <w:rFonts w:hint="eastAsia" w:ascii="宋体" w:hAnsi="宋体" w:eastAsia="宋体" w:cs="宋体"/>
                <w:color w:val="auto"/>
                <w:highlight w:val="none"/>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87"/>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r>
    </w:tbl>
    <w:p>
      <w:pPr>
        <w:pStyle w:val="887"/>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87"/>
        <w:jc w:val="both"/>
        <w:spacing w:beforeAutospacing="0" w:afterAutospacing="0" w:line="480" w:lineRule="auto"/>
        <w:rPr>
          <w:color w:val="auto"/>
          <w:highlight w:val="none"/>
        </w:rPr>
      </w:pPr>
      <w:r>
        <w:rPr>
          <w:color w:val="auto"/>
          <w:highlight w:val="none"/>
        </w:rPr>
        <w:t xml:space="preserve"> </w:t>
      </w:r>
      <w:r/>
    </w:p>
    <w:p>
      <w:pPr>
        <w:pStyle w:val="887"/>
        <w:jc w:val="both"/>
        <w:spacing w:beforeAutospacing="0" w:afterAutospacing="0" w:line="480" w:lineRule="auto"/>
        <w:rPr>
          <w:color w:val="auto"/>
          <w:highlight w:val="none"/>
        </w:rPr>
      </w:pPr>
      <w:r>
        <w:rPr>
          <w:color w:val="auto"/>
          <w:highlight w:val="none"/>
        </w:rPr>
        <w:t xml:space="preserve"> </w:t>
      </w:r>
      <w:r/>
    </w:p>
    <w:p>
      <w:pPr>
        <w:pStyle w:val="887"/>
        <w:jc w:val="center"/>
        <w:spacing w:beforeAutospacing="0" w:afterAutospacing="0"/>
        <w:rPr>
          <w:color w:val="auto"/>
          <w:highlight w:val="none"/>
        </w:rPr>
      </w:pPr>
      <w:r/>
      <w:bookmarkStart w:id="199" w:name="_Hlt26955066"/>
      <w:r/>
      <w:bookmarkStart w:id="200" w:name="_Hlt26671374"/>
      <w:r/>
      <w:bookmarkStart w:id="201" w:name="_Toc462564146"/>
      <w:r/>
      <w:bookmarkStart w:id="202" w:name="_格式2__法定代表人授权书"/>
      <w:r/>
      <w:bookmarkStart w:id="203" w:name="_Hlt26609389"/>
      <w:r>
        <w:rPr>
          <w:color w:val="auto"/>
          <w:highlight w:val="none"/>
        </w:rPr>
        <w:t xml:space="preserve"> </w:t>
      </w:r>
      <w:r/>
    </w:p>
    <w:p>
      <w:pPr>
        <w:pStyle w:val="887"/>
        <w:jc w:val="center"/>
        <w:spacing w:beforeAutospacing="0" w:afterAutospacing="0"/>
        <w:rPr>
          <w:color w:val="auto"/>
          <w:highlight w:val="none"/>
        </w:rPr>
      </w:pPr>
      <w:r>
        <w:rPr>
          <w:color w:val="auto"/>
          <w:highlight w:val="none"/>
        </w:rPr>
        <w:t xml:space="preserve"> </w:t>
      </w:r>
      <w:r/>
    </w:p>
    <w:p>
      <w:pPr>
        <w:pStyle w:val="887"/>
        <w:jc w:val="center"/>
        <w:spacing w:beforeAutospacing="0" w:afterAutospacing="0"/>
        <w:rPr>
          <w:color w:val="auto"/>
          <w:highlight w:val="none"/>
        </w:rPr>
      </w:pPr>
      <w:r>
        <w:rPr>
          <w:color w:val="auto"/>
          <w:highlight w:val="none"/>
        </w:rPr>
      </w:r>
      <w:r/>
    </w:p>
    <w:p>
      <w:pPr>
        <w:pStyle w:val="887"/>
        <w:jc w:val="center"/>
        <w:spacing w:beforeAutospacing="0" w:afterAutospacing="0"/>
        <w:rPr>
          <w:color w:val="auto"/>
          <w:highlight w:val="none"/>
        </w:rPr>
      </w:pPr>
      <w:r>
        <w:rPr>
          <w:color w:val="auto"/>
          <w:highlight w:val="none"/>
        </w:rPr>
      </w:r>
      <w:r/>
    </w:p>
    <w:p>
      <w:pPr>
        <w:pStyle w:val="887"/>
        <w:jc w:val="center"/>
        <w:spacing w:beforeAutospacing="0" w:afterAutospacing="0"/>
        <w:rPr>
          <w:color w:val="auto"/>
          <w:highlight w:val="none"/>
        </w:rPr>
      </w:pPr>
      <w:r>
        <w:rPr>
          <w:color w:val="auto"/>
          <w:highlight w:val="none"/>
        </w:rPr>
      </w:r>
      <w:r/>
    </w:p>
    <w:p>
      <w:pPr>
        <w:pStyle w:val="887"/>
        <w:jc w:val="center"/>
        <w:spacing w:beforeAutospacing="0" w:afterAutospacing="0"/>
        <w:rPr>
          <w:color w:val="auto"/>
          <w:highlight w:val="none"/>
        </w:rPr>
      </w:pPr>
      <w:r>
        <w:rPr>
          <w:color w:val="auto"/>
          <w:highlight w:val="none"/>
        </w:rPr>
      </w:r>
      <w:r/>
    </w:p>
    <w:p>
      <w:pPr>
        <w:pStyle w:val="887"/>
        <w:jc w:val="center"/>
        <w:spacing w:beforeAutospacing="0" w:afterAutospacing="0"/>
        <w:rPr>
          <w:color w:val="auto"/>
          <w:highlight w:val="none"/>
        </w:rPr>
      </w:pPr>
      <w:r>
        <w:rPr>
          <w:color w:val="auto"/>
          <w:highlight w:val="none"/>
        </w:rPr>
        <w:t xml:space="preserve"> </w:t>
      </w:r>
      <w:r/>
    </w:p>
    <w:p>
      <w:pPr>
        <w:pStyle w:val="887"/>
        <w:jc w:val="center"/>
        <w:spacing w:beforeAutospacing="0" w:afterAutospacing="0"/>
        <w:rPr>
          <w:color w:val="auto"/>
          <w:highlight w:val="none"/>
        </w:rPr>
      </w:pPr>
      <w:r>
        <w:rPr>
          <w:color w:val="auto"/>
          <w:highlight w:val="none"/>
        </w:rPr>
        <w:t xml:space="preserve"> </w:t>
      </w:r>
      <w:r/>
    </w:p>
    <w:p>
      <w:pPr>
        <w:pStyle w:val="887"/>
        <w:jc w:val="center"/>
        <w:spacing w:beforeAutospacing="0" w:afterAutospacing="0"/>
        <w:rPr>
          <w:color w:val="auto"/>
          <w:highlight w:val="none"/>
        </w:rPr>
      </w:pPr>
      <w:r>
        <w:rPr>
          <w:color w:val="auto"/>
          <w:highlight w:val="none"/>
        </w:rPr>
        <w:t xml:space="preserve"> </w:t>
      </w:r>
      <w:r/>
    </w:p>
    <w:p>
      <w:pPr>
        <w:pStyle w:val="887"/>
        <w:jc w:val="center"/>
        <w:spacing w:beforeAutospacing="0" w:afterAutospacing="0"/>
        <w:rPr>
          <w:color w:val="auto"/>
          <w:highlight w:val="none"/>
        </w:rPr>
      </w:pPr>
      <w:r>
        <w:rPr>
          <w:color w:val="auto"/>
          <w:highlight w:val="none"/>
        </w:rPr>
        <w:t xml:space="preserve"> </w:t>
      </w:r>
      <w:r/>
    </w:p>
    <w:p>
      <w:pPr>
        <w:pStyle w:val="887"/>
        <w:jc w:val="center"/>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887"/>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五</w:t>
      </w:r>
      <w:r>
        <w:rPr>
          <w:rFonts w:hint="eastAsia" w:ascii="黑体" w:hAnsi="宋体" w:eastAsia="黑体" w:cs="黑体"/>
          <w:b/>
          <w:i/>
          <w:color w:val="auto"/>
          <w:sz w:val="32"/>
          <w:szCs w:val="32"/>
          <w:highlight w:val="none"/>
          <w:u w:val="single"/>
        </w:rPr>
        <w:t xml:space="preserve">、开标一览表</w:t>
      </w: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本次为首次报价                                  货币单位：人民币元</w:t>
      </w:r>
      <w:r>
        <w:rPr>
          <w:rFonts w:ascii="宋体" w:hAnsi="宋体" w:cs="宋体"/>
        </w:rPr>
      </w: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项目编号：项目编号 </w:t>
      </w:r>
      <w:r>
        <w:rPr>
          <w:rFonts w:ascii="宋体" w:hAnsi="宋体" w:cs="宋体"/>
        </w:rPr>
      </w:r>
      <w:r/>
    </w:p>
    <w:tbl>
      <w:tblPr>
        <w:tblStyle w:val="733"/>
        <w:tblW w:w="0" w:type="auto"/>
        <w:tblInd w:w="-8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483"/>
        <w:gridCol w:w="2381"/>
        <w:gridCol w:w="3557"/>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83" w:type="dxa"/>
            <w:vAlign w:val="center"/>
            <w:textDirection w:val="lrTb"/>
            <w:noWrap w:val="false"/>
          </w:tcPr>
          <w:p>
            <w:pPr>
              <w:ind w:left="0" w:right="0" w:firstLine="0"/>
              <w:jc w:val="center"/>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项目名称</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81" w:type="dxa"/>
            <w:vAlign w:val="center"/>
            <w:textDirection w:val="lrTb"/>
            <w:noWrap w:val="false"/>
          </w:tcPr>
          <w:p>
            <w:pPr>
              <w:ind w:left="0" w:right="0" w:firstLine="0"/>
              <w:jc w:val="center"/>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项目内容</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57" w:type="dxa"/>
            <w:vAlign w:val="center"/>
            <w:textDirection w:val="lrTb"/>
            <w:noWrap w:val="false"/>
          </w:tcPr>
          <w:p>
            <w:pPr>
              <w:ind w:left="0" w:right="0" w:firstLine="0"/>
              <w:jc w:val="center"/>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总价（小写）</w:t>
            </w:r>
            <w:r>
              <w:rPr>
                <w:rFonts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83" w:type="dxa"/>
            <w:vAlign w:val="center"/>
            <w:textDirection w:val="lrTb"/>
            <w:noWrap w:val="false"/>
          </w:tcPr>
          <w:p>
            <w:pPr>
              <w:ind w:left="0" w:right="0" w:firstLine="0"/>
              <w:jc w:val="center"/>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项目名称 </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81" w:type="dxa"/>
            <w:vAlign w:val="center"/>
            <w:textDirection w:val="lrTb"/>
            <w:noWrap w:val="false"/>
          </w:tcPr>
          <w:p>
            <w:pPr>
              <w:ind w:left="0" w:right="0" w:firstLine="0"/>
              <w:jc w:val="center"/>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详见响应文件</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57" w:type="dxa"/>
            <w:vAlign w:val="center"/>
            <w:textDirection w:val="lrTb"/>
            <w:noWrap w:val="false"/>
          </w:tcPr>
          <w:p>
            <w:pPr>
              <w:ind w:left="0" w:right="0" w:firstLine="0"/>
              <w:jc w:val="center"/>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元</w:t>
            </w:r>
            <w:r>
              <w:rPr>
                <w:rFonts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83" w:type="dxa"/>
            <w:vAlign w:val="center"/>
            <w:textDirection w:val="lrTb"/>
            <w:noWrap w:val="false"/>
          </w:tcPr>
          <w:p>
            <w:pPr>
              <w:ind w:left="0" w:right="0" w:firstLine="0"/>
              <w:jc w:val="center"/>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总价（大写）：</w:t>
            </w:r>
            <w:r>
              <w:rPr>
                <w:rFonts w:ascii="宋体" w:hAnsi="宋体" w:cs="宋体"/>
              </w:rPr>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938" w:type="dxa"/>
            <w:vAlign w:val="center"/>
            <w:textDirection w:val="lrTb"/>
            <w:noWrap w:val="false"/>
          </w:tcPr>
          <w:p>
            <w:pPr>
              <w:ind w:left="0" w:right="0" w:firstLine="0"/>
              <w:jc w:val="center"/>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金额大写 </w:t>
            </w:r>
            <w:r>
              <w:rPr>
                <w:rFonts w:ascii="宋体" w:hAnsi="宋体" w:cs="宋体"/>
              </w:rPr>
            </w:r>
            <w:r/>
          </w:p>
        </w:tc>
      </w:tr>
    </w:tbl>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报价说明：</w:t>
      </w:r>
      <w:r>
        <w:rPr>
          <w:rFonts w:ascii="宋体" w:hAnsi="宋体" w:cs="宋体"/>
        </w:rPr>
      </w: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1、报价包括完成项目的所有费用。采购人不再支付报价以外的任何费用。</w:t>
      </w:r>
      <w:r>
        <w:rPr>
          <w:rFonts w:ascii="宋体" w:hAnsi="宋体" w:cs="宋体"/>
        </w:rPr>
      </w: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2、报价以总价为准，大小写不一致以大写为准；</w:t>
      </w:r>
      <w:r>
        <w:rPr>
          <w:rFonts w:ascii="宋体" w:hAnsi="宋体" w:cs="宋体"/>
        </w:rPr>
      </w: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3、偏离说明：详见《偏离表》；</w:t>
      </w:r>
      <w:r>
        <w:rPr>
          <w:rFonts w:ascii="宋体" w:hAnsi="宋体" w:cs="宋体"/>
        </w:rPr>
      </w: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供应商（电子签章）：</w:t>
      </w:r>
      <w:r>
        <w:rPr>
          <w:rFonts w:ascii="宋体" w:hAnsi="宋体" w:cs="宋体"/>
        </w:rPr>
      </w: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Microsoft YaHei" w:cs="宋体"/>
          <w:color w:val="000000"/>
          <w:sz w:val="24"/>
        </w:rPr>
        <w:t xml:space="preserve"> </w:t>
      </w:r>
      <w:r>
        <w:rPr>
          <w:rFonts w:ascii="宋体" w:hAnsi="宋体" w:cs="宋体"/>
        </w:rPr>
      </w: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日期： 年 月 日</w:t>
      </w:r>
      <w:r>
        <w:rPr>
          <w:rFonts w:ascii="宋体" w:hAnsi="宋体" w:cs="宋体"/>
        </w:rPr>
      </w: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rPr>
          <w:rFonts w:ascii="宋体" w:hAnsi="宋体" w:cs="宋体"/>
          <w:sz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pStyle w:val="887"/>
        <w:ind w:firstLine="480"/>
        <w:jc w:val="both"/>
        <w:spacing w:beforeAutospacing="0" w:afterAutospacing="0"/>
        <w:rPr>
          <w:color w:val="auto"/>
          <w:highlight w:val="none"/>
        </w:rPr>
      </w:pPr>
      <w:r>
        <w:rPr>
          <w:color w:val="auto"/>
          <w:highlight w:val="none"/>
        </w:rPr>
      </w:r>
      <w:r/>
    </w:p>
    <w:p>
      <w:pPr>
        <w:jc w:val="center"/>
        <w:spacing w:before="50" w:after="50"/>
        <w:widowControl/>
        <w:rPr>
          <w:color w:val="auto"/>
          <w:highlight w:val="none"/>
        </w:rPr>
      </w:pPr>
      <w:r>
        <w:rPr>
          <w:color w:val="auto"/>
          <w:highlight w:val="none"/>
        </w:rPr>
        <w:tab/>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十六、技术方案、服务承诺、培训承诺等</w:t>
      </w:r>
      <w:r/>
    </w:p>
    <w:p>
      <w:pPr>
        <w:pStyle w:val="887"/>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十七、盐城市政府采购事前信用承诺书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887"/>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pStyle w:val="887"/>
        <w:jc w:val="center"/>
        <w:spacing w:beforeAutospacing="0" w:afterAutospacing="0"/>
        <w:rPr>
          <w:rFonts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r/>
    </w:p>
    <w:p>
      <w:pPr>
        <w:pStyle w:val="887"/>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87"/>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8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8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8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8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8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8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8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磋商邀请文件</w:t>
      </w:r>
      <w:r>
        <w:rPr>
          <w:rFonts w:hint="eastAsia" w:ascii="宋体" w:hAnsi="宋体" w:eastAsia="宋体" w:cs="宋体"/>
          <w:color w:val="auto"/>
          <w:highlight w:val="none"/>
        </w:rPr>
        <w:t xml:space="preserve">获取日期：</w:t>
      </w:r>
      <w:r>
        <w:rPr>
          <w:rFonts w:hint="eastAsia" w:ascii="宋体" w:hAnsi="宋体" w:eastAsia="宋体" w:cs="宋体"/>
          <w:color w:val="auto"/>
          <w:highlight w:val="none"/>
          <w:u w:val="single"/>
        </w:rPr>
        <w:t xml:space="preserve">                             </w:t>
      </w:r>
      <w:r/>
    </w:p>
    <w:p>
      <w:pPr>
        <w:pStyle w:val="88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8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87"/>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8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8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8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8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8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87"/>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8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8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8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8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8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87"/>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pStyle w:val="887"/>
        <w:ind w:firstLine="420"/>
        <w:jc w:val="both"/>
        <w:spacing w:beforeAutospacing="0" w:afterAutospacing="0"/>
        <w:rPr>
          <w:color w:val="auto"/>
          <w:highlight w:val="none"/>
        </w:rPr>
      </w:pPr>
      <w:r>
        <w:rPr>
          <w:color w:val="auto"/>
          <w:highlight w:val="none"/>
        </w:rPr>
        <w:t xml:space="preserve"> </w:t>
      </w:r>
      <w:bookmarkEnd w:id="6"/>
      <w:r/>
      <w:bookmarkEnd w:id="44"/>
      <w:r/>
      <w:bookmarkEnd w:id="91"/>
      <w:r/>
      <w:bookmarkEnd w:id="92"/>
      <w:r/>
      <w:bookmarkEnd w:id="93"/>
      <w:r/>
      <w:bookmarkEnd w:id="94"/>
      <w:r/>
      <w:bookmarkEnd w:id="95"/>
      <w:r/>
      <w:bookmarkEnd w:id="96"/>
      <w:r/>
      <w:bookmarkEnd w:id="97"/>
      <w:r/>
      <w:bookmarkEnd w:id="98"/>
      <w:r/>
      <w:bookmarkEnd w:id="107"/>
      <w:r/>
      <w:bookmarkEnd w:id="108"/>
      <w:r/>
      <w:bookmarkEnd w:id="115"/>
      <w:r/>
      <w:bookmarkEnd w:id="164"/>
      <w:r/>
      <w:bookmarkEnd w:id="165"/>
      <w:r/>
      <w:bookmarkEnd w:id="183"/>
      <w:r/>
      <w:bookmarkEnd w:id="184"/>
      <w:r/>
      <w:bookmarkEnd w:id="185"/>
      <w:r/>
      <w:bookmarkEnd w:id="186"/>
      <w:r/>
      <w:bookmarkEnd w:id="187"/>
      <w:r/>
      <w:bookmarkEnd w:id="188"/>
      <w:r/>
      <w:bookmarkEnd w:id="189"/>
      <w:r/>
      <w:bookmarkEnd w:id="190"/>
      <w:r/>
      <w:bookmarkEnd w:id="199"/>
      <w:r/>
      <w:bookmarkEnd w:id="200"/>
      <w:r/>
      <w:bookmarkEnd w:id="201"/>
      <w:r/>
      <w:bookmarkEnd w:id="202"/>
      <w:r/>
      <w:bookmarkEnd w:id="203"/>
      <w:r/>
      <w:r/>
    </w:p>
    <w:p>
      <w:pPr>
        <w:rPr>
          <w:color w:val="auto"/>
          <w:highlight w:val="none"/>
        </w:rPr>
      </w:pPr>
      <w:r>
        <w:rPr>
          <w:color w:val="auto"/>
          <w:highlight w:val="none"/>
        </w:rPr>
      </w:r>
      <w:r/>
    </w:p>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4"/>
  </w:num>
  <w:num w:numId="4">
    <w:abstractNumId w:val="6"/>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Heading 1 Char"/>
    <w:basedOn w:val="880"/>
    <w:link w:val="878"/>
    <w:uiPriority w:val="9"/>
    <w:rPr>
      <w:rFonts w:ascii="Arial" w:hAnsi="Arial" w:eastAsia="Arial" w:cs="Arial"/>
      <w:sz w:val="40"/>
      <w:szCs w:val="40"/>
    </w:rPr>
  </w:style>
  <w:style w:type="character" w:styleId="704">
    <w:name w:val="Heading 2 Char"/>
    <w:basedOn w:val="880"/>
    <w:link w:val="879"/>
    <w:uiPriority w:val="9"/>
    <w:rPr>
      <w:rFonts w:ascii="Arial" w:hAnsi="Arial" w:eastAsia="Arial" w:cs="Arial"/>
      <w:sz w:val="34"/>
    </w:rPr>
  </w:style>
  <w:style w:type="paragraph" w:styleId="705">
    <w:name w:val="Heading 3"/>
    <w:basedOn w:val="877"/>
    <w:next w:val="877"/>
    <w:link w:val="706"/>
    <w:uiPriority w:val="9"/>
    <w:unhideWhenUsed/>
    <w:qFormat/>
    <w:pPr>
      <w:keepLines/>
      <w:keepNext/>
      <w:spacing w:before="320" w:after="200"/>
      <w:outlineLvl w:val="2"/>
    </w:pPr>
    <w:rPr>
      <w:rFonts w:ascii="Arial" w:hAnsi="Arial" w:eastAsia="Arial" w:cs="Arial"/>
      <w:sz w:val="30"/>
      <w:szCs w:val="30"/>
    </w:rPr>
  </w:style>
  <w:style w:type="character" w:styleId="706">
    <w:name w:val="Heading 3 Char"/>
    <w:basedOn w:val="880"/>
    <w:link w:val="705"/>
    <w:uiPriority w:val="9"/>
    <w:rPr>
      <w:rFonts w:ascii="Arial" w:hAnsi="Arial" w:eastAsia="Arial" w:cs="Arial"/>
      <w:sz w:val="30"/>
      <w:szCs w:val="30"/>
    </w:rPr>
  </w:style>
  <w:style w:type="paragraph" w:styleId="707">
    <w:name w:val="Heading 4"/>
    <w:basedOn w:val="877"/>
    <w:next w:val="877"/>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basedOn w:val="880"/>
    <w:link w:val="707"/>
    <w:uiPriority w:val="9"/>
    <w:rPr>
      <w:rFonts w:ascii="Arial" w:hAnsi="Arial" w:eastAsia="Arial" w:cs="Arial"/>
      <w:b/>
      <w:bCs/>
      <w:sz w:val="26"/>
      <w:szCs w:val="26"/>
    </w:rPr>
  </w:style>
  <w:style w:type="paragraph" w:styleId="709">
    <w:name w:val="Heading 5"/>
    <w:basedOn w:val="877"/>
    <w:next w:val="877"/>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basedOn w:val="880"/>
    <w:link w:val="709"/>
    <w:uiPriority w:val="9"/>
    <w:rPr>
      <w:rFonts w:ascii="Arial" w:hAnsi="Arial" w:eastAsia="Arial" w:cs="Arial"/>
      <w:b/>
      <w:bCs/>
      <w:sz w:val="24"/>
      <w:szCs w:val="24"/>
    </w:rPr>
  </w:style>
  <w:style w:type="paragraph" w:styleId="711">
    <w:name w:val="Heading 6"/>
    <w:basedOn w:val="877"/>
    <w:next w:val="877"/>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basedOn w:val="880"/>
    <w:link w:val="711"/>
    <w:uiPriority w:val="9"/>
    <w:rPr>
      <w:rFonts w:ascii="Arial" w:hAnsi="Arial" w:eastAsia="Arial" w:cs="Arial"/>
      <w:b/>
      <w:bCs/>
      <w:sz w:val="22"/>
      <w:szCs w:val="22"/>
    </w:rPr>
  </w:style>
  <w:style w:type="paragraph" w:styleId="713">
    <w:name w:val="Heading 7"/>
    <w:basedOn w:val="877"/>
    <w:next w:val="877"/>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basedOn w:val="880"/>
    <w:link w:val="713"/>
    <w:uiPriority w:val="9"/>
    <w:rPr>
      <w:rFonts w:ascii="Arial" w:hAnsi="Arial" w:eastAsia="Arial" w:cs="Arial"/>
      <w:b/>
      <w:bCs/>
      <w:i/>
      <w:iCs/>
      <w:sz w:val="22"/>
      <w:szCs w:val="22"/>
    </w:rPr>
  </w:style>
  <w:style w:type="paragraph" w:styleId="715">
    <w:name w:val="Heading 8"/>
    <w:basedOn w:val="877"/>
    <w:next w:val="877"/>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basedOn w:val="880"/>
    <w:link w:val="715"/>
    <w:uiPriority w:val="9"/>
    <w:rPr>
      <w:rFonts w:ascii="Arial" w:hAnsi="Arial" w:eastAsia="Arial" w:cs="Arial"/>
      <w:i/>
      <w:iCs/>
      <w:sz w:val="22"/>
      <w:szCs w:val="22"/>
    </w:rPr>
  </w:style>
  <w:style w:type="paragraph" w:styleId="717">
    <w:name w:val="Heading 9"/>
    <w:basedOn w:val="877"/>
    <w:next w:val="877"/>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basedOn w:val="880"/>
    <w:link w:val="717"/>
    <w:uiPriority w:val="9"/>
    <w:rPr>
      <w:rFonts w:ascii="Arial" w:hAnsi="Arial" w:eastAsia="Arial" w:cs="Arial"/>
      <w:i/>
      <w:iCs/>
      <w:sz w:val="21"/>
      <w:szCs w:val="21"/>
    </w:rPr>
  </w:style>
  <w:style w:type="paragraph" w:styleId="719">
    <w:name w:val="List Paragraph"/>
    <w:basedOn w:val="877"/>
    <w:uiPriority w:val="34"/>
    <w:qFormat/>
    <w:pPr>
      <w:contextualSpacing/>
      <w:ind w:left="720"/>
    </w:pPr>
  </w:style>
  <w:style w:type="paragraph" w:styleId="720">
    <w:name w:val="No Spacing"/>
    <w:uiPriority w:val="1"/>
    <w:qFormat/>
    <w:pPr>
      <w:spacing w:before="0" w:after="0" w:line="240" w:lineRule="auto"/>
    </w:pPr>
  </w:style>
  <w:style w:type="paragraph" w:styleId="721">
    <w:name w:val="Title"/>
    <w:basedOn w:val="877"/>
    <w:next w:val="877"/>
    <w:link w:val="722"/>
    <w:uiPriority w:val="10"/>
    <w:qFormat/>
    <w:pPr>
      <w:contextualSpacing/>
      <w:spacing w:before="300" w:after="200"/>
    </w:pPr>
    <w:rPr>
      <w:sz w:val="48"/>
      <w:szCs w:val="48"/>
    </w:rPr>
  </w:style>
  <w:style w:type="character" w:styleId="722">
    <w:name w:val="Title Char"/>
    <w:basedOn w:val="880"/>
    <w:link w:val="721"/>
    <w:uiPriority w:val="10"/>
    <w:rPr>
      <w:sz w:val="48"/>
      <w:szCs w:val="48"/>
    </w:rPr>
  </w:style>
  <w:style w:type="paragraph" w:styleId="723">
    <w:name w:val="Subtitle"/>
    <w:basedOn w:val="877"/>
    <w:next w:val="877"/>
    <w:link w:val="724"/>
    <w:uiPriority w:val="11"/>
    <w:qFormat/>
    <w:pPr>
      <w:spacing w:before="200" w:after="200"/>
    </w:pPr>
    <w:rPr>
      <w:sz w:val="24"/>
      <w:szCs w:val="24"/>
    </w:rPr>
  </w:style>
  <w:style w:type="character" w:styleId="724">
    <w:name w:val="Subtitle Char"/>
    <w:basedOn w:val="880"/>
    <w:link w:val="723"/>
    <w:uiPriority w:val="11"/>
    <w:rPr>
      <w:sz w:val="24"/>
      <w:szCs w:val="24"/>
    </w:rPr>
  </w:style>
  <w:style w:type="paragraph" w:styleId="725">
    <w:name w:val="Quote"/>
    <w:basedOn w:val="877"/>
    <w:next w:val="877"/>
    <w:link w:val="726"/>
    <w:uiPriority w:val="29"/>
    <w:qFormat/>
    <w:pPr>
      <w:ind w:left="720" w:right="720"/>
    </w:pPr>
    <w:rPr>
      <w:i/>
    </w:rPr>
  </w:style>
  <w:style w:type="character" w:styleId="726">
    <w:name w:val="Quote Char"/>
    <w:link w:val="725"/>
    <w:uiPriority w:val="29"/>
    <w:rPr>
      <w:i/>
    </w:rPr>
  </w:style>
  <w:style w:type="paragraph" w:styleId="727">
    <w:name w:val="Intense Quote"/>
    <w:basedOn w:val="877"/>
    <w:next w:val="877"/>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character" w:styleId="729">
    <w:name w:val="Header Char"/>
    <w:basedOn w:val="880"/>
    <w:link w:val="886"/>
    <w:uiPriority w:val="99"/>
  </w:style>
  <w:style w:type="character" w:styleId="730">
    <w:name w:val="Footer Char"/>
    <w:basedOn w:val="880"/>
    <w:link w:val="885"/>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885"/>
    <w:uiPriority w:val="99"/>
  </w:style>
  <w:style w:type="table" w:styleId="733">
    <w:name w:val="Table Grid"/>
    <w:basedOn w:val="88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8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basedOn w:val="8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basedOn w:val="8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basedOn w:val="8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basedOn w:val="8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basedOn w:val="8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basedOn w:val="8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basedOn w:val="8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basedOn w:val="8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0">
    <w:name w:val="Grid Table 5 Dark - Accent 2"/>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1">
    <w:name w:val="Grid Table 5 Dark - Accent 3"/>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2">
    <w:name w:val="Grid Table 5 Dark- Accent 4"/>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3">
    <w:name w:val="Grid Table 5 Dark - Accent 5"/>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4">
    <w:name w:val="Grid Table 5 Dark - Accent 6"/>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5">
    <w:name w:val="Grid Table 6 Colorful"/>
    <w:basedOn w:val="8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basedOn w:val="8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basedOn w:val="8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basedOn w:val="8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1">
    <w:name w:val="Grid Table 6 Colorful - Accent 6"/>
    <w:basedOn w:val="8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2">
    <w:name w:val="Grid Table 7 Colorful"/>
    <w:basedOn w:val="8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basedOn w:val="8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basedOn w:val="8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basedOn w:val="8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basedOn w:val="8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basedOn w:val="8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basedOn w:val="8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basedOn w:val="8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basedOn w:val="88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basedOn w:val="88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basedOn w:val="88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basedOn w:val="88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basedOn w:val="88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basedOn w:val="88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basedOn w:val="8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basedOn w:val="8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basedOn w:val="8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basedOn w:val="8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basedOn w:val="8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basedOn w:val="8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basedOn w:val="8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basedOn w:val="8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5">
    <w:name w:val="List Table 3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6">
    <w:name w:val="List Table 3 - Accent 3"/>
    <w:basedOn w:val="8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7">
    <w:name w:val="List Table 3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8">
    <w:name w:val="List Table 3 - Accent 5"/>
    <w:basedOn w:val="8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9">
    <w:name w:val="List Table 3 - Accent 6"/>
    <w:basedOn w:val="8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0">
    <w:name w:val="List Table 4"/>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basedOn w:val="8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2">
    <w:name w:val="List Table 4 - Accent 2"/>
    <w:basedOn w:val="8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3">
    <w:name w:val="List Table 4 - Accent 3"/>
    <w:basedOn w:val="8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4">
    <w:name w:val="List Table 4 - Accent 4"/>
    <w:basedOn w:val="8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5">
    <w:name w:val="List Table 4 - Accent 5"/>
    <w:basedOn w:val="8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6">
    <w:name w:val="List Table 4 - Accent 6"/>
    <w:basedOn w:val="8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7">
    <w:name w:val="List Table 5 Dark"/>
    <w:basedOn w:val="8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basedOn w:val="8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basedOn w:val="8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basedOn w:val="8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basedOn w:val="8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basedOn w:val="8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basedOn w:val="8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basedOn w:val="8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basedOn w:val="8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6">
    <w:name w:val="List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7">
    <w:name w:val="List Table 6 Colorful - Accent 3"/>
    <w:basedOn w:val="8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8">
    <w:name w:val="List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9">
    <w:name w:val="List Table 6 Colorful - Accent 5"/>
    <w:basedOn w:val="8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0">
    <w:name w:val="List Table 6 Colorful - Accent 6"/>
    <w:basedOn w:val="8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1">
    <w:name w:val="List Table 7 Colorful"/>
    <w:basedOn w:val="8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basedOn w:val="8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3">
    <w:name w:val="List Table 7 Colorful - Accent 2"/>
    <w:basedOn w:val="8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4">
    <w:name w:val="List Table 7 Colorful - Accent 3"/>
    <w:basedOn w:val="8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5">
    <w:name w:val="List Table 7 Colorful - Accent 4"/>
    <w:basedOn w:val="8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6">
    <w:name w:val="List Table 7 Colorful - Accent 5"/>
    <w:basedOn w:val="8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7">
    <w:name w:val="List Table 7 Colorful - Accent 6"/>
    <w:basedOn w:val="8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8">
    <w:name w:val="Lined - Accent"/>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0">
    <w:name w:val="Lined - Accent 2"/>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1">
    <w:name w:val="Lined - Accent 3"/>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2">
    <w:name w:val="Lined - Accent 4"/>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3">
    <w:name w:val="Lined - Accent 5"/>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4">
    <w:name w:val="Lined - Accent 6"/>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5">
    <w:name w:val="Bordered &amp; Lined - Accent"/>
    <w:basedOn w:val="8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basedOn w:val="8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7">
    <w:name w:val="Bordered &amp; Lined - Accent 2"/>
    <w:basedOn w:val="8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8">
    <w:name w:val="Bordered &amp; Lined - Accent 3"/>
    <w:basedOn w:val="8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9">
    <w:name w:val="Bordered &amp; Lined - Accent 4"/>
    <w:basedOn w:val="8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0">
    <w:name w:val="Bordered &amp; Lined - Accent 5"/>
    <w:basedOn w:val="8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1">
    <w:name w:val="Bordered &amp; Lined - Accent 6"/>
    <w:basedOn w:val="8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2">
    <w:name w:val="Bordered"/>
    <w:basedOn w:val="8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basedOn w:val="880"/>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basedOn w:val="880"/>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78">
    <w:name w:val="Heading 1"/>
    <w:basedOn w:val="877"/>
    <w:next w:val="877"/>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879">
    <w:name w:val="Heading 2"/>
    <w:basedOn w:val="877"/>
    <w:next w:val="87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Note Heading"/>
    <w:basedOn w:val="877"/>
    <w:next w:val="877"/>
    <w:uiPriority w:val="0"/>
    <w:qFormat/>
    <w:rPr>
      <w:rFonts w:ascii="Verdana" w:hAnsi="Verdana"/>
      <w:szCs w:val="20"/>
    </w:rPr>
  </w:style>
  <w:style w:type="paragraph" w:styleId="883">
    <w:name w:val="annotation text"/>
    <w:basedOn w:val="877"/>
    <w:uiPriority w:val="0"/>
    <w:qFormat/>
    <w:pPr>
      <w:jc w:val="left"/>
    </w:pPr>
  </w:style>
  <w:style w:type="paragraph" w:styleId="884">
    <w:name w:val="Body Text"/>
    <w:basedOn w:val="877"/>
    <w:uiPriority w:val="99"/>
    <w:unhideWhenUsed/>
    <w:qFormat/>
    <w:pPr>
      <w:spacing w:after="120"/>
    </w:pPr>
    <w:rPr>
      <w:rFonts w:asciiTheme="minorHAnsi" w:hAnsiTheme="minorHAnsi" w:eastAsiaTheme="minorEastAsia"/>
      <w:szCs w:val="22"/>
    </w:rPr>
  </w:style>
  <w:style w:type="paragraph" w:styleId="885">
    <w:name w:val="Footer"/>
    <w:basedOn w:val="877"/>
    <w:link w:val="892"/>
    <w:uiPriority w:val="0"/>
    <w:qFormat/>
    <w:pPr>
      <w:jc w:val="left"/>
      <w:tabs>
        <w:tab w:val="center" w:pos="4153" w:leader="none"/>
        <w:tab w:val="right" w:pos="8306" w:leader="none"/>
      </w:tabs>
    </w:pPr>
    <w:rPr>
      <w:sz w:val="18"/>
      <w:szCs w:val="18"/>
    </w:rPr>
  </w:style>
  <w:style w:type="paragraph" w:styleId="886">
    <w:name w:val="Header"/>
    <w:basedOn w:val="877"/>
    <w:link w:val="891"/>
    <w:uiPriority w:val="0"/>
    <w:qFormat/>
    <w:pPr>
      <w:jc w:val="center"/>
      <w:tabs>
        <w:tab w:val="center" w:pos="4153" w:leader="none"/>
        <w:tab w:val="right" w:pos="8306" w:leader="none"/>
      </w:tabs>
      <w:pBdr>
        <w:bottom w:val="single" w:color="auto" w:sz="6" w:space="1"/>
      </w:pBdr>
    </w:pPr>
    <w:rPr>
      <w:sz w:val="18"/>
      <w:szCs w:val="18"/>
    </w:rPr>
  </w:style>
  <w:style w:type="paragraph" w:styleId="887">
    <w:name w:val="Normal (Web)"/>
    <w:basedOn w:val="877"/>
    <w:uiPriority w:val="0"/>
    <w:qFormat/>
    <w:pPr>
      <w:jc w:val="left"/>
      <w:spacing w:beforeAutospacing="1" w:afterAutospacing="1"/>
    </w:pPr>
    <w:rPr>
      <w:rFonts w:cs="Times New Roman"/>
      <w:sz w:val="24"/>
    </w:rPr>
  </w:style>
  <w:style w:type="character" w:styleId="888">
    <w:name w:val="Emphasis"/>
    <w:uiPriority w:val="0"/>
    <w:qFormat/>
    <w:rPr>
      <w:i/>
    </w:rPr>
  </w:style>
  <w:style w:type="character" w:styleId="889">
    <w:name w:val="annotation reference"/>
    <w:basedOn w:val="880"/>
    <w:uiPriority w:val="99"/>
    <w:semiHidden/>
    <w:unhideWhenUsed/>
    <w:qFormat/>
    <w:rPr>
      <w:sz w:val="21"/>
      <w:szCs w:val="21"/>
    </w:rPr>
  </w:style>
  <w:style w:type="paragraph" w:styleId="890" w:customStyle="1">
    <w:name w:val="Default"/>
    <w:basedOn w:val="877"/>
    <w:uiPriority w:val="0"/>
    <w:semiHidden/>
    <w:qFormat/>
    <w:pPr>
      <w:jc w:val="left"/>
    </w:pPr>
    <w:rPr>
      <w:rFonts w:ascii="宋体" w:hAnsi="Calibri" w:cs="宋体"/>
      <w:color w:val="000000"/>
      <w:sz w:val="24"/>
    </w:rPr>
  </w:style>
  <w:style w:type="character" w:styleId="891" w:customStyle="1">
    <w:name w:val="页眉 Char"/>
    <w:basedOn w:val="880"/>
    <w:link w:val="886"/>
    <w:uiPriority w:val="0"/>
    <w:qFormat/>
    <w:rPr>
      <w:rFonts w:asciiTheme="minorHAnsi" w:hAnsiTheme="minorHAnsi" w:eastAsiaTheme="minorEastAsia" w:cstheme="minorBidi"/>
      <w:sz w:val="18"/>
      <w:szCs w:val="18"/>
    </w:rPr>
  </w:style>
  <w:style w:type="character" w:styleId="892" w:customStyle="1">
    <w:name w:val="页脚 Char"/>
    <w:basedOn w:val="880"/>
    <w:link w:val="885"/>
    <w:uiPriority w:val="0"/>
    <w:qFormat/>
    <w:rPr>
      <w:rFonts w:asciiTheme="minorHAnsi" w:hAnsiTheme="minorHAnsi" w:eastAsiaTheme="minorEastAsia" w:cstheme="minorBidi"/>
      <w:sz w:val="18"/>
      <w:szCs w:val="18"/>
    </w:rPr>
  </w:style>
  <w:style w:type="paragraph" w:styleId="893" w:customStyle="1">
    <w:name w:val="普通正文"/>
    <w:basedOn w:val="877"/>
    <w:uiPriority w:val="0"/>
    <w:qFormat/>
    <w:pPr>
      <w:ind w:firstLine="480"/>
      <w:jc w:val="left"/>
      <w:spacing w:before="120" w:after="120" w:line="360" w:lineRule="auto"/>
    </w:pPr>
    <w:rPr>
      <w:rFonts w:ascii="Arial" w:hAnsi="Arial" w:eastAsia="等线" w:cs="Arial"/>
      <w:sz w:val="24"/>
      <w:szCs w:val="24"/>
    </w:rPr>
  </w:style>
  <w:style w:type="paragraph" w:styleId="894" w:customStyle="1">
    <w:name w:val="正文首行缩进 21"/>
    <w:basedOn w:val="895"/>
    <w:uiPriority w:val="0"/>
    <w:qFormat/>
    <w:pPr>
      <w:ind w:firstLine="420"/>
    </w:pPr>
  </w:style>
  <w:style w:type="paragraph" w:styleId="895" w:customStyle="1">
    <w:name w:val="正文文本缩进1"/>
    <w:basedOn w:val="877"/>
    <w:uiPriority w:val="0"/>
    <w:qFormat/>
    <w:pPr>
      <w:ind w:left="420"/>
      <w:spacing w:after="120"/>
    </w:pPr>
  </w:style>
  <w:style w:type="paragraph" w:styleId="896" w:customStyle="1">
    <w:name w:val="正文文本11"/>
    <w:basedOn w:val="877"/>
    <w:next w:val="877"/>
    <w:uiPriority w:val="0"/>
    <w:qFormat/>
    <w:rPr>
      <w:szCs w:val="20"/>
    </w:rPr>
  </w:style>
  <w:style w:type="paragraph" w:styleId="897" w:customStyle="1">
    <w:name w:val="列出段落"/>
    <w:basedOn w:val="877"/>
    <w:next w:val="877"/>
    <w:uiPriority w:val="0"/>
    <w:qFormat/>
    <w:pPr>
      <w:ind w:firstLine="420"/>
    </w:pPr>
    <w:rPr>
      <w:rFonts w:ascii="Calibri" w:hAnsi="Calibri"/>
      <w:szCs w:val="22"/>
    </w:rPr>
  </w:style>
  <w:style w:type="numbering" w:styleId="8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倪兆霞</cp:lastModifiedBy>
  <cp:revision>202</cp:revision>
  <dcterms:created xsi:type="dcterms:W3CDTF">2014-10-29T12:08:00Z</dcterms:created>
  <dcterms:modified xsi:type="dcterms:W3CDTF">2026-05-06T08:57:03Z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68D8D2B35DDC40759E8C7C59D086AC3E_13</vt:lpwstr>
  </property>
  <property fmtid="{D5CDD505-2E9C-101B-9397-08002B2CF9AE}" pid="4" name="KSOTemplateDocerSaveRecord">
    <vt:lpwstr>eyJoZGlkIjoiZTM5NjQ4MDViNzI1OGY2YzE4MzhiZmY5ZTY1YTkxNGYiLCJ1c2VySWQiOiIxNjcxMTcxMDA3In0=</vt:lpwstr>
  </property>
</Properties>
</file>