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spacing w:before="120" w:beforeAutospacing="0" w:after="120" w:afterAutospacing="0" w:line="360" w:lineRule="auto"/>
        <w:rPr>
          <w:color w:val="auto"/>
          <w:highlight w:val="none"/>
        </w:rPr>
      </w:pPr>
      <w:r>
        <w:rPr>
          <w:color w:val="auto"/>
          <w:highlight w:val="none"/>
        </w:rPr>
        <w:t xml:space="preserve"> </w:t>
      </w:r>
      <w:r>
        <w:rPr>
          <w:color w:val="auto"/>
        </w:rPr>
      </w:r>
      <w:r/>
    </w:p>
    <w:p>
      <w:pPr>
        <w:pStyle w:val="87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t xml:space="preserve">招 标 文 件</w:t>
      </w:r>
      <w:r>
        <w:rPr>
          <w:color w:val="auto"/>
        </w:rPr>
      </w:r>
      <w:r/>
    </w:p>
    <w:p>
      <w:pPr>
        <w:pStyle w:val="87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rPr>
          <w:color w:val="auto"/>
        </w:rPr>
      </w:r>
      <w:r/>
    </w:p>
    <w:p>
      <w:pPr>
        <w:pStyle w:val="87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rPr>
          <w:color w:val="auto"/>
        </w:rPr>
      </w:r>
      <w:r/>
    </w:p>
    <w:p>
      <w:pPr>
        <w:pStyle w:val="876"/>
        <w:spacing w:before="120" w:beforeAutospacing="0" w:after="120" w:afterAutospacing="0" w:line="360" w:lineRule="auto"/>
        <w:rPr>
          <w:rFonts w:asciiTheme="majorEastAsia" w:hAnsiTheme="majorEastAsia" w:eastAsiaTheme="majorEastAsia" w:cstheme="majorEastAsia"/>
          <w:color w:val="auto"/>
          <w:sz w:val="32"/>
          <w:szCs w:val="32"/>
          <w:highlight w:val="none"/>
        </w:rPr>
      </w:pPr>
      <w:r>
        <w:rPr>
          <w:rFonts w:ascii="Arial" w:hAnsi="Arial" w:cs="Arial"/>
          <w:b/>
          <w:color w:val="auto"/>
          <w:sz w:val="32"/>
          <w:szCs w:val="32"/>
          <w:highlight w:val="none"/>
        </w:rPr>
        <w:t xml:space="preserve">项目名称：</w:t>
      </w:r>
      <w:r>
        <w:rPr>
          <w:rFonts w:hint="eastAsia" w:ascii="Times New Roman" w:hAnsi="Times New Roman"/>
          <w:b/>
          <w:color w:val="auto"/>
          <w:sz w:val="32"/>
          <w:szCs w:val="32"/>
          <w:highlight w:val="none"/>
        </w:rPr>
        <w:t xml:space="preserve">2026-2028年环科城雨、污水管网管护服务项目</w:t>
      </w:r>
      <w:r>
        <w:rPr>
          <w:color w:val="auto"/>
        </w:rPr>
      </w:r>
      <w:r/>
    </w:p>
    <w:p>
      <w:pPr>
        <w:pStyle w:val="876"/>
        <w:jc w:val="both"/>
        <w:spacing w:beforeAutospacing="0" w:afterAutospacing="0"/>
        <w:rPr>
          <w:rFonts w:hint="eastAsia" w:eastAsiaTheme="minorEastAsia"/>
          <w:color w:val="auto"/>
          <w:highlight w:val="none"/>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lang w:eastAsia="zh-CN"/>
        </w:rPr>
        <w:t xml:space="preserve">JSZC-320902-YCSJ-G2026-0008</w:t>
      </w:r>
      <w:r>
        <w:rPr>
          <w:color w:val="auto"/>
        </w:rPr>
      </w:r>
      <w:r/>
    </w:p>
    <w:p>
      <w:pPr>
        <w:pStyle w:val="876"/>
        <w:spacing w:beforeAutospacing="0" w:afterAutospacing="0" w:line="360" w:lineRule="auto"/>
        <w:rPr>
          <w:color w:val="auto"/>
          <w:highlight w:val="none"/>
        </w:rPr>
      </w:pPr>
      <w:r>
        <w:rPr>
          <w:color w:val="auto"/>
          <w:highlight w:val="none"/>
        </w:rPr>
        <w:t xml:space="preserve"> </w:t>
      </w:r>
      <w:r>
        <w:rPr>
          <w:color w:val="auto"/>
        </w:rPr>
      </w:r>
      <w:r/>
    </w:p>
    <w:p>
      <w:pPr>
        <w:pStyle w:val="876"/>
        <w:spacing w:beforeAutospacing="0" w:afterAutospacing="0" w:line="360" w:lineRule="auto"/>
        <w:rPr>
          <w:color w:val="auto"/>
          <w:highlight w:val="none"/>
        </w:rPr>
      </w:pPr>
      <w:r>
        <w:rPr>
          <w:color w:val="auto"/>
          <w:highlight w:val="none"/>
        </w:rPr>
        <w:t xml:space="preserve"> </w:t>
      </w:r>
      <w:r>
        <w:rPr>
          <w:color w:val="auto"/>
        </w:rPr>
      </w:r>
      <w:r/>
    </w:p>
    <w:p>
      <w:pPr>
        <w:pStyle w:val="876"/>
        <w:spacing w:beforeAutospacing="0" w:afterAutospacing="0" w:line="360" w:lineRule="auto"/>
        <w:rPr>
          <w:color w:val="auto"/>
          <w:highlight w:val="none"/>
        </w:rPr>
      </w:pPr>
      <w:r>
        <w:rPr>
          <w:color w:val="auto"/>
          <w:highlight w:val="none"/>
        </w:rPr>
        <w:t xml:space="preserve"> </w:t>
      </w:r>
      <w:r>
        <w:rPr>
          <w:color w:val="auto"/>
        </w:rPr>
      </w:r>
      <w:r/>
    </w:p>
    <w:p>
      <w:pPr>
        <w:pStyle w:val="876"/>
        <w:spacing w:beforeAutospacing="0" w:afterAutospacing="0" w:line="360" w:lineRule="auto"/>
        <w:rPr>
          <w:color w:val="auto"/>
          <w:highlight w:val="none"/>
        </w:rPr>
      </w:pPr>
      <w:r>
        <w:rPr>
          <w:color w:val="auto"/>
          <w:highlight w:val="none"/>
        </w:rPr>
        <w:t xml:space="preserve"> </w:t>
      </w:r>
      <w:r>
        <w:rPr>
          <w:color w:val="auto"/>
        </w:rPr>
      </w:r>
      <w:r/>
    </w:p>
    <w:p>
      <w:pPr>
        <w:pStyle w:val="876"/>
        <w:spacing w:beforeAutospacing="0" w:afterAutospacing="0" w:line="360" w:lineRule="auto"/>
        <w:rPr>
          <w:color w:val="auto"/>
          <w:highlight w:val="none"/>
        </w:rPr>
      </w:pPr>
      <w:r>
        <w:rPr>
          <w:color w:val="auto"/>
          <w:highlight w:val="none"/>
        </w:rPr>
        <w:t xml:space="preserve"> </w:t>
      </w:r>
      <w:r>
        <w:rPr>
          <w:color w:val="auto"/>
        </w:rPr>
      </w:r>
      <w:r/>
    </w:p>
    <w:p>
      <w:pPr>
        <w:pStyle w:val="876"/>
        <w:spacing w:beforeAutospacing="0" w:afterAutospacing="0" w:line="360" w:lineRule="auto"/>
        <w:rPr>
          <w:color w:val="auto"/>
          <w:highlight w:val="none"/>
        </w:rPr>
      </w:pPr>
      <w:r>
        <w:rPr>
          <w:color w:val="auto"/>
          <w:highlight w:val="none"/>
        </w:rPr>
        <w:t xml:space="preserve"> </w:t>
      </w:r>
      <w:r>
        <w:rPr>
          <w:color w:val="auto"/>
        </w:rPr>
      </w:r>
      <w:r/>
    </w:p>
    <w:p>
      <w:pPr>
        <w:pStyle w:val="876"/>
        <w:spacing w:beforeAutospacing="0" w:afterAutospacing="0" w:line="360" w:lineRule="auto"/>
        <w:rPr>
          <w:color w:val="auto"/>
          <w:highlight w:val="none"/>
        </w:rPr>
      </w:pPr>
      <w:r>
        <w:rPr>
          <w:color w:val="auto"/>
          <w:highlight w:val="none"/>
        </w:rPr>
        <w:t xml:space="preserve"> </w:t>
      </w:r>
      <w:r>
        <w:rPr>
          <w:color w:val="auto"/>
        </w:rPr>
      </w:r>
      <w:r/>
    </w:p>
    <w:p>
      <w:pPr>
        <w:pStyle w:val="876"/>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32"/>
          <w:szCs w:val="32"/>
          <w:highlight w:val="none"/>
        </w:rPr>
        <w:t xml:space="preserve">采购单位：江苏盐城环保科技城管理委员会</w:t>
      </w:r>
      <w:r>
        <w:rPr>
          <w:color w:val="auto"/>
        </w:rPr>
      </w:r>
      <w:r/>
    </w:p>
    <w:p>
      <w:pPr>
        <w:pStyle w:val="876"/>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9</w:t>
      </w:r>
      <w:r>
        <w:rPr>
          <w:rFonts w:ascii="Arial" w:hAnsi="Arial" w:cs="Arial"/>
          <w:b/>
          <w:color w:val="auto"/>
          <w:sz w:val="32"/>
          <w:szCs w:val="32"/>
          <w:highlight w:val="none"/>
        </w:rPr>
        <w:t xml:space="preserve">月</w:t>
      </w:r>
      <w:r>
        <w:rPr>
          <w:color w:val="auto"/>
        </w:rPr>
      </w:r>
      <w:r/>
    </w:p>
    <w:p>
      <w:pPr>
        <w:pStyle w:val="876"/>
        <w:spacing w:before="120" w:beforeAutospacing="0" w:after="120" w:afterAutospacing="0" w:line="360" w:lineRule="auto"/>
        <w:rPr>
          <w:color w:val="auto"/>
          <w:highlight w:val="none"/>
        </w:rPr>
      </w:pPr>
      <w:r>
        <w:rPr>
          <w:rFonts w:ascii="Arial" w:hAnsi="Arial" w:cs="Arial"/>
          <w:color w:val="auto"/>
          <w:highlight w:val="none"/>
        </w:rPr>
        <w:t xml:space="preserve">                        </w:t>
      </w:r>
      <w:r>
        <w:rPr>
          <w:color w:val="auto"/>
        </w:rPr>
      </w:r>
      <w:r/>
    </w:p>
    <w:p>
      <w:pPr>
        <w:pStyle w:val="876"/>
        <w:jc w:val="center"/>
        <w:spacing w:before="120" w:beforeAutospacing="0" w:after="120" w:afterAutospacing="0" w:line="360" w:lineRule="auto"/>
        <w:rPr>
          <w:color w:val="auto"/>
          <w:highlight w:val="none"/>
        </w:rPr>
      </w:pPr>
      <w:r>
        <w:rPr>
          <w:color w:val="auto"/>
          <w:highlight w:val="none"/>
        </w:rPr>
        <w:t xml:space="preserve"> </w:t>
      </w:r>
      <w:r>
        <w:rPr>
          <w:color w:val="auto"/>
        </w:rPr>
      </w:r>
      <w:r/>
    </w:p>
    <w:p>
      <w:pPr>
        <w:pStyle w:val="876"/>
        <w:jc w:val="center"/>
        <w:spacing w:beforeAutospacing="0" w:afterAutospacing="0" w:line="480" w:lineRule="auto"/>
        <w:rPr>
          <w:rFonts w:ascii="Times New Roman" w:hAnsi="Times New Roman"/>
          <w:color w:val="auto"/>
          <w:sz w:val="21"/>
          <w:szCs w:val="21"/>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auto"/>
          <w:sz w:val="21"/>
          <w:szCs w:val="21"/>
          <w:highlight w:val="none"/>
        </w:rPr>
      </w:r>
      <w:r>
        <w:rPr>
          <w:color w:val="auto"/>
        </w:rPr>
      </w:r>
      <w:r/>
    </w:p>
    <w:p>
      <w:pPr>
        <w:pStyle w:val="876"/>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20823272"/>
      <w:r>
        <w:rPr>
          <w:color w:val="auto"/>
        </w:rPr>
      </w:r>
      <w:bookmarkStart w:id="1" w:name="_Toc16938516"/>
      <w:r>
        <w:rPr>
          <w:color w:val="auto"/>
        </w:rPr>
      </w:r>
      <w:bookmarkStart w:id="2" w:name="_Toc479757206"/>
      <w:r>
        <w:rPr>
          <w:color w:val="auto"/>
        </w:rPr>
      </w:r>
      <w:bookmarkStart w:id="3" w:name="_Toc120614210"/>
      <w:r>
        <w:rPr>
          <w:color w:val="auto"/>
        </w:rPr>
      </w:r>
      <w:bookmarkStart w:id="4" w:name="_Toc523127445"/>
      <w:r>
        <w:rPr>
          <w:color w:val="auto"/>
        </w:rPr>
      </w:r>
      <w:bookmarkStart w:id="5" w:name="_Toc513029200"/>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rPr>
          <w:color w:val="auto"/>
        </w:rPr>
      </w:r>
      <w:bookmarkEnd w:id="1"/>
      <w:r>
        <w:rPr>
          <w:color w:val="auto"/>
        </w:rPr>
      </w:r>
      <w:bookmarkEnd w:id="2"/>
      <w:r>
        <w:rPr>
          <w:color w:val="auto"/>
        </w:rPr>
      </w:r>
      <w:bookmarkEnd w:id="3"/>
      <w:r>
        <w:rPr>
          <w:color w:val="auto"/>
        </w:rPr>
      </w:r>
      <w:bookmarkEnd w:id="4"/>
      <w:r>
        <w:rPr>
          <w:color w:val="auto"/>
        </w:rPr>
      </w:r>
      <w:bookmarkEnd w:id="5"/>
      <w:r>
        <w:rPr>
          <w:color w:val="auto"/>
        </w:rPr>
      </w:r>
      <w:r/>
    </w:p>
    <w:p>
      <w:pPr>
        <w:pStyle w:val="876"/>
        <w:jc w:val="both"/>
        <w:spacing w:beforeAutospacing="0" w:afterAutospacing="0" w:line="480" w:lineRule="auto"/>
        <w:rPr>
          <w:color w:val="auto"/>
          <w:highlight w:val="none"/>
        </w:rPr>
      </w:pPr>
      <w:r>
        <w:rPr>
          <w:color w:val="auto"/>
          <w:highlight w:val="none"/>
        </w:rPr>
        <w:t xml:space="preserve"> </w:t>
      </w:r>
      <w:r>
        <w:rPr>
          <w:color w:val="auto"/>
        </w:rPr>
      </w:r>
      <w:r/>
    </w:p>
    <w:p>
      <w:pPr>
        <w:pStyle w:val="876"/>
        <w:ind w:left="2160" w:hanging="1440"/>
        <w:jc w:val="both"/>
        <w:spacing w:beforeAutospacing="0" w:afterAutospacing="0" w:line="480" w:lineRule="auto"/>
        <w:tabs>
          <w:tab w:val="left" w:pos="1441" w:leader="none"/>
        </w:tabs>
        <w:rPr>
          <w:rFonts w:hint="eastAsia" w:eastAsia="黑体"/>
          <w:color w:val="auto"/>
          <w:sz w:val="32"/>
          <w:szCs w:val="32"/>
          <w:highlight w:val="none"/>
        </w:rPr>
      </w:pPr>
      <w:r>
        <w:rPr>
          <w:rFonts w:hint="eastAsia" w:ascii="黑体" w:hAnsi="宋体" w:eastAsia="黑体" w:cs="黑体"/>
          <w:color w:val="auto"/>
          <w:sz w:val="32"/>
          <w:szCs w:val="32"/>
          <w:highlight w:val="none"/>
        </w:rPr>
        <w:t xml:space="preserve">第一章  招标公告……………………………………</w:t>
      </w:r>
      <w:r>
        <w:rPr>
          <w:rFonts w:hint="eastAsia" w:ascii="黑体" w:hAnsi="宋体" w:eastAsia="黑体" w:cs="黑体"/>
          <w:color w:val="auto"/>
          <w:sz w:val="32"/>
          <w:szCs w:val="32"/>
          <w:highlight w:val="none"/>
          <w:lang w:val="en-US" w:eastAsia="zh-CN"/>
        </w:rPr>
        <w:t xml:space="preserve">2</w:t>
      </w:r>
      <w:r>
        <w:rPr>
          <w:color w:val="auto"/>
        </w:rPr>
      </w:r>
      <w:r/>
    </w:p>
    <w:p>
      <w:pPr>
        <w:pStyle w:val="876"/>
        <w:ind w:left="2160" w:hanging="1440"/>
        <w:jc w:val="both"/>
        <w:spacing w:beforeAutospacing="0" w:afterAutospacing="0" w:line="480" w:lineRule="auto"/>
        <w:tabs>
          <w:tab w:val="left" w:pos="1441" w:leader="none"/>
        </w:tabs>
        <w:rPr>
          <w:color w:val="auto"/>
          <w:sz w:val="32"/>
          <w:szCs w:val="32"/>
          <w:highlight w:val="none"/>
        </w:rPr>
      </w:pPr>
      <w:r>
        <w:rPr>
          <w:rFonts w:hint="eastAsia" w:ascii="黑体" w:hAnsi="宋体" w:eastAsia="黑体" w:cs="黑体"/>
          <w:color w:val="auto"/>
          <w:sz w:val="32"/>
          <w:szCs w:val="32"/>
          <w:highlight w:val="none"/>
        </w:rPr>
        <w:t xml:space="preserve">第二章  投标人须知…………………………………</w:t>
      </w:r>
      <w:r>
        <w:rPr>
          <w:rFonts w:hint="eastAsia" w:ascii="黑体" w:hAnsi="宋体" w:eastAsia="黑体" w:cs="黑体"/>
          <w:color w:val="auto"/>
          <w:sz w:val="32"/>
          <w:szCs w:val="32"/>
          <w:highlight w:val="none"/>
          <w:lang w:val="en-US" w:eastAsia="zh-CN"/>
        </w:rPr>
        <w:t xml:space="preserve">7</w:t>
      </w:r>
      <w:r>
        <w:rPr>
          <w:rFonts w:hint="eastAsia" w:ascii="黑体" w:hAnsi="宋体" w:eastAsia="黑体" w:cs="黑体"/>
          <w:color w:val="auto"/>
          <w:sz w:val="32"/>
          <w:szCs w:val="32"/>
          <w:highlight w:val="none"/>
        </w:rPr>
        <w:t xml:space="preserve">  </w:t>
      </w:r>
      <w:r>
        <w:rPr>
          <w:color w:val="auto"/>
        </w:rPr>
      </w:r>
      <w:r/>
    </w:p>
    <w:p>
      <w:pPr>
        <w:pStyle w:val="876"/>
        <w:ind w:left="2160" w:hanging="1440"/>
        <w:jc w:val="both"/>
        <w:spacing w:beforeAutospacing="0" w:afterAutospacing="0" w:line="480" w:lineRule="auto"/>
        <w:tabs>
          <w:tab w:val="left" w:pos="1441" w:leader="none"/>
        </w:tabs>
        <w:rPr>
          <w:rFonts w:hint="default" w:eastAsia="黑体"/>
          <w:color w:val="auto"/>
          <w:sz w:val="32"/>
          <w:szCs w:val="32"/>
          <w:highlight w:val="none"/>
        </w:rPr>
      </w:pPr>
      <w:r>
        <w:rPr>
          <w:rFonts w:hint="eastAsia" w:ascii="黑体" w:hAnsi="宋体" w:eastAsia="黑体" w:cs="黑体"/>
          <w:color w:val="auto"/>
          <w:sz w:val="32"/>
          <w:szCs w:val="32"/>
          <w:highlight w:val="none"/>
        </w:rPr>
        <w:t xml:space="preserve">第三章  合同文本……………………………………</w:t>
      </w:r>
      <w:r>
        <w:rPr>
          <w:rFonts w:hint="eastAsia" w:ascii="黑体" w:hAnsi="宋体" w:eastAsia="黑体" w:cs="黑体"/>
          <w:color w:val="auto"/>
          <w:sz w:val="32"/>
          <w:szCs w:val="32"/>
          <w:highlight w:val="none"/>
          <w:lang w:val="en-US" w:eastAsia="zh-CN"/>
        </w:rPr>
        <w:t xml:space="preserve">27</w:t>
      </w:r>
      <w:r>
        <w:rPr>
          <w:color w:val="auto"/>
        </w:rPr>
      </w:r>
      <w:r/>
    </w:p>
    <w:p>
      <w:pPr>
        <w:pStyle w:val="876"/>
        <w:ind w:left="2160" w:hanging="1440"/>
        <w:jc w:val="both"/>
        <w:spacing w:beforeAutospacing="0" w:afterAutospacing="0" w:line="480" w:lineRule="auto"/>
        <w:tabs>
          <w:tab w:val="left" w:pos="1441" w:leader="none"/>
        </w:tabs>
        <w:rPr>
          <w:rFonts w:hint="default" w:eastAsia="黑体"/>
          <w:color w:val="auto"/>
          <w:sz w:val="32"/>
          <w:szCs w:val="32"/>
          <w:highlight w:val="none"/>
        </w:rPr>
      </w:pPr>
      <w:r>
        <w:rPr>
          <w:rFonts w:hint="eastAsia" w:ascii="黑体" w:hAnsi="宋体" w:eastAsia="黑体" w:cs="黑体"/>
          <w:color w:val="auto"/>
          <w:sz w:val="32"/>
          <w:szCs w:val="32"/>
          <w:highlight w:val="none"/>
        </w:rPr>
        <w:t xml:space="preserve">第四章  采购需求……………………………………51</w:t>
      </w:r>
      <w:r>
        <w:rPr>
          <w:color w:val="auto"/>
        </w:rPr>
      </w:r>
      <w:r/>
    </w:p>
    <w:p>
      <w:pPr>
        <w:pStyle w:val="876"/>
        <w:ind w:left="2160" w:hanging="1440"/>
        <w:jc w:val="both"/>
        <w:spacing w:beforeAutospacing="0" w:afterAutospacing="0" w:line="480" w:lineRule="auto"/>
        <w:tabs>
          <w:tab w:val="left" w:pos="1441" w:leader="none"/>
        </w:tabs>
        <w:rPr>
          <w:rFonts w:hint="default" w:eastAsia="黑体"/>
          <w:color w:val="auto"/>
          <w:sz w:val="32"/>
          <w:szCs w:val="32"/>
          <w:highlight w:val="none"/>
        </w:rPr>
      </w:pPr>
      <w:r>
        <w:rPr>
          <w:rFonts w:hint="eastAsia" w:ascii="黑体" w:hAnsi="宋体" w:eastAsia="黑体" w:cs="黑体"/>
          <w:color w:val="auto"/>
          <w:sz w:val="32"/>
          <w:szCs w:val="32"/>
          <w:highlight w:val="none"/>
        </w:rPr>
        <w:t xml:space="preserve">第五章  评标方法与评标标准………………………</w:t>
      </w:r>
      <w:r>
        <w:rPr>
          <w:rFonts w:hint="eastAsia" w:ascii="黑体" w:hAnsi="宋体" w:eastAsia="黑体" w:cs="黑体"/>
          <w:color w:val="auto"/>
          <w:sz w:val="32"/>
          <w:szCs w:val="32"/>
          <w:highlight w:val="none"/>
          <w:lang w:val="en-US" w:eastAsia="zh-CN"/>
        </w:rPr>
        <w:t xml:space="preserve">62</w:t>
      </w:r>
      <w:r>
        <w:rPr>
          <w:color w:val="auto"/>
        </w:rPr>
      </w:r>
      <w:r/>
    </w:p>
    <w:p>
      <w:pPr>
        <w:pStyle w:val="876"/>
        <w:ind w:left="2160" w:hanging="1440"/>
        <w:jc w:val="both"/>
        <w:spacing w:beforeAutospacing="0" w:afterAutospacing="0" w:line="480" w:lineRule="auto"/>
        <w:tabs>
          <w:tab w:val="left" w:pos="1441" w:leader="none"/>
        </w:tabs>
        <w:rPr>
          <w:rFonts w:hint="default" w:eastAsia="黑体"/>
          <w:color w:val="auto"/>
          <w:sz w:val="32"/>
          <w:szCs w:val="32"/>
          <w:highlight w:val="none"/>
        </w:rPr>
      </w:pPr>
      <w:r>
        <w:rPr>
          <w:rFonts w:hint="eastAsia" w:ascii="黑体" w:hAnsi="宋体" w:eastAsia="黑体" w:cs="黑体"/>
          <w:color w:val="auto"/>
          <w:sz w:val="32"/>
          <w:szCs w:val="32"/>
          <w:highlight w:val="none"/>
        </w:rPr>
        <w:t xml:space="preserve">第六章  投标文件格式………………………………</w:t>
      </w:r>
      <w:r>
        <w:rPr>
          <w:rFonts w:hint="eastAsia" w:ascii="黑体" w:hAnsi="宋体" w:eastAsia="黑体" w:cs="黑体"/>
          <w:color w:val="auto"/>
          <w:sz w:val="32"/>
          <w:szCs w:val="32"/>
          <w:highlight w:val="none"/>
          <w:lang w:val="en-US" w:eastAsia="zh-CN"/>
        </w:rPr>
        <w:t xml:space="preserve">66</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center"/>
        <w:keepNext/>
        <w:spacing w:beforeAutospacing="0" w:afterAutospacing="0"/>
        <w:rPr>
          <w:rFonts w:eastAsia="黑体"/>
          <w:color w:val="auto"/>
          <w:highlight w:val="none"/>
        </w:rPr>
      </w:pPr>
      <w:r>
        <w:rPr>
          <w:rFonts w:hint="eastAsia" w:ascii="黑体" w:hAnsi="宋体" w:eastAsia="黑体" w:cs="黑体"/>
          <w:color w:val="auto"/>
          <w:sz w:val="44"/>
          <w:szCs w:val="44"/>
          <w:highlight w:val="none"/>
        </w:rPr>
        <w:t xml:space="preserve">第一章 招标公告</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rPr>
        <w:t xml:space="preserve">2026-2028年环科城雨、污水管网管护服务项目</w:t>
      </w:r>
      <w:r>
        <w:rPr>
          <w:rFonts w:hint="eastAsia" w:ascii="宋体" w:hAnsi="宋体" w:eastAsia="宋体" w:cs="宋体"/>
          <w:color w:val="auto"/>
          <w:highlight w:val="none"/>
        </w:rPr>
        <w:t xml:space="preserve">的潜在投标人应在“苏采云”系统内免费下载（投标人必须在苏采云系统中获取采购文件，方能参与政府采购项目），并于</w:t>
      </w:r>
      <w:r>
        <w:rPr>
          <w:rFonts w:hint="eastAsia" w:ascii="宋体" w:hAnsi="宋体" w:eastAsia="宋体" w:cs="宋体"/>
          <w:b/>
          <w:bCs/>
          <w:color w:val="auto"/>
          <w:highlight w:val="none"/>
          <w:u w:val="single"/>
        </w:rPr>
        <w:t xml:space="preserve">2026年 </w:t>
      </w:r>
      <w:r>
        <w:rPr>
          <w:rFonts w:hint="eastAsia" w:ascii="宋体" w:hAnsi="宋体" w:eastAsia="宋体" w:cs="宋体"/>
          <w:b/>
          <w:bCs/>
          <w:color w:val="auto"/>
          <w:highlight w:val="none"/>
          <w:u w:val="single"/>
          <w:lang w:val="en-US" w:eastAsia="zh-CN"/>
        </w:rPr>
        <w:t xml:space="preserve">9</w:t>
      </w:r>
      <w:r>
        <w:rPr>
          <w:rFonts w:hint="eastAsia" w:ascii="宋体" w:hAnsi="宋体" w:eastAsia="宋体" w:cs="宋体"/>
          <w:b/>
          <w:bCs/>
          <w:color w:val="auto"/>
          <w:highlight w:val="none"/>
          <w:u w:val="single"/>
        </w:rPr>
        <w:t xml:space="preserve">月</w:t>
      </w:r>
      <w:r>
        <w:rPr>
          <w:rFonts w:hint="eastAsia" w:ascii="宋体" w:hAnsi="宋体" w:eastAsia="宋体" w:cs="宋体"/>
          <w:b/>
          <w:bCs/>
          <w:color w:val="auto"/>
          <w:highlight w:val="none"/>
          <w:u w:val="single"/>
          <w:lang w:val="en-US" w:eastAsia="zh-CN"/>
        </w:rPr>
        <w:t xml:space="preserve">30</w:t>
      </w:r>
      <w:r>
        <w:rPr>
          <w:rFonts w:hint="eastAsia" w:ascii="宋体" w:hAnsi="宋体" w:eastAsia="宋体" w:cs="宋体"/>
          <w:b/>
          <w:bCs/>
          <w:color w:val="auto"/>
          <w:highlight w:val="none"/>
          <w:u w:val="single"/>
        </w:rPr>
        <w:t xml:space="preserve">日09点00分</w:t>
      </w:r>
      <w:r>
        <w:rPr>
          <w:rFonts w:hint="eastAsia" w:ascii="宋体" w:hAnsi="宋体" w:eastAsia="宋体" w:cs="宋体"/>
          <w:color w:val="auto"/>
          <w:highlight w:val="none"/>
        </w:rPr>
        <w:t xml:space="preserve">（北京时间）前递交投标文件。</w:t>
      </w:r>
      <w:r>
        <w:rPr>
          <w:color w:val="auto"/>
        </w:rPr>
      </w:r>
      <w:r/>
    </w:p>
    <w:p>
      <w:pPr>
        <w:ind w:firstLine="482"/>
        <w:jc w:val="left"/>
        <w:spacing w:line="440" w:lineRule="exact"/>
        <w:widowControl/>
        <w:rPr>
          <w:rFonts w:ascii="宋体" w:hAnsi="宋体" w:eastAsia="宋体" w:cs="宋体"/>
          <w:b/>
          <w:bCs/>
          <w:color w:val="auto"/>
          <w:sz w:val="24"/>
          <w:highlight w:val="none"/>
        </w:rPr>
      </w:pPr>
      <w:r>
        <w:rPr>
          <w:color w:val="auto"/>
        </w:rPr>
      </w:r>
      <w:bookmarkStart w:id="6" w:name="_Toc35393790"/>
      <w:r>
        <w:rPr>
          <w:color w:val="auto"/>
        </w:rPr>
      </w:r>
      <w:bookmarkStart w:id="7" w:name="_Hlk24379207"/>
      <w:r>
        <w:rPr>
          <w:color w:val="auto"/>
        </w:rPr>
      </w:r>
      <w:bookmarkStart w:id="8" w:name="_Toc28359002"/>
      <w:r>
        <w:rPr>
          <w:color w:val="auto"/>
        </w:rPr>
      </w:r>
      <w:bookmarkStart w:id="9" w:name="_Toc38985263"/>
      <w:r>
        <w:rPr>
          <w:color w:val="auto"/>
        </w:rPr>
      </w:r>
      <w:bookmarkStart w:id="10" w:name="_Toc35393621"/>
      <w:r>
        <w:rPr>
          <w:color w:val="auto"/>
        </w:rPr>
      </w:r>
      <w:bookmarkStart w:id="11" w:name="_Toc28359079"/>
      <w:r>
        <w:rPr>
          <w:rFonts w:hint="eastAsia" w:ascii="宋体" w:hAnsi="宋体" w:eastAsia="宋体" w:cs="宋体"/>
          <w:b/>
          <w:bCs/>
          <w:color w:val="auto"/>
          <w:sz w:val="24"/>
          <w:highlight w:val="none"/>
        </w:rPr>
        <w:t xml:space="preserve">一、项目基本情况</w:t>
      </w:r>
      <w:bookmarkEnd w:id="6"/>
      <w:r>
        <w:rPr>
          <w:color w:val="auto"/>
        </w:rPr>
      </w:r>
      <w:bookmarkEnd w:id="7"/>
      <w:r>
        <w:rPr>
          <w:color w:val="auto"/>
        </w:rPr>
      </w:r>
      <w:bookmarkEnd w:id="8"/>
      <w:r>
        <w:rPr>
          <w:color w:val="auto"/>
        </w:rPr>
      </w:r>
      <w:bookmarkEnd w:id="9"/>
      <w:r>
        <w:rPr>
          <w:color w:val="auto"/>
        </w:rPr>
      </w:r>
      <w:bookmarkEnd w:id="10"/>
      <w:r>
        <w:rPr>
          <w:color w:val="auto"/>
        </w:rPr>
      </w:r>
      <w:bookmarkEnd w:id="11"/>
      <w:r>
        <w:rPr>
          <w:color w:val="auto"/>
        </w:rPr>
      </w:r>
      <w:r/>
    </w:p>
    <w:p>
      <w:pPr>
        <w:pStyle w:val="876"/>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1.项目编号：</w:t>
      </w:r>
      <w:r>
        <w:rPr>
          <w:rFonts w:hint="eastAsia" w:ascii="宋体" w:hAnsi="宋体" w:eastAsia="宋体" w:cs="宋体"/>
          <w:color w:val="auto"/>
          <w:highlight w:val="none"/>
          <w:lang w:eastAsia="zh-CN"/>
        </w:rPr>
        <w:t xml:space="preserve">JSZC-320902-YCSJ-G2026-0008</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2.项目名称：2026-2028年环科城雨、污水管网管护服务项目</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3.采购方式：公开招标</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4.预算金额：</w:t>
      </w:r>
      <w:r>
        <w:rPr>
          <w:rFonts w:hint="eastAsia" w:ascii="宋体" w:hAnsi="宋体" w:eastAsia="宋体" w:cs="宋体"/>
          <w:color w:val="auto"/>
          <w:highlight w:val="none"/>
          <w:lang w:val="en-US" w:eastAsia="zh-CN"/>
        </w:rPr>
        <w:t xml:space="preserve">355.59</w:t>
      </w:r>
      <w:r>
        <w:rPr>
          <w:rFonts w:hint="eastAsia" w:ascii="宋体" w:hAnsi="宋体" w:eastAsia="宋体" w:cs="宋体"/>
          <w:color w:val="auto"/>
          <w:highlight w:val="none"/>
        </w:rPr>
        <w:t xml:space="preserve">万元</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5.最高限价：342</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89853万元</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6.采购需求：2026-2028年环科城雨、污水管网管护服务项目，为盐城环保科技城辖区内雨污水管网提供巡查管护服务，包含管网疏通、污水泵站运行维护等常态化巡查管护（含驻点办公、污水管网检测、管网普查以及CCTV检测报告的编制），应急排水处置、汛期防汛值守等相关工作。具体以采购人提供的</w:t>
      </w:r>
      <w:r>
        <w:rPr>
          <w:rFonts w:hint="eastAsia" w:ascii="宋体" w:hAnsi="宋体" w:eastAsia="宋体" w:cs="宋体"/>
          <w:color w:val="auto"/>
          <w:highlight w:val="none"/>
          <w:lang w:val="en-US" w:eastAsia="zh-CN"/>
        </w:rPr>
        <w:t xml:space="preserve">管护</w:t>
      </w:r>
      <w:r>
        <w:rPr>
          <w:rFonts w:hint="eastAsia" w:ascii="宋体" w:hAnsi="宋体" w:eastAsia="宋体" w:cs="宋体"/>
          <w:color w:val="auto"/>
          <w:highlight w:val="none"/>
        </w:rPr>
        <w:t xml:space="preserve">量清单、施工图纸及采购人现场要求为准，服从采购人管理，采购人保留对上述</w:t>
      </w:r>
      <w:r>
        <w:rPr>
          <w:rFonts w:hint="eastAsia" w:ascii="宋体" w:hAnsi="宋体" w:eastAsia="宋体" w:cs="宋体"/>
          <w:color w:val="auto"/>
          <w:highlight w:val="none"/>
          <w:lang w:val="en-US" w:eastAsia="zh-CN"/>
        </w:rPr>
        <w:t xml:space="preserve">工作</w:t>
      </w:r>
      <w:r>
        <w:rPr>
          <w:rFonts w:hint="eastAsia" w:ascii="宋体" w:hAnsi="宋体" w:eastAsia="宋体" w:cs="宋体"/>
          <w:color w:val="auto"/>
          <w:highlight w:val="none"/>
        </w:rPr>
        <w:t xml:space="preserve">量及范围适当调整的权利。</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7.合同履行期限：</w:t>
      </w:r>
      <w:r>
        <w:rPr>
          <w:rFonts w:hint="eastAsia" w:ascii="宋体" w:hAnsi="宋体" w:eastAsia="宋体" w:cs="宋体"/>
          <w:color w:val="auto"/>
          <w:sz w:val="24"/>
          <w:highlight w:val="none"/>
        </w:rPr>
        <w:t xml:space="preserve">两年，合同一年一签。首个服务年度合同期满，经采购人及</w:t>
      </w:r>
      <w:r>
        <w:rPr>
          <w:rFonts w:hint="eastAsia" w:ascii="宋体" w:hAnsi="宋体" w:cs="宋体"/>
          <w:color w:val="auto"/>
          <w:sz w:val="24"/>
          <w:highlight w:val="none"/>
        </w:rPr>
        <w:t xml:space="preserve">属地街道的管理</w:t>
      </w:r>
      <w:r>
        <w:rPr>
          <w:rFonts w:hint="eastAsia" w:ascii="宋体" w:hAnsi="宋体" w:eastAsia="宋体" w:cs="宋体"/>
          <w:color w:val="auto"/>
          <w:sz w:val="24"/>
          <w:highlight w:val="none"/>
        </w:rPr>
        <w:t xml:space="preserve">考核，服务成果符合《市政基础设施维护维修质量考核标准》，且采购人出具书面顺延确认，合同顺延 1 年；若采购人未出具书面顺延确认，本合同自生效之日起满一年自动终止。</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8.</w:t>
      </w:r>
      <w:r>
        <w:rPr>
          <w:rFonts w:hint="eastAsia" w:ascii="宋体" w:hAnsi="宋体" w:eastAsia="宋体" w:cs="宋体"/>
          <w:color w:val="auto"/>
          <w:highlight w:val="none"/>
        </w:rPr>
        <w:t xml:space="preserve">本项目（是/否）接受联合体投标：否</w:t>
      </w:r>
      <w:r>
        <w:rPr>
          <w:rFonts w:hint="eastAsia" w:ascii="宋体" w:hAnsi="宋体" w:eastAsia="宋体" w:cs="宋体"/>
          <w:color w:val="auto"/>
          <w:highlight w:val="none"/>
        </w:rPr>
        <w:t xml:space="preserve">。</w:t>
      </w:r>
      <w:r>
        <w:rPr>
          <w:color w:val="auto"/>
        </w:rPr>
      </w:r>
      <w:r/>
    </w:p>
    <w:p>
      <w:pPr>
        <w:ind w:firstLine="482"/>
        <w:jc w:val="left"/>
        <w:spacing w:line="440" w:lineRule="exact"/>
        <w:widowControl/>
        <w:rPr>
          <w:rFonts w:ascii="宋体" w:hAnsi="宋体" w:eastAsia="宋体" w:cs="宋体"/>
          <w:b/>
          <w:bCs/>
          <w:color w:val="auto"/>
          <w:sz w:val="24"/>
          <w:highlight w:val="none"/>
        </w:rPr>
      </w:pPr>
      <w:r>
        <w:rPr>
          <w:color w:val="auto"/>
        </w:rPr>
      </w:r>
      <w:bookmarkStart w:id="12" w:name="_Toc28359003"/>
      <w:r>
        <w:rPr>
          <w:color w:val="auto"/>
        </w:rPr>
      </w:r>
      <w:bookmarkStart w:id="13" w:name="_Toc35393622"/>
      <w:r>
        <w:rPr>
          <w:color w:val="auto"/>
        </w:rPr>
      </w:r>
      <w:bookmarkStart w:id="14" w:name="_Toc38985264"/>
      <w:r>
        <w:rPr>
          <w:color w:val="auto"/>
        </w:rPr>
      </w:r>
      <w:bookmarkStart w:id="15" w:name="_Toc35393791"/>
      <w:r>
        <w:rPr>
          <w:color w:val="auto"/>
        </w:rPr>
      </w:r>
      <w:bookmarkStart w:id="16" w:name="_Toc28359080"/>
      <w:r>
        <w:rPr>
          <w:rFonts w:hint="eastAsia" w:ascii="宋体" w:hAnsi="宋体" w:eastAsia="宋体" w:cs="宋体"/>
          <w:b/>
          <w:bCs/>
          <w:color w:val="auto"/>
          <w:sz w:val="24"/>
          <w:highlight w:val="none"/>
        </w:rPr>
        <w:t xml:space="preserve">二、申请人的资格要求：</w:t>
      </w:r>
      <w:bookmarkEnd w:id="12"/>
      <w:r>
        <w:rPr>
          <w:color w:val="auto"/>
        </w:rPr>
      </w:r>
      <w:bookmarkEnd w:id="13"/>
      <w:r>
        <w:rPr>
          <w:color w:val="auto"/>
        </w:rPr>
      </w:r>
      <w:bookmarkEnd w:id="14"/>
      <w:r>
        <w:rPr>
          <w:color w:val="auto"/>
        </w:rPr>
      </w:r>
      <w:bookmarkEnd w:id="15"/>
      <w:r>
        <w:rPr>
          <w:color w:val="auto"/>
        </w:rPr>
      </w:r>
      <w:bookmarkEnd w:id="16"/>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rPr>
        <w:t xml:space="preserve">一</w:t>
      </w:r>
      <w:r>
        <w:rPr>
          <w:rFonts w:hint="eastAsia" w:ascii="宋体" w:hAnsi="宋体" w:eastAsia="宋体" w:cs="宋体"/>
          <w:color w:val="auto"/>
          <w:highlight w:val="none"/>
        </w:rPr>
        <w:t xml:space="preserve">）满足《中华人民共和国政府采购法》第二十二条规定，并提供下列材料：</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1.法人或者其他组织的营业执照等证明文件或自然人的身份证明；</w:t>
      </w:r>
      <w:r>
        <w:rPr>
          <w:color w:val="auto"/>
        </w:rPr>
      </w:r>
      <w:r/>
    </w:p>
    <w:p>
      <w:pPr>
        <w:ind w:firstLine="480"/>
        <w:jc w:val="left"/>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2.上一年度的财务状况</w:t>
      </w:r>
      <w:r>
        <w:rPr>
          <w:rFonts w:hint="eastAsia" w:ascii="宋体" w:hAnsi="宋体" w:eastAsia="宋体" w:cs="宋体"/>
          <w:color w:val="auto"/>
          <w:sz w:val="24"/>
          <w:highlight w:val="none"/>
        </w:rPr>
        <w:t xml:space="preserve">报告(财务状况报表至少包含利润表、资产负债表、现金流量表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成立不满一年不需提供)</w:t>
      </w:r>
      <w:r>
        <w:rPr>
          <w:rFonts w:hint="eastAsia" w:ascii="宋体" w:hAnsi="宋体" w:eastAsia="宋体" w:cs="宋体"/>
          <w:color w:val="auto"/>
          <w:sz w:val="24"/>
          <w:highlight w:val="none"/>
        </w:rPr>
        <w:t xml:space="preserve">；</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3.具备履行合同所必需的设备和专业技术能力的书面声明；</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5.参加政府采购活动前3年内在经营活动中没有重大违法记录的书面声明。</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6.法律、行政法规规定的其他条件。</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8.单位负责人为同一人或者存在直接控股、管理关系的不同供应商，不得参加同一合同项下的政府采购活动。</w:t>
      </w:r>
      <w:r>
        <w:rPr>
          <w:color w:val="auto"/>
        </w:rPr>
      </w:r>
      <w:r/>
    </w:p>
    <w:p>
      <w:pPr>
        <w:pStyle w:val="876"/>
        <w:ind w:firstLine="482"/>
        <w:jc w:val="both"/>
        <w:spacing w:beforeAutospacing="0" w:afterAutospacing="0" w:line="480" w:lineRule="exact"/>
        <w:rPr>
          <w:rFonts w:hint="eastAsia" w:ascii="宋体" w:hAnsi="宋体" w:eastAsia="宋体" w:cs="宋体"/>
          <w:b/>
          <w:bCs/>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rPr>
        <w:t xml:space="preserve">二</w:t>
      </w:r>
      <w:r>
        <w:rPr>
          <w:rFonts w:hint="eastAsia" w:ascii="宋体" w:hAnsi="宋体" w:eastAsia="宋体" w:cs="宋体"/>
          <w:color w:val="auto"/>
          <w:highlight w:val="none"/>
        </w:rPr>
        <w:t xml:space="preserve">）落实政府采购政策需满足的资格要求：</w:t>
      </w:r>
      <w:r>
        <w:rPr>
          <w:rFonts w:hint="eastAsia" w:ascii="宋体" w:hAnsi="宋体" w:eastAsia="宋体" w:cs="宋体"/>
          <w:b/>
          <w:bCs/>
          <w:color w:val="auto"/>
          <w:highlight w:val="none"/>
        </w:rPr>
      </w:r>
      <w:r>
        <w:rPr>
          <w:rFonts w:ascii="宋体" w:hAnsi="宋体" w:eastAsia="宋体" w:cs="宋体"/>
          <w:color w:val="auto"/>
          <w:highlight w:val="none"/>
        </w:rP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b/>
          <w:bCs/>
          <w:color w:val="auto"/>
          <w:highlight w:val="none"/>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rPr>
          <w:rFonts w:hint="eastAsia" w:ascii="宋体" w:hAnsi="宋体"/>
          <w:b/>
          <w:bCs/>
          <w:color w:val="auto"/>
          <w:highlight w:val="none"/>
        </w:rPr>
        <w:t xml:space="preserve">否则按无效标处理。</w:t>
      </w: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rPr>
        <w:t xml:space="preserve">三</w:t>
      </w:r>
      <w:r>
        <w:rPr>
          <w:rFonts w:hint="eastAsia" w:ascii="宋体" w:hAnsi="宋体" w:eastAsia="宋体" w:cs="宋体"/>
          <w:color w:val="auto"/>
          <w:highlight w:val="none"/>
        </w:rPr>
        <w:t xml:space="preserve">）本项目的特定资格要求：</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rPr>
        <w:t xml:space="preserve">投标供应商资质要求</w:t>
      </w:r>
      <w:r>
        <w:rPr>
          <w:rFonts w:hint="eastAsia" w:ascii="宋体" w:hAnsi="宋体" w:eastAsia="宋体" w:cs="宋体"/>
          <w:color w:val="auto"/>
          <w:highlight w:val="none"/>
        </w:rPr>
        <w:t xml:space="preserve">：须具有市政公用工程施工总承包</w:t>
      </w:r>
      <w:r>
        <w:rPr>
          <w:rFonts w:hint="eastAsia" w:ascii="宋体" w:hAnsi="宋体" w:eastAsia="宋体" w:cs="宋体"/>
          <w:color w:val="auto"/>
          <w:highlight w:val="none"/>
          <w:lang w:eastAsia="zh-CN"/>
        </w:rPr>
        <w:t xml:space="preserve">叁</w:t>
      </w:r>
      <w:r>
        <w:rPr>
          <w:rFonts w:hint="eastAsia" w:ascii="宋体" w:hAnsi="宋体" w:eastAsia="宋体" w:cs="宋体"/>
          <w:color w:val="auto"/>
          <w:highlight w:val="none"/>
        </w:rPr>
        <w:t xml:space="preserve">级及其以上资质，并取得有效的安全生产许可证的独立法人。</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2.项目负责人资格和要求：项目负责人须具有注册专业为市政公用工程专业二级及以上建造师注册证书，并具有安全生产考核合格证书（B类）。</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3.拟投入安全员须具有专职安全生产管理人员安全生产考核合格证书（C证）。</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4.其他人员配备要求：投标人须具有应急管理部门（安全监督部门）颁发的低压电工操作证人员2名、应急管理部门（安全监督部门）或其他机构颁发的有限空间作业相关证书的人员2名。</w:t>
      </w:r>
      <w:r>
        <w:rPr>
          <w:color w:val="auto"/>
        </w:rPr>
      </w:r>
      <w:r/>
    </w:p>
    <w:p>
      <w:pPr>
        <w:pStyle w:val="876"/>
        <w:ind w:firstLine="482"/>
        <w:jc w:val="both"/>
        <w:spacing w:beforeAutospacing="0" w:afterAutospacing="0" w:line="480" w:lineRule="exact"/>
        <w:rPr>
          <w:rFonts w:ascii="宋体" w:hAnsi="宋体" w:eastAsia="宋体" w:cs="宋体"/>
          <w:color w:val="auto"/>
          <w:highlight w:val="none"/>
        </w:rPr>
      </w:pPr>
      <w:r>
        <w:rPr>
          <w:rFonts w:hint="eastAsia" w:ascii="宋体" w:hAnsi="宋体" w:eastAsia="宋体" w:cs="宋体"/>
          <w:color w:val="auto"/>
          <w:highlight w:val="none"/>
        </w:rPr>
        <w:t xml:space="preserve">5.投标申请人须保证项目负责人、授权委托人和项目组其他人员均为本单位的正式职工，投标时提供从2026年5月开始至投标截止之日当月至少1个月在本单位缴纳养老保险缴费记录证明。（退休人员提供在本单位相关证明）。</w:t>
      </w:r>
      <w:r>
        <w:rPr>
          <w:color w:val="auto"/>
        </w:rPr>
      </w:r>
      <w:r/>
    </w:p>
    <w:p>
      <w:pPr>
        <w:ind w:firstLine="482"/>
        <w:jc w:val="left"/>
        <w:spacing w:line="44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三、获取招标文件</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color w:val="auto"/>
        </w:rPr>
      </w:r>
      <w:bookmarkStart w:id="17" w:name="_Toc28359082"/>
      <w:r>
        <w:rPr>
          <w:color w:val="auto"/>
        </w:rPr>
      </w:r>
      <w:bookmarkStart w:id="18" w:name="_Toc35393624"/>
      <w:r>
        <w:rPr>
          <w:color w:val="auto"/>
        </w:rPr>
      </w:r>
      <w:bookmarkStart w:id="19" w:name="_Toc35393793"/>
      <w:r>
        <w:rPr>
          <w:color w:val="auto"/>
        </w:rPr>
      </w:r>
      <w:bookmarkStart w:id="20" w:name="_Toc28359005"/>
      <w:r>
        <w:rPr>
          <w:color w:val="auto"/>
        </w:rPr>
      </w:r>
      <w:bookmarkStart w:id="21" w:name="_Toc38985266"/>
      <w:r>
        <w:rPr>
          <w:rFonts w:hint="eastAsia" w:ascii="宋体" w:hAnsi="宋体" w:eastAsia="宋体" w:cs="宋体"/>
          <w:color w:val="auto"/>
          <w:highlight w:val="none"/>
        </w:rPr>
        <w:t xml:space="preserve">1.时间：</w:t>
      </w:r>
      <w:bookmarkEnd w:id="17"/>
      <w:r>
        <w:rPr>
          <w:color w:val="auto"/>
        </w:rPr>
      </w:r>
      <w:bookmarkEnd w:id="18"/>
      <w:r>
        <w:rPr>
          <w:color w:val="auto"/>
        </w:rPr>
      </w:r>
      <w:bookmarkEnd w:id="19"/>
      <w:r>
        <w:rPr>
          <w:color w:val="auto"/>
        </w:rPr>
      </w:r>
      <w:bookmarkEnd w:id="20"/>
      <w:r>
        <w:rPr>
          <w:color w:val="auto"/>
        </w:rPr>
      </w:r>
      <w:bookmarkEnd w:id="21"/>
      <w:r>
        <w:rPr>
          <w:rFonts w:hint="eastAsia" w:ascii="宋体" w:hAnsi="宋体" w:eastAsia="宋体" w:cs="宋体"/>
          <w:color w:val="auto"/>
          <w:highlight w:val="none"/>
        </w:rPr>
        <w:t xml:space="preserve">自招标文件公告发布之日起5个工作日。</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2.地点：“苏采云”系统内免费下载（投标人必须在苏采云系统中获取采购文件，方能参与政府采购项目）；</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3.方式：本项目采用网上注册登记方式。 </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4.售价：0元</w:t>
      </w:r>
      <w:r>
        <w:rPr>
          <w:color w:val="auto"/>
        </w:rPr>
      </w:r>
      <w:r/>
    </w:p>
    <w:p>
      <w:pPr>
        <w:ind w:firstLine="482"/>
        <w:jc w:val="left"/>
        <w:spacing w:line="44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四、提交投标文件截止时间、开标时间和地点</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1.时间：2026年</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日9点00分（北京时间）</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2.地点：苏采云“不见面”开标大厅 。</w:t>
      </w:r>
      <w:r>
        <w:rPr>
          <w:color w:val="auto"/>
        </w:rPr>
      </w:r>
      <w:r/>
    </w:p>
    <w:p>
      <w:pPr>
        <w:ind w:firstLine="482"/>
        <w:jc w:val="left"/>
        <w:spacing w:line="440" w:lineRule="exact"/>
        <w:widowControl/>
        <w:rPr>
          <w:rFonts w:ascii="宋体" w:hAnsi="宋体" w:eastAsia="宋体" w:cs="宋体"/>
          <w:b/>
          <w:bCs/>
          <w:color w:val="auto"/>
          <w:sz w:val="24"/>
          <w:highlight w:val="none"/>
        </w:rPr>
      </w:pPr>
      <w:r>
        <w:rPr>
          <w:color w:val="auto"/>
        </w:rPr>
      </w:r>
      <w:bookmarkStart w:id="22" w:name="_Toc35393794"/>
      <w:r>
        <w:rPr>
          <w:color w:val="auto"/>
        </w:rPr>
      </w:r>
      <w:bookmarkStart w:id="23" w:name="_Toc35393625"/>
      <w:r>
        <w:rPr>
          <w:color w:val="auto"/>
        </w:rPr>
      </w:r>
      <w:bookmarkStart w:id="24" w:name="_Toc28359084"/>
      <w:r>
        <w:rPr>
          <w:color w:val="auto"/>
        </w:rPr>
      </w:r>
      <w:bookmarkStart w:id="25" w:name="_Toc38985267"/>
      <w:r>
        <w:rPr>
          <w:color w:val="auto"/>
        </w:rPr>
      </w:r>
      <w:bookmarkStart w:id="26" w:name="_Toc28359007"/>
      <w:r>
        <w:rPr>
          <w:rFonts w:hint="eastAsia" w:ascii="宋体" w:hAnsi="宋体" w:eastAsia="宋体" w:cs="宋体"/>
          <w:b/>
          <w:bCs/>
          <w:color w:val="auto"/>
          <w:sz w:val="24"/>
          <w:highlight w:val="none"/>
        </w:rPr>
        <w:t xml:space="preserve">五、公告期限</w:t>
      </w:r>
      <w:bookmarkEnd w:id="22"/>
      <w:r>
        <w:rPr>
          <w:color w:val="auto"/>
        </w:rPr>
      </w:r>
      <w:bookmarkEnd w:id="23"/>
      <w:r>
        <w:rPr>
          <w:color w:val="auto"/>
        </w:rPr>
      </w:r>
      <w:bookmarkEnd w:id="24"/>
      <w:r>
        <w:rPr>
          <w:color w:val="auto"/>
        </w:rPr>
      </w:r>
      <w:bookmarkEnd w:id="25"/>
      <w:r>
        <w:rPr>
          <w:color w:val="auto"/>
        </w:rPr>
      </w:r>
      <w:bookmarkEnd w:id="26"/>
      <w:r>
        <w:rPr>
          <w:color w:val="auto"/>
        </w:rPr>
      </w:r>
      <w:r/>
    </w:p>
    <w:p>
      <w:pPr>
        <w:pStyle w:val="876"/>
        <w:ind w:firstLine="560"/>
        <w:jc w:val="both"/>
        <w:spacing w:beforeAutospacing="0" w:afterAutospacing="0"/>
        <w:shd w:val="clear" w:color="auto" w:fill="ffffff"/>
        <w:widowControl/>
        <w:rPr>
          <w:rFonts w:ascii="宋体" w:hAnsi="宋体" w:eastAsia="宋体" w:cs="宋体"/>
          <w:color w:val="auto"/>
          <w:highlight w:val="none"/>
          <w:shd w:val="clear" w:color="auto" w:fill="ffffff"/>
        </w:rPr>
      </w:pPr>
      <w:r>
        <w:rPr>
          <w:color w:val="auto"/>
        </w:rPr>
      </w:r>
      <w:bookmarkStart w:id="27" w:name="_Toc35393626"/>
      <w:r>
        <w:rPr>
          <w:color w:val="auto"/>
        </w:rPr>
      </w:r>
      <w:bookmarkStart w:id="28" w:name="_Toc35393795"/>
      <w:r>
        <w:rPr>
          <w:color w:val="auto"/>
        </w:rPr>
      </w:r>
      <w:bookmarkStart w:id="29" w:name="_Toc38985268"/>
      <w:r>
        <w:rPr>
          <w:rFonts w:hint="eastAsia" w:ascii="宋体" w:hAnsi="宋体" w:eastAsia="宋体" w:cs="宋体"/>
          <w:color w:val="auto"/>
          <w:highlight w:val="none"/>
          <w:shd w:val="clear" w:color="auto" w:fill="ffffff"/>
        </w:rPr>
        <w:t xml:space="preserve">自本公告发布之日起5个工作日。</w:t>
      </w:r>
      <w:bookmarkEnd w:id="27"/>
      <w:r>
        <w:rPr>
          <w:color w:val="auto"/>
        </w:rPr>
      </w:r>
      <w:bookmarkEnd w:id="28"/>
      <w:r>
        <w:rPr>
          <w:color w:val="auto"/>
        </w:rPr>
      </w:r>
      <w:bookmarkEnd w:id="29"/>
      <w:r>
        <w:rPr>
          <w:color w:val="auto"/>
        </w:rPr>
      </w:r>
      <w:r/>
    </w:p>
    <w:p>
      <w:pPr>
        <w:ind w:firstLine="482"/>
        <w:jc w:val="left"/>
        <w:spacing w:line="44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六、其他补充事宜</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color w:val="auto"/>
        </w:rPr>
      </w:r>
      <w:bookmarkStart w:id="30" w:name="_Toc28359018"/>
      <w:r>
        <w:rPr>
          <w:rFonts w:hint="eastAsia" w:ascii="宋体" w:hAnsi="宋体" w:eastAsia="宋体" w:cs="宋体"/>
          <w:color w:val="auto"/>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领取CA和办理电子签章（请</w:t>
      </w:r>
      <w:r>
        <w:rPr>
          <w:rFonts w:hint="eastAsia" w:ascii="宋体" w:hAnsi="宋体" w:eastAsia="宋体" w:cs="宋体"/>
          <w:color w:val="auto"/>
          <w:highlight w:val="none"/>
        </w:rPr>
        <w:t xml:space="preserve">至盐城市盐都区府西路1号盐城市政务服务中心4楼盐城市公共资源交易中心10号，11号窗口办理，联系电话：15051556883，办理邮箱：yancheng@ideabank.net.cn，具体联系方式见</w:t>
      </w:r>
      <w:r>
        <w:rPr>
          <w:rFonts w:hint="eastAsia" w:ascii="宋体" w:hAnsi="宋体" w:eastAsia="宋体" w:cs="宋体"/>
          <w:color w:val="auto"/>
          <w:highlight w:val="none"/>
        </w:rPr>
        <w:t xml:space="preserve">《苏采云系统供应商操作手册》（以下简称《操作手册》））、进行注册并按《操作手册》要求制作、上传电子投标文件,《苏采云系统供应商操作手册》：在盐城市政府采购网点击【办事指南】-【供应商参与政府采购活动相关资料】。</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 潜在供应商访问电子招标响应交易平台的网络地址和方法： </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2.2 潜在投标人访问“苏采云”系统方法：江苏省政府采购网首页-“苏采云”链接。 </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2.3 采购文件（后缀名为“.kedt”）、供应商操作手册及政府采购客户端 工具可通过“苏采云”系统相应链接进行下载。 </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2.4 采购代理机构将数据电文形式的采购文件加载至“苏采云”系统，供潜在供应商下载或者查阅。 </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2.5 请潜在投标单位提前安装相应的控件（详见《“苏采云”系统供应商操作手册》）并使用谷歌浏览器登录“苏采云”系统参与不见面开评标。 </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如潜在投标人未按上述要求操作，将自行承担所产生的风险。</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3.有关本次招标的事项若存在变动或修改，敬请及时关注采购代理公司在“中国政府采购网”“江苏政府采购网”“盐城市政府采购网”发布的更正公告。</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4.本次招标不收取投标保证金，不收取质量保证金。</w:t>
      </w:r>
      <w:r>
        <w:rPr>
          <w:color w:val="auto"/>
        </w:rPr>
      </w:r>
      <w:r/>
    </w:p>
    <w:p>
      <w:pPr>
        <w:ind w:firstLine="482"/>
        <w:jc w:val="left"/>
        <w:spacing w:line="44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七、对本次招标提出询问，请按以下方式联系。</w:t>
      </w:r>
      <w:bookmarkEnd w:id="30"/>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color w:val="auto"/>
        </w:rPr>
      </w:r>
      <w:bookmarkStart w:id="31" w:name="_Toc28359009"/>
      <w:r>
        <w:rPr>
          <w:rFonts w:hint="eastAsia" w:ascii="宋体" w:hAnsi="宋体" w:eastAsia="宋体" w:cs="宋体"/>
          <w:color w:val="auto"/>
          <w:highlight w:val="none"/>
        </w:rPr>
        <w:t xml:space="preserve">1.采购人信息</w:t>
      </w:r>
      <w:r>
        <w:rPr>
          <w:color w:val="auto"/>
        </w:rPr>
      </w:r>
      <w:r/>
    </w:p>
    <w:p>
      <w:pPr>
        <w:pStyle w:val="895"/>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名 称：江苏盐城环保科技城管理委员会</w:t>
      </w:r>
      <w:r>
        <w:rPr>
          <w:color w:val="auto"/>
        </w:rPr>
      </w:r>
      <w:r/>
    </w:p>
    <w:p>
      <w:pPr>
        <w:pStyle w:val="895"/>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地址：绿巢大厦（</w:t>
      </w:r>
      <w:r>
        <w:rPr>
          <w:rFonts w:hint="eastAsia" w:ascii="宋体" w:hAnsi="宋体" w:eastAsia="宋体" w:cs="宋体"/>
          <w:color w:val="auto"/>
          <w:highlight w:val="none"/>
          <w:lang w:val="en-US" w:eastAsia="zh-CN"/>
        </w:rPr>
        <w:t xml:space="preserve">宝瓶湖</w:t>
      </w:r>
      <w:r>
        <w:rPr>
          <w:rFonts w:hint="eastAsia" w:ascii="宋体" w:hAnsi="宋体" w:eastAsia="宋体" w:cs="宋体"/>
          <w:color w:val="auto"/>
          <w:highlight w:val="none"/>
        </w:rPr>
        <w:t xml:space="preserve">路与</w:t>
      </w:r>
      <w:r>
        <w:rPr>
          <w:rFonts w:hint="eastAsia" w:ascii="宋体" w:hAnsi="宋体" w:eastAsia="宋体" w:cs="宋体"/>
          <w:color w:val="auto"/>
          <w:highlight w:val="none"/>
          <w:lang w:val="en-US" w:eastAsia="zh-CN"/>
        </w:rPr>
        <w:t xml:space="preserve">绿巢路</w:t>
      </w:r>
      <w:r>
        <w:rPr>
          <w:rFonts w:hint="eastAsia" w:ascii="宋体" w:hAnsi="宋体" w:eastAsia="宋体" w:cs="宋体"/>
          <w:color w:val="auto"/>
          <w:highlight w:val="none"/>
        </w:rPr>
        <w:t xml:space="preserve">路交叉口东南150米）</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联系人：张先生            </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联系方式：</w:t>
      </w:r>
      <w:r>
        <w:rPr>
          <w:rFonts w:hint="eastAsia" w:ascii="宋体" w:hAnsi="宋体" w:eastAsia="宋体" w:cs="宋体"/>
          <w:color w:val="auto"/>
          <w:highlight w:val="none"/>
          <w:shd w:val="clear" w:color="auto" w:fill="ffffff"/>
        </w:rPr>
        <w:t xml:space="preserve">13390688198</w:t>
      </w:r>
      <w:r>
        <w:rPr>
          <w:rFonts w:hint="eastAsia" w:ascii="宋体" w:hAnsi="宋体" w:eastAsia="宋体" w:cs="宋体"/>
          <w:color w:val="auto"/>
          <w:highlight w:val="none"/>
        </w:rPr>
        <w:t xml:space="preserve">           </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2.采购代理机构信息</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名 称：盐城市建业工程咨询有限公司</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地 址：盐城市范公中路89号嘉元广场东区幢北17层</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联系人：毛女士                     </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联系方式：</w:t>
      </w:r>
      <w:bookmarkStart w:id="32" w:name="_Toc28359087"/>
      <w:r>
        <w:rPr>
          <w:color w:val="auto"/>
        </w:rPr>
      </w:r>
      <w:bookmarkStart w:id="33" w:name="_Toc28359010"/>
      <w:r>
        <w:rPr>
          <w:rFonts w:hint="eastAsia" w:ascii="宋体" w:hAnsi="宋体" w:eastAsia="宋体" w:cs="宋体"/>
          <w:color w:val="auto"/>
          <w:highlight w:val="none"/>
        </w:rPr>
        <w:t xml:space="preserve">13814340322      </w:t>
      </w:r>
      <w:bookmarkEnd w:id="32"/>
      <w:r>
        <w:rPr>
          <w:color w:val="auto"/>
        </w:rPr>
      </w:r>
      <w:bookmarkEnd w:id="33"/>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color w:val="auto"/>
        </w:rPr>
      </w:r>
      <w:bookmarkStart w:id="34" w:name="_Toc28359021"/>
      <w:r>
        <w:rPr>
          <w:rFonts w:hint="eastAsia" w:ascii="宋体" w:hAnsi="宋体" w:eastAsia="宋体" w:cs="宋体"/>
          <w:color w:val="auto"/>
          <w:highlight w:val="none"/>
        </w:rPr>
        <w:t xml:space="preserve">3.</w:t>
      </w:r>
      <w:bookmarkEnd w:id="34"/>
      <w:r>
        <w:rPr>
          <w:rFonts w:hint="eastAsia" w:ascii="宋体" w:hAnsi="宋体" w:eastAsia="宋体" w:cs="宋体"/>
          <w:color w:val="auto"/>
          <w:highlight w:val="none"/>
        </w:rPr>
        <w:t xml:space="preserve">项目联系方式</w:t>
      </w:r>
      <w:r>
        <w:rPr>
          <w:color w:val="auto"/>
        </w:rPr>
      </w:r>
      <w:r/>
    </w:p>
    <w:p>
      <w:pPr>
        <w:pStyle w:val="895"/>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项目联系人：</w:t>
      </w:r>
      <w:r>
        <w:rPr>
          <w:rFonts w:hint="eastAsia" w:ascii="宋体" w:hAnsi="宋体" w:eastAsia="宋体" w:cs="宋体"/>
          <w:color w:val="auto"/>
          <w:highlight w:val="none"/>
        </w:rPr>
        <w:t xml:space="preserve">毛女士</w:t>
      </w:r>
      <w:bookmarkStart w:id="204" w:name="_GoBack"/>
      <w:r>
        <w:rPr>
          <w:color w:val="auto"/>
        </w:rPr>
      </w:r>
      <w:bookmarkEnd w:id="204"/>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电　　 话：13814340322　　</w:t>
      </w:r>
      <w:r>
        <w:rPr>
          <w:color w:val="auto"/>
        </w:rPr>
      </w:r>
      <w:r/>
    </w:p>
    <w:p>
      <w:pPr>
        <w:pStyle w:val="895"/>
        <w:ind w:firstLine="480"/>
        <w:jc w:val="both"/>
        <w:spacing w:beforeAutospacing="0" w:afterAutospacing="0" w:line="500" w:lineRule="exact"/>
        <w:rPr>
          <w:rFonts w:ascii="黑体" w:hAnsi="宋体" w:eastAsia="黑体" w:cs="黑体"/>
          <w:b/>
          <w:color w:val="auto"/>
          <w:sz w:val="44"/>
          <w:szCs w:val="4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br w:type="page" w:clear="all"/>
      </w:r>
      <w:bookmarkStart w:id="35" w:name="_Toc120614211"/>
      <w:r>
        <w:rPr>
          <w:color w:val="auto"/>
        </w:rPr>
      </w:r>
      <w:r/>
    </w:p>
    <w:p>
      <w:pPr>
        <w:pStyle w:val="876"/>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5"/>
      <w:r>
        <w:rPr>
          <w:color w:val="auto"/>
        </w:rPr>
      </w:r>
      <w:bookmarkStart w:id="36" w:name="_Toc20823274"/>
      <w:r>
        <w:rPr>
          <w:color w:val="auto"/>
        </w:rPr>
      </w:r>
      <w:bookmarkStart w:id="37" w:name="_Toc16938518"/>
      <w:r>
        <w:rPr>
          <w:color w:val="auto"/>
        </w:rPr>
      </w:r>
      <w:bookmarkStart w:id="38" w:name="_Toc513029202"/>
      <w:r>
        <w:rPr>
          <w:color w:val="auto"/>
        </w:rPr>
      </w:r>
      <w:bookmarkStart w:id="39" w:name="_Toc120614213"/>
      <w:r>
        <w:rPr>
          <w:rFonts w:hint="eastAsia" w:ascii="黑体" w:hAnsi="宋体" w:eastAsia="黑体" w:cs="黑体"/>
          <w:b/>
          <w:color w:val="auto"/>
          <w:sz w:val="44"/>
          <w:szCs w:val="44"/>
          <w:highlight w:val="none"/>
        </w:rPr>
        <w:t xml:space="preserve">投标人须知</w:t>
      </w:r>
      <w:bookmarkEnd w:id="36"/>
      <w:r>
        <w:rPr>
          <w:color w:val="auto"/>
        </w:rPr>
      </w:r>
      <w:bookmarkEnd w:id="37"/>
      <w:r>
        <w:rPr>
          <w:color w:val="auto"/>
        </w:rPr>
      </w:r>
      <w:bookmarkEnd w:id="38"/>
      <w:r>
        <w:rPr>
          <w:color w:val="auto"/>
        </w:rPr>
      </w:r>
      <w:bookmarkEnd w:id="39"/>
      <w:r>
        <w:rPr>
          <w:color w:val="auto"/>
        </w:rPr>
      </w:r>
      <w:r/>
    </w:p>
    <w:p>
      <w:pPr>
        <w:pStyle w:val="876"/>
        <w:ind w:firstLine="498"/>
        <w:jc w:val="both"/>
        <w:keepLines/>
        <w:keepNext/>
        <w:spacing w:before="145" w:beforeAutospacing="0" w:after="145" w:afterAutospacing="0" w:line="360" w:lineRule="auto"/>
        <w:rPr>
          <w:rFonts w:ascii="宋体" w:hAnsi="宋体" w:eastAsia="宋体" w:cs="宋体"/>
          <w:color w:val="auto"/>
          <w:highlight w:val="none"/>
        </w:rPr>
      </w:pPr>
      <w:r>
        <w:rPr>
          <w:color w:val="auto"/>
        </w:rPr>
      </w:r>
      <w:bookmarkStart w:id="40" w:name="_Toc120614214"/>
      <w:r>
        <w:rPr>
          <w:color w:val="auto"/>
        </w:rPr>
      </w:r>
      <w:bookmarkStart w:id="41" w:name="_Toc16938519"/>
      <w:r>
        <w:rPr>
          <w:color w:val="auto"/>
        </w:rPr>
      </w:r>
      <w:bookmarkStart w:id="42" w:name="_Toc513029203"/>
      <w:r>
        <w:rPr>
          <w:color w:val="auto"/>
        </w:rPr>
      </w:r>
      <w:bookmarkStart w:id="43" w:name="_Toc20823275"/>
      <w:r>
        <w:rPr>
          <w:rFonts w:hint="eastAsia" w:ascii="宋体" w:hAnsi="宋体" w:eastAsia="宋体" w:cs="宋体"/>
          <w:b/>
          <w:color w:val="auto"/>
          <w:highlight w:val="none"/>
        </w:rPr>
        <w:t xml:space="preserve">一、总则</w:t>
      </w:r>
      <w:bookmarkEnd w:id="40"/>
      <w:r>
        <w:rPr>
          <w:color w:val="auto"/>
        </w:rPr>
      </w:r>
      <w:bookmarkEnd w:id="41"/>
      <w:r>
        <w:rPr>
          <w:color w:val="auto"/>
        </w:rPr>
      </w:r>
      <w:bookmarkEnd w:id="42"/>
      <w:r>
        <w:rPr>
          <w:color w:val="auto"/>
        </w:rPr>
      </w:r>
      <w:bookmarkEnd w:id="43"/>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color w:val="auto"/>
        </w:rPr>
      </w:r>
      <w:bookmarkStart w:id="44" w:name="_Toc16938520"/>
      <w:r>
        <w:rPr>
          <w:color w:val="auto"/>
        </w:rPr>
      </w:r>
      <w:bookmarkStart w:id="45" w:name="_Toc513029204"/>
      <w:r>
        <w:rPr>
          <w:color w:val="auto"/>
        </w:rPr>
      </w:r>
      <w:bookmarkStart w:id="46" w:name="_Toc20823276"/>
      <w:r>
        <w:rPr>
          <w:color w:val="auto"/>
        </w:rPr>
      </w:r>
      <w:bookmarkStart w:id="47" w:name="_Toc458694821"/>
      <w:r>
        <w:rPr>
          <w:color w:val="auto"/>
        </w:rPr>
      </w:r>
      <w:bookmarkStart w:id="48" w:name="_Hlt16619475"/>
      <w:r>
        <w:rPr>
          <w:rFonts w:hint="eastAsia" w:ascii="宋体" w:hAnsi="宋体" w:eastAsia="宋体" w:cs="宋体"/>
          <w:b/>
          <w:bCs/>
          <w:color w:val="auto"/>
          <w:highlight w:val="none"/>
        </w:rPr>
        <w:t xml:space="preserve">1</w:t>
      </w:r>
      <w:bookmarkEnd w:id="44"/>
      <w:r>
        <w:rPr>
          <w:rFonts w:hint="eastAsia" w:ascii="宋体" w:hAnsi="宋体" w:eastAsia="宋体" w:cs="宋体"/>
          <w:b/>
          <w:bCs/>
          <w:color w:val="auto"/>
          <w:highlight w:val="none"/>
        </w:rPr>
        <w:t xml:space="preserve">、招标方式</w:t>
      </w:r>
      <w:bookmarkEnd w:id="45"/>
      <w:r>
        <w:rPr>
          <w:color w:val="auto"/>
        </w:rPr>
      </w:r>
      <w:bookmarkEnd w:id="46"/>
      <w:r>
        <w:rPr>
          <w:color w:val="auto"/>
        </w:rPr>
      </w:r>
      <w:bookmarkEnd w:id="47"/>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1.1本次招标采取公开招标方式，本招标文件仅适用于招标公告中所述项目。</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color w:val="auto"/>
        </w:rPr>
      </w:r>
      <w:bookmarkStart w:id="49" w:name="_Toc20823277"/>
      <w:r>
        <w:rPr>
          <w:color w:val="auto"/>
        </w:rPr>
      </w:r>
      <w:bookmarkStart w:id="50" w:name="_Toc513029205"/>
      <w:r>
        <w:rPr>
          <w:color w:val="auto"/>
        </w:rPr>
      </w:r>
      <w:bookmarkStart w:id="51" w:name="_Toc16938521"/>
      <w:r>
        <w:rPr>
          <w:rFonts w:hint="eastAsia" w:ascii="宋体" w:hAnsi="宋体" w:eastAsia="宋体" w:cs="宋体"/>
          <w:b/>
          <w:bCs/>
          <w:color w:val="auto"/>
          <w:highlight w:val="none"/>
        </w:rPr>
        <w:t xml:space="preserve">2、合格的投标人</w:t>
      </w:r>
      <w:bookmarkEnd w:id="49"/>
      <w:r>
        <w:rPr>
          <w:color w:val="auto"/>
        </w:rPr>
      </w:r>
      <w:bookmarkEnd w:id="50"/>
      <w:r>
        <w:rPr>
          <w:color w:val="auto"/>
        </w:rPr>
      </w:r>
      <w:bookmarkEnd w:id="51"/>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2.1满足招标公告中供应商的资格要求的规定。</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2.2满足本文件实质性要求和条件的规定。</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color w:val="auto"/>
        </w:rPr>
      </w:r>
      <w:bookmarkStart w:id="52" w:name="_Toc513029206"/>
      <w:r>
        <w:rPr>
          <w:color w:val="auto"/>
        </w:rPr>
      </w:r>
      <w:bookmarkStart w:id="53" w:name="_Toc20823278"/>
      <w:r>
        <w:rPr>
          <w:color w:val="auto"/>
        </w:rPr>
      </w:r>
      <w:bookmarkStart w:id="54" w:name="_Toc16938522"/>
      <w:r>
        <w:rPr>
          <w:color w:val="auto"/>
        </w:rPr>
      </w:r>
      <w:bookmarkStart w:id="55" w:name="_Toc462564067"/>
      <w:r>
        <w:rPr>
          <w:color w:val="auto"/>
        </w:rPr>
      </w:r>
      <w:bookmarkStart w:id="56" w:name="_Toc16938523"/>
      <w:r>
        <w:rPr>
          <w:color w:val="auto"/>
        </w:rPr>
      </w:r>
      <w:bookmarkStart w:id="57" w:name="_Toc20823279"/>
      <w:r>
        <w:rPr>
          <w:color w:val="auto"/>
        </w:rPr>
      </w:r>
      <w:bookmarkStart w:id="58" w:name="_Toc513029207"/>
      <w:r>
        <w:rPr>
          <w:rFonts w:hint="eastAsia" w:ascii="宋体" w:hAnsi="宋体" w:eastAsia="宋体" w:cs="宋体"/>
          <w:b/>
          <w:bCs/>
          <w:color w:val="auto"/>
          <w:highlight w:val="none"/>
        </w:rPr>
        <w:t xml:space="preserve">3、适用法律</w:t>
      </w:r>
      <w:bookmarkEnd w:id="52"/>
      <w:r>
        <w:rPr>
          <w:color w:val="auto"/>
        </w:rPr>
      </w:r>
      <w:bookmarkEnd w:id="53"/>
      <w:r>
        <w:rPr>
          <w:color w:val="auto"/>
        </w:rPr>
      </w:r>
      <w:bookmarkEnd w:id="54"/>
      <w:r>
        <w:rPr>
          <w:rFonts w:hint="eastAsia" w:ascii="宋体" w:hAnsi="宋体" w:eastAsia="宋体" w:cs="宋体"/>
          <w:b/>
          <w:bCs/>
          <w:color w:val="auto"/>
          <w:highlight w:val="none"/>
        </w:rPr>
        <w:t xml:space="preserve">和标准</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3.1 本次招标及由此产生的合同受中华人民共和国有关的法律法规制约和保护。</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 在本项目政府采购活动过程中，如果所执行的标准有更新的，按照最新标准执行。</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4、投标费用</w:t>
      </w:r>
      <w:bookmarkEnd w:id="55"/>
      <w:r>
        <w:rPr>
          <w:color w:val="auto"/>
        </w:rPr>
      </w:r>
      <w:bookmarkEnd w:id="56"/>
      <w:r>
        <w:rPr>
          <w:color w:val="auto"/>
        </w:rPr>
      </w:r>
      <w:bookmarkEnd w:id="57"/>
      <w:r>
        <w:rPr>
          <w:color w:val="auto"/>
        </w:rPr>
      </w:r>
      <w:bookmarkEnd w:id="58"/>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4.1投标人应自行承担所有与参加投标有关的费用，无论投标过程中的做法和结果如何，采购人和采购代理机构在任何情况下均无义务和责任承担这些费用。</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4.2本次招标采购代理机构和采购人不收取标书工本费。</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5、招标文件的约束力</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5.1投标人一旦参加本项目采购活动，即被认为接受了本招标文件的规定和约束。</w:t>
      </w:r>
      <w:r>
        <w:rPr>
          <w:color w:val="auto"/>
        </w:rPr>
      </w:r>
      <w:r/>
    </w:p>
    <w:p>
      <w:pPr>
        <w:pStyle w:val="876"/>
        <w:ind w:firstLine="321"/>
        <w:jc w:val="both"/>
        <w:keepLines/>
        <w:keepNext/>
        <w:spacing w:before="145" w:beforeAutospacing="0" w:after="145" w:afterAutospacing="0" w:line="360" w:lineRule="auto"/>
        <w:rPr>
          <w:rFonts w:ascii="宋体" w:hAnsi="宋体" w:eastAsia="宋体" w:cs="宋体"/>
          <w:color w:val="auto"/>
          <w:highlight w:val="none"/>
        </w:rPr>
      </w:pPr>
      <w:r>
        <w:rPr>
          <w:color w:val="auto"/>
        </w:rPr>
      </w:r>
      <w:bookmarkStart w:id="59" w:name="_Toc20823281"/>
      <w:r>
        <w:rPr>
          <w:color w:val="auto"/>
        </w:rPr>
      </w:r>
      <w:bookmarkStart w:id="60" w:name="_Toc120614215"/>
      <w:r>
        <w:rPr>
          <w:color w:val="auto"/>
        </w:rPr>
      </w:r>
      <w:bookmarkStart w:id="61" w:name="_Toc513029209"/>
      <w:r>
        <w:rPr>
          <w:color w:val="auto"/>
        </w:rPr>
      </w:r>
      <w:bookmarkStart w:id="62" w:name="_Toc16938525"/>
      <w:r>
        <w:rPr>
          <w:rFonts w:hint="eastAsia" w:ascii="宋体" w:hAnsi="宋体" w:eastAsia="宋体" w:cs="宋体"/>
          <w:b/>
          <w:color w:val="auto"/>
          <w:highlight w:val="none"/>
        </w:rPr>
        <w:t xml:space="preserve">二、招标文件</w:t>
      </w:r>
      <w:bookmarkEnd w:id="59"/>
      <w:r>
        <w:rPr>
          <w:color w:val="auto"/>
        </w:rPr>
      </w:r>
      <w:bookmarkEnd w:id="60"/>
      <w:r>
        <w:rPr>
          <w:color w:val="auto"/>
        </w:rPr>
      </w:r>
      <w:bookmarkEnd w:id="61"/>
      <w:r>
        <w:rPr>
          <w:color w:val="auto"/>
        </w:rPr>
      </w:r>
      <w:bookmarkEnd w:id="62"/>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color w:val="auto"/>
        </w:rPr>
      </w:r>
      <w:bookmarkStart w:id="63" w:name="_Toc16938526"/>
      <w:r>
        <w:rPr>
          <w:color w:val="auto"/>
        </w:rPr>
      </w:r>
      <w:bookmarkStart w:id="64" w:name="_Toc513029210"/>
      <w:r>
        <w:rPr>
          <w:color w:val="auto"/>
        </w:rPr>
      </w:r>
      <w:bookmarkStart w:id="65" w:name="_Toc20823282"/>
      <w:r>
        <w:rPr>
          <w:rFonts w:hint="eastAsia" w:ascii="宋体" w:hAnsi="宋体" w:eastAsia="宋体" w:cs="宋体"/>
          <w:b/>
          <w:bCs/>
          <w:color w:val="auto"/>
          <w:highlight w:val="none"/>
        </w:rPr>
        <w:t xml:space="preserve">6、招标文件构成</w:t>
      </w:r>
      <w:bookmarkEnd w:id="63"/>
      <w:r>
        <w:rPr>
          <w:color w:val="auto"/>
        </w:rPr>
      </w:r>
      <w:bookmarkEnd w:id="64"/>
      <w:r>
        <w:rPr>
          <w:color w:val="auto"/>
        </w:rPr>
      </w:r>
      <w:bookmarkEnd w:id="65"/>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6.1 招标文件由以下部分组成：</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（1）招标公告</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（2）投标人须知</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（3）合同文本</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（4）采购需求</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（5）评标方法与评标标准</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（6）投标文件格式</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请仔细检查招标文件是否齐全，如有缺漏请立即与采购代理机构联系解决。</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color w:val="auto"/>
        </w:rPr>
      </w:r>
      <w:bookmarkStart w:id="66" w:name="_Toc20823283"/>
      <w:r>
        <w:rPr>
          <w:color w:val="auto"/>
        </w:rPr>
      </w:r>
      <w:bookmarkStart w:id="67" w:name="_Toc16938527"/>
      <w:r>
        <w:rPr>
          <w:color w:val="auto"/>
        </w:rPr>
      </w:r>
      <w:bookmarkStart w:id="68" w:name="_Toc513029211"/>
      <w:r>
        <w:rPr>
          <w:color w:val="auto"/>
        </w:rPr>
      </w:r>
      <w:bookmarkStart w:id="69" w:name="_Toc462564070"/>
      <w:r>
        <w:rPr>
          <w:rFonts w:hint="eastAsia" w:ascii="宋体" w:hAnsi="宋体" w:eastAsia="宋体" w:cs="宋体"/>
          <w:b/>
          <w:bCs/>
          <w:color w:val="auto"/>
          <w:highlight w:val="none"/>
        </w:rPr>
        <w:t xml:space="preserve">7、招标文件的澄清</w:t>
      </w:r>
      <w:bookmarkEnd w:id="66"/>
      <w:r>
        <w:rPr>
          <w:color w:val="auto"/>
        </w:rPr>
      </w:r>
      <w:bookmarkEnd w:id="67"/>
      <w:r>
        <w:rPr>
          <w:color w:val="auto"/>
        </w:rPr>
      </w:r>
      <w:bookmarkEnd w:id="68"/>
      <w:r>
        <w:rPr>
          <w:color w:val="auto"/>
        </w:rPr>
      </w:r>
      <w:bookmarkEnd w:id="69"/>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7.1任何要求对招标文件进行澄清的投标人，应在投标截止期十日前按招标公告中的通讯地址，以书面形式通知采购代理机构。</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color w:val="auto"/>
        </w:rPr>
      </w:r>
      <w:bookmarkStart w:id="70" w:name="_Toc16938528"/>
      <w:r>
        <w:rPr>
          <w:color w:val="auto"/>
        </w:rPr>
      </w:r>
      <w:bookmarkStart w:id="71" w:name="_Toc513029212"/>
      <w:r>
        <w:rPr>
          <w:color w:val="auto"/>
        </w:rPr>
      </w:r>
      <w:bookmarkStart w:id="72" w:name="_Toc462564071"/>
      <w:r>
        <w:rPr>
          <w:color w:val="auto"/>
        </w:rPr>
      </w:r>
      <w:bookmarkStart w:id="73" w:name="_Toc20823284"/>
      <w:r>
        <w:rPr>
          <w:rFonts w:hint="eastAsia" w:ascii="宋体" w:hAnsi="宋体" w:eastAsia="宋体" w:cs="宋体"/>
          <w:b/>
          <w:bCs/>
          <w:color w:val="auto"/>
          <w:highlight w:val="none"/>
        </w:rPr>
        <w:t xml:space="preserve">8、招标文件的修改</w:t>
      </w:r>
      <w:bookmarkEnd w:id="70"/>
      <w:r>
        <w:rPr>
          <w:color w:val="auto"/>
        </w:rPr>
      </w:r>
      <w:bookmarkEnd w:id="71"/>
      <w:r>
        <w:rPr>
          <w:color w:val="auto"/>
        </w:rPr>
      </w:r>
      <w:bookmarkEnd w:id="72"/>
      <w:r>
        <w:rPr>
          <w:color w:val="auto"/>
        </w:rPr>
      </w:r>
      <w:bookmarkEnd w:id="73"/>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8.1在投标截止时间前，采购代理机构可以对招标文件进行修改。</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8.2采购代理机构有权按照法定的要求推迟投标截止日期和开标日期。</w:t>
      </w:r>
      <w:r>
        <w:rPr>
          <w:color w:val="auto"/>
        </w:rPr>
      </w:r>
      <w:r/>
    </w:p>
    <w:p>
      <w:pPr>
        <w:pStyle w:val="895"/>
        <w:ind w:firstLine="480"/>
        <w:jc w:val="both"/>
        <w:spacing w:beforeAutospacing="0" w:afterAutospacing="0" w:line="500" w:lineRule="exact"/>
        <w:rPr>
          <w:rFonts w:ascii="宋体" w:hAnsi="宋体" w:eastAsia="宋体" w:cs="宋体"/>
          <w:b/>
          <w:color w:val="auto"/>
          <w:highlight w:val="none"/>
        </w:rPr>
      </w:pPr>
      <w:r>
        <w:rPr>
          <w:rFonts w:hint="eastAsia" w:ascii="宋体" w:hAnsi="宋体" w:eastAsia="宋体" w:cs="宋体"/>
          <w:color w:val="auto"/>
          <w:highlight w:val="none"/>
        </w:rPr>
        <w:t xml:space="preserve">8.3招标文件的修改将在中国政府采购网、江苏政府采购网、盐城市政府采购网公布，补充文件将作为招标文件的组成部分，并对投标人具有约束力。</w:t>
      </w:r>
      <w:bookmarkStart w:id="74" w:name="_Toc120614216"/>
      <w:r>
        <w:rPr>
          <w:color w:val="auto"/>
        </w:rPr>
      </w:r>
      <w:bookmarkStart w:id="75" w:name="_Toc16938529"/>
      <w:r>
        <w:rPr>
          <w:color w:val="auto"/>
        </w:rPr>
      </w:r>
      <w:bookmarkStart w:id="76" w:name="_Toc462564072"/>
      <w:r>
        <w:rPr>
          <w:color w:val="auto"/>
        </w:rPr>
      </w:r>
      <w:bookmarkStart w:id="77" w:name="_Toc513029213"/>
      <w:r>
        <w:rPr>
          <w:color w:val="auto"/>
        </w:rPr>
      </w:r>
      <w:bookmarkStart w:id="78" w:name="_Toc20823285"/>
      <w:r>
        <w:rPr>
          <w:color w:val="auto"/>
        </w:rPr>
      </w:r>
      <w:r/>
    </w:p>
    <w:p>
      <w:pPr>
        <w:pStyle w:val="876"/>
        <w:ind w:firstLine="482"/>
        <w:jc w:val="both"/>
        <w:keepLines/>
        <w:keepNext/>
        <w:spacing w:before="145" w:beforeAutospacing="0" w:after="145"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三、投标文件的编制</w:t>
      </w:r>
      <w:bookmarkEnd w:id="74"/>
      <w:r>
        <w:rPr>
          <w:color w:val="auto"/>
        </w:rPr>
      </w:r>
      <w:bookmarkEnd w:id="75"/>
      <w:r>
        <w:rPr>
          <w:color w:val="auto"/>
        </w:rPr>
      </w:r>
      <w:bookmarkEnd w:id="76"/>
      <w:r>
        <w:rPr>
          <w:color w:val="auto"/>
        </w:rPr>
      </w:r>
      <w:bookmarkEnd w:id="77"/>
      <w:r>
        <w:rPr>
          <w:color w:val="auto"/>
        </w:rPr>
      </w:r>
      <w:bookmarkEnd w:id="78"/>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color w:val="auto"/>
        </w:rPr>
      </w:r>
      <w:bookmarkStart w:id="79" w:name="_Toc16938530"/>
      <w:r>
        <w:rPr>
          <w:color w:val="auto"/>
        </w:rPr>
      </w:r>
      <w:bookmarkStart w:id="80" w:name="_Toc20823286"/>
      <w:r>
        <w:rPr>
          <w:color w:val="auto"/>
        </w:rPr>
      </w:r>
      <w:bookmarkStart w:id="81" w:name="_Toc513029214"/>
      <w:r>
        <w:rPr>
          <w:color w:val="auto"/>
        </w:rPr>
      </w:r>
      <w:bookmarkStart w:id="82" w:name="_Toc462564073"/>
      <w:r>
        <w:rPr>
          <w:rFonts w:hint="eastAsia" w:ascii="宋体" w:hAnsi="宋体" w:eastAsia="宋体" w:cs="宋体"/>
          <w:b/>
          <w:bCs/>
          <w:color w:val="auto"/>
          <w:highlight w:val="none"/>
        </w:rPr>
        <w:t xml:space="preserve">9、投标文件的语言及度量衡单位</w:t>
      </w:r>
      <w:bookmarkEnd w:id="79"/>
      <w:r>
        <w:rPr>
          <w:color w:val="auto"/>
        </w:rPr>
      </w:r>
      <w:bookmarkEnd w:id="80"/>
      <w:r>
        <w:rPr>
          <w:color w:val="auto"/>
        </w:rPr>
      </w:r>
      <w:bookmarkEnd w:id="81"/>
      <w:r>
        <w:rPr>
          <w:color w:val="auto"/>
        </w:rPr>
      </w:r>
      <w:bookmarkEnd w:id="82"/>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9.1投标人提交的投标文件以及投标人与采购代理机构就有关投标的所有来往通知、函件和文件均应使用简体中文。</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9.2除技术性能另有规定外，投标文件所使用的度量衡单位，均须采用国家法定计量单位。</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color w:val="auto"/>
        </w:rPr>
      </w:r>
      <w:bookmarkStart w:id="83" w:name="_Toc513029215"/>
      <w:r>
        <w:rPr>
          <w:color w:val="auto"/>
        </w:rPr>
      </w:r>
      <w:bookmarkStart w:id="84" w:name="_Toc20823287"/>
      <w:r>
        <w:rPr>
          <w:color w:val="auto"/>
        </w:rPr>
      </w:r>
      <w:bookmarkStart w:id="85" w:name="_Toc16938531"/>
      <w:r>
        <w:rPr>
          <w:color w:val="auto"/>
        </w:rPr>
      </w:r>
      <w:bookmarkStart w:id="86" w:name="_Toc462564074"/>
      <w:r>
        <w:rPr>
          <w:rFonts w:hint="eastAsia" w:ascii="宋体" w:hAnsi="宋体" w:eastAsia="宋体" w:cs="宋体"/>
          <w:b/>
          <w:bCs/>
          <w:color w:val="auto"/>
          <w:highlight w:val="none"/>
        </w:rPr>
        <w:t xml:space="preserve">10、投标文件构成</w:t>
      </w:r>
      <w:bookmarkEnd w:id="83"/>
      <w:r>
        <w:rPr>
          <w:color w:val="auto"/>
        </w:rPr>
      </w:r>
      <w:bookmarkEnd w:id="84"/>
      <w:r>
        <w:rPr>
          <w:color w:val="auto"/>
        </w:rPr>
      </w:r>
      <w:bookmarkEnd w:id="85"/>
      <w:r>
        <w:rPr>
          <w:color w:val="auto"/>
        </w:rPr>
      </w:r>
      <w:bookmarkEnd w:id="86"/>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color w:val="auto"/>
        </w:rPr>
      </w:r>
      <w:bookmarkStart w:id="87" w:name="_Toc513029216"/>
      <w:r>
        <w:rPr>
          <w:color w:val="auto"/>
        </w:rPr>
      </w:r>
      <w:bookmarkStart w:id="88" w:name="_Toc49090507"/>
      <w:r>
        <w:rPr>
          <w:color w:val="auto"/>
        </w:rPr>
      </w:r>
      <w:bookmarkStart w:id="89" w:name="_Toc513029219"/>
      <w:r>
        <w:rPr>
          <w:color w:val="auto"/>
        </w:rPr>
      </w:r>
      <w:bookmarkStart w:id="90" w:name="_Toc14577354"/>
      <w:r>
        <w:rPr>
          <w:color w:val="auto"/>
        </w:rPr>
      </w:r>
      <w:bookmarkStart w:id="91" w:name="_Toc49090509"/>
      <w:r>
        <w:rPr>
          <w:color w:val="auto"/>
        </w:rPr>
      </w:r>
      <w:bookmarkStart w:id="92" w:name="_Toc14577357"/>
      <w:r>
        <w:rPr>
          <w:color w:val="auto"/>
        </w:rPr>
      </w:r>
      <w:bookmarkStart w:id="93" w:name="_Hlt26954838"/>
      <w:r>
        <w:rPr>
          <w:color w:val="auto"/>
        </w:rPr>
      </w:r>
      <w:bookmarkStart w:id="94" w:name="_Hlt26670360"/>
      <w:r>
        <w:rPr>
          <w:color w:val="auto"/>
        </w:rPr>
      </w:r>
      <w:bookmarkStart w:id="95" w:name="_Hlt26668975"/>
      <w:r>
        <w:rPr>
          <w:rFonts w:hint="eastAsia" w:ascii="宋体" w:hAnsi="宋体" w:eastAsia="宋体" w:cs="宋体"/>
          <w:b/>
          <w:bCs/>
          <w:color w:val="auto"/>
          <w:highlight w:val="none"/>
        </w:rPr>
        <w:t xml:space="preserve">11、证明投标人及投标标的符合招标文件规定的文件</w:t>
      </w:r>
      <w:bookmarkEnd w:id="87"/>
      <w:r>
        <w:rPr>
          <w:color w:val="auto"/>
        </w:rPr>
      </w:r>
      <w:bookmarkEnd w:id="88"/>
      <w:r>
        <w:rPr>
          <w:color w:val="auto"/>
        </w:rPr>
      </w:r>
      <w:bookmarkEnd w:id="89"/>
      <w:r>
        <w:rPr>
          <w:color w:val="auto"/>
        </w:rPr>
      </w:r>
      <w:bookmarkEnd w:id="90"/>
      <w:r>
        <w:rPr>
          <w:color w:val="auto"/>
        </w:rPr>
      </w:r>
      <w:bookmarkEnd w:id="91"/>
      <w:r>
        <w:rPr>
          <w:color w:val="auto"/>
        </w:rPr>
      </w:r>
      <w:bookmarkEnd w:id="92"/>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color w:val="auto"/>
        </w:rPr>
      </w:r>
      <w:bookmarkStart w:id="96" w:name="_Toc49090508"/>
      <w:r>
        <w:rPr>
          <w:color w:val="auto"/>
        </w:rPr>
      </w:r>
      <w:bookmarkStart w:id="97" w:name="_Toc14577355"/>
      <w:r>
        <w:rPr>
          <w:rFonts w:hint="eastAsia" w:ascii="宋体" w:hAnsi="宋体" w:eastAsia="宋体" w:cs="宋体"/>
          <w:color w:val="auto"/>
          <w:highlight w:val="none"/>
        </w:rPr>
        <w:t xml:space="preserve">11.1投标人应按照法律、法规、规章和规范性文件以及招标文件要求提交证明文件，证明其及投标标的符合招标文件规定。</w:t>
      </w:r>
      <w:bookmarkEnd w:id="96"/>
      <w:r>
        <w:rPr>
          <w:color w:val="auto"/>
        </w:rPr>
      </w:r>
      <w:bookmarkEnd w:id="97"/>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12、投标分项报价</w:t>
      </w:r>
      <w:bookmarkStart w:id="98" w:name="_Hlt26670373"/>
      <w:r>
        <w:rPr>
          <w:rFonts w:hint="eastAsia" w:ascii="宋体" w:hAnsi="宋体" w:eastAsia="宋体" w:cs="宋体"/>
          <w:b/>
          <w:bCs/>
          <w:color w:val="auto"/>
          <w:highlight w:val="none"/>
        </w:rPr>
        <w:t xml:space="preserve">表</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12.1投</w:t>
      </w:r>
      <w:bookmarkStart w:id="99" w:name="_Hlt26954840"/>
      <w:r>
        <w:rPr>
          <w:rFonts w:hint="eastAsia" w:ascii="宋体" w:hAnsi="宋体" w:eastAsia="宋体" w:cs="宋体"/>
          <w:color w:val="auto"/>
          <w:highlight w:val="none"/>
        </w:rPr>
        <w:t xml:space="preserve">标人应按照招标文件规定格式填报投标分项报价表</w:t>
      </w:r>
      <w:bookmarkStart w:id="100" w:name="_Hlt26670399"/>
      <w:r>
        <w:rPr>
          <w:rFonts w:hint="eastAsia" w:ascii="宋体" w:hAnsi="宋体" w:eastAsia="宋体" w:cs="宋体"/>
          <w:color w:val="auto"/>
          <w:highlight w:val="none"/>
        </w:rPr>
        <w:t xml:space="preserve">。</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rPr>
          <w:color w:val="auto"/>
        </w:rPr>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12.3</w:t>
      </w:r>
      <w:r>
        <w:rPr>
          <w:rFonts w:hint="eastAsia" w:ascii="宋体" w:hAnsi="宋体"/>
          <w:bCs/>
          <w:color w:val="auto"/>
          <w:sz w:val="24"/>
          <w:highlight w:val="none"/>
        </w:rPr>
        <w:t xml:space="preserve">有关费用处理的约定</w:t>
      </w:r>
      <w:r>
        <w:rPr>
          <w:color w:val="auto"/>
        </w:rPr>
      </w:r>
      <w:r/>
    </w:p>
    <w:p>
      <w:pPr>
        <w:ind w:firstLine="480"/>
        <w:spacing w:line="360" w:lineRule="auto"/>
        <w:rPr>
          <w:rFonts w:ascii="宋体" w:hAnsi="宋体" w:eastAsia="宋体" w:cs="Times New Roman"/>
          <w:b/>
          <w:color w:val="auto"/>
          <w:sz w:val="24"/>
          <w:highlight w:val="none"/>
        </w:rPr>
      </w:pPr>
      <w:r>
        <w:rPr>
          <w:rFonts w:hint="eastAsia" w:ascii="宋体" w:hAnsi="宋体"/>
          <w:b/>
          <w:color w:val="auto"/>
          <w:sz w:val="24"/>
          <w:highlight w:val="none"/>
        </w:rPr>
        <w:t xml:space="preserve">1、投标人根据现场实际情况、采购人提供的项目需求、自身实力、结合市场行情报价，此报价应包括为完成招标文件中的所有内容。投标人应充分考虑为完成上述内容所必须的全部服务所需的所有费用，即主要包括（但不限于）：</w:t>
      </w:r>
      <w:r>
        <w:rPr>
          <w:rFonts w:hint="eastAsia" w:ascii="新宋体" w:hAnsi="新宋体" w:eastAsia="新宋体" w:cs="Times New Roman"/>
          <w:color w:val="auto"/>
          <w:sz w:val="24"/>
          <w:highlight w:val="none"/>
        </w:rPr>
        <w:t xml:space="preserve">乙方根据环科城管网现场工况、地下管线复杂程度、自身运维设备实力、市场行情、管理水平等因素自主报价，本报价为</w:t>
      </w:r>
      <w:r>
        <w:rPr>
          <w:rFonts w:hint="eastAsia" w:ascii="新宋体" w:hAnsi="新宋体" w:eastAsia="新宋体" w:cs="Times New Roman"/>
          <w:b/>
          <w:bCs/>
          <w:color w:val="auto"/>
          <w:sz w:val="24"/>
          <w:highlight w:val="none"/>
        </w:rPr>
        <w:t xml:space="preserve">固定</w:t>
      </w:r>
      <w:r>
        <w:rPr>
          <w:rFonts w:hint="eastAsia" w:ascii="新宋体" w:hAnsi="新宋体" w:eastAsia="新宋体" w:cs="Times New Roman"/>
          <w:b/>
          <w:bCs/>
          <w:color w:val="auto"/>
          <w:sz w:val="24"/>
          <w:highlight w:val="none"/>
          <w:lang w:val="en-US" w:eastAsia="zh-CN"/>
        </w:rPr>
        <w:t xml:space="preserve">单价</w:t>
      </w:r>
      <w:r>
        <w:rPr>
          <w:rFonts w:hint="eastAsia" w:ascii="新宋体" w:hAnsi="新宋体" w:eastAsia="新宋体" w:cs="Times New Roman"/>
          <w:b/>
          <w:bCs/>
          <w:color w:val="auto"/>
          <w:sz w:val="24"/>
          <w:highlight w:val="none"/>
        </w:rPr>
        <w:t xml:space="preserve">，</w:t>
      </w:r>
      <w:r>
        <w:rPr>
          <w:rFonts w:hint="eastAsia" w:ascii="新宋体" w:hAnsi="新宋体" w:eastAsia="新宋体" w:cs="Times New Roman"/>
          <w:color w:val="auto"/>
          <w:sz w:val="24"/>
          <w:highlight w:val="none"/>
        </w:rPr>
        <w:t xml:space="preserve">包含完成本项目全部管护服务内容的所有成本、利润、税金。管网日常巡查、管道CCTV检测、QV快速检测、管道高压清洗、管网清淤疏通、检查井/雨水篦清掏、化粪池清淤、污泥密闭运输及合规处置、破损井盖/井圈更换维修、管网局部缺陷修复、防汛应急抢险、排水排口溯源排查、排污户监管、现场安全防护、警示围挡、交通疏导、人工薪酬、项目管理人员和驻点人员工资、特种作业人员持证费用、管道疏通车、吸污车、CCTV检测</w:t>
      </w:r>
      <w:r>
        <w:rPr>
          <w:rFonts w:hint="eastAsia" w:ascii="新宋体" w:hAnsi="新宋体" w:eastAsia="新宋体" w:cs="Times New Roman"/>
          <w:color w:val="auto"/>
          <w:sz w:val="24"/>
          <w:highlight w:val="none"/>
        </w:rPr>
        <w:t xml:space="preserve">车、发电机、潜水泵等设备购置租赁及维保燃油费、土工耗材、清淤药剂、劳保用品、保险（第三者责任险、工伤保险）、交通、水电、成果台账图纸编制、月度/季度管护报告、专家评审、验收配合、设备运输、垃圾清运、政策调价、地下未知管线风险、汛期极端降雨抢险增量、人工材料设备价格上涨等全部市场与政策性风险费用。凡投标人漏项、少计、预估不足，均视为乙方自愿优惠让利，甲方不再额外支付任何费用。人工、燃油、污泥处置费、管材配件价格上涨，环保、排水管理政策更新调整等全部风险已包含在投标报价内，结算除合同约定调整情形外总价不作上调。</w:t>
      </w:r>
      <w:r>
        <w:rPr>
          <w:color w:val="auto"/>
        </w:rPr>
      </w:r>
      <w:r/>
    </w:p>
    <w:p>
      <w:pPr>
        <w:ind w:firstLine="480"/>
        <w:spacing w:line="360" w:lineRule="auto"/>
        <w:rPr>
          <w:rFonts w:ascii="宋体" w:hAnsi="宋体" w:eastAsia="宋体"/>
          <w:b/>
          <w:color w:val="auto"/>
          <w:sz w:val="24"/>
          <w:highlight w:val="none"/>
        </w:rPr>
      </w:pPr>
      <w:r>
        <w:rPr>
          <w:rFonts w:hint="eastAsia" w:ascii="宋体" w:hAnsi="宋体" w:eastAsia="宋体" w:cs="Times New Roman"/>
          <w:b/>
          <w:color w:val="auto"/>
          <w:sz w:val="24"/>
          <w:highlight w:val="none"/>
        </w:rPr>
        <w:t xml:space="preserve">2、本项目设定投标报价的最高限价</w:t>
      </w:r>
      <w:r>
        <w:rPr>
          <w:rFonts w:hint="eastAsia" w:ascii="宋体" w:hAnsi="宋体" w:cs="Times New Roman"/>
          <w:b/>
          <w:color w:val="auto"/>
          <w:sz w:val="24"/>
          <w:highlight w:val="none"/>
        </w:rPr>
        <w:t xml:space="preserve">总价</w:t>
      </w:r>
      <w:r>
        <w:rPr>
          <w:rFonts w:hint="eastAsia" w:ascii="宋体" w:hAnsi="宋体" w:eastAsia="宋体" w:cs="Times New Roman"/>
          <w:b/>
          <w:color w:val="auto"/>
          <w:sz w:val="24"/>
          <w:highlight w:val="none"/>
        </w:rPr>
        <w:t xml:space="preserve">为342.89853万</w:t>
      </w:r>
      <w:r>
        <w:rPr>
          <w:rFonts w:hint="eastAsia" w:ascii="宋体" w:hAnsi="宋体" w:cs="Times New Roman"/>
          <w:b/>
          <w:color w:val="auto"/>
          <w:sz w:val="24"/>
          <w:highlight w:val="none"/>
        </w:rPr>
        <w:t xml:space="preserve">元</w:t>
      </w:r>
      <w:r>
        <w:rPr>
          <w:rFonts w:hint="eastAsia" w:ascii="宋体" w:hAnsi="宋体" w:eastAsia="宋体" w:cs="Times New Roman"/>
          <w:b/>
          <w:color w:val="auto"/>
          <w:sz w:val="24"/>
          <w:highlight w:val="none"/>
        </w:rPr>
        <w:t xml:space="preserve">，投标报价高于最高限</w:t>
      </w:r>
      <w:r>
        <w:rPr>
          <w:rFonts w:hint="eastAsia" w:ascii="宋体" w:hAnsi="宋体"/>
          <w:b/>
          <w:color w:val="auto"/>
          <w:sz w:val="24"/>
          <w:highlight w:val="none"/>
        </w:rPr>
        <w:t xml:space="preserve">价，采购人将不予接受，视为无效标书。</w:t>
      </w:r>
      <w:r>
        <w:rPr>
          <w:color w:val="auto"/>
        </w:rPr>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3、项目实施其他要求</w:t>
      </w:r>
      <w:r>
        <w:rPr>
          <w:color w:val="auto"/>
        </w:rPr>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3.1本</w:t>
      </w:r>
      <w:r>
        <w:rPr>
          <w:rFonts w:hint="eastAsia" w:ascii="宋体" w:hAnsi="宋体" w:cs="宋体"/>
          <w:bCs/>
          <w:color w:val="auto"/>
          <w:sz w:val="24"/>
          <w:highlight w:val="none"/>
          <w:lang w:val="en-US" w:eastAsia="zh-CN"/>
        </w:rPr>
        <w:t xml:space="preserve">项目</w:t>
      </w:r>
      <w:r>
        <w:rPr>
          <w:rFonts w:hint="eastAsia" w:ascii="宋体" w:hAnsi="宋体" w:cs="宋体"/>
          <w:bCs/>
          <w:color w:val="auto"/>
          <w:sz w:val="24"/>
          <w:highlight w:val="none"/>
        </w:rPr>
        <w:t xml:space="preserve">管道疏通清淤，淤泥需合理、合法处置，运距自行考虑；</w:t>
      </w:r>
      <w:r>
        <w:rPr>
          <w:color w:val="auto"/>
        </w:rPr>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3.2管线内淤积土土质类别综合考虑在报价中；</w:t>
      </w:r>
      <w:r>
        <w:rPr>
          <w:color w:val="auto"/>
        </w:rPr>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3.3供应商应充分考虑临时封堵、抽水排水、调水、下井安全防护、现场安全措施、临时水电等措施费用，并根据施工现场实际情况，自行考虑接入位置，此项费用含在报价中；</w:t>
      </w:r>
      <w:r>
        <w:rPr>
          <w:color w:val="auto"/>
        </w:rPr>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3.4供应商应充分考虑实施现场围护、疏导交通、夜间警示（水马围护）、汛期防汛应急人员设备、值班值守等费用，此项费含在投标单价中；自行考虑设备进场次数，所涉及的相关费用含在投标单价中。</w:t>
      </w:r>
      <w:r>
        <w:rPr>
          <w:color w:val="auto"/>
        </w:rPr>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3.5现场实施要求：须满足地方政府住建、城管、生态环境、安监等部门监管要求及创卫、创文明，扬尘管控、大气治理等治理要求，供应商自行考虑在报价内，风险自行承担，不再另计。</w:t>
      </w:r>
      <w:r>
        <w:rPr>
          <w:color w:val="auto"/>
        </w:rPr>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3.5.1所有涉及到本项目拆除、垃圾清运、城管及保洁事项，供应商自行踏勘现场，自行考虑自行报价风险自行承担。不再另行增加费用。</w:t>
      </w:r>
      <w:r>
        <w:rPr>
          <w:color w:val="auto"/>
        </w:rPr>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3.5.2成品保护要求：项目实施时，注意加强现场建筑、绿化、设施等的保护，如因实际需要，供应商须及时在项目完成时按原样恢复。否则，供应商自愿缴纳每处5000元的违约金，且采购人有权直接从合同价款中扣除，用于维修、修复费用。</w:t>
      </w:r>
      <w:r>
        <w:rPr>
          <w:color w:val="auto"/>
        </w:rPr>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3.5.3供应商全面承担项目实施关联区域的保洁、垃圾清理和现场整理工作；以上费用均计入投标报价。</w:t>
      </w:r>
      <w:r>
        <w:rPr>
          <w:color w:val="auto"/>
        </w:rPr>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3.5.4供应商负责检测准备、临时封堵、调排水、监测作业等全过程检测过程的安全生产、质量保证等。供应商应积极对采购人巡查时发现的安全隐患及整改事项限期完成整改，对整改未达标的，采购人有权暂停施工作业，直至整改完成。供应商负责作业区段、路段交通导行（包括警示牌、警示灯、反光锥等警示设施维护、人员及车辆疏导等现场维护责任），保证通行正常秩序。供应商应充分考虑交通组织所发生的费用，含在报价中。</w:t>
      </w:r>
      <w:r>
        <w:rPr>
          <w:color w:val="auto"/>
        </w:rPr>
      </w:r>
      <w:r/>
    </w:p>
    <w:p>
      <w:pPr>
        <w:ind w:firstLine="480"/>
        <w:spacing w:line="500" w:lineRule="exact"/>
        <w:rPr>
          <w:color w:val="auto"/>
          <w:highlight w:val="none"/>
        </w:rPr>
      </w:pPr>
      <w:r>
        <w:rPr>
          <w:rFonts w:hint="eastAsia" w:ascii="宋体" w:hAnsi="宋体" w:cs="宋体"/>
          <w:bCs/>
          <w:color w:val="auto"/>
          <w:sz w:val="24"/>
          <w:highlight w:val="none"/>
        </w:rPr>
        <w:t xml:space="preserve">3.5.5 管道内的淤积量不能够满足 CCTV 检测标准的（含水位偏高、混凝土、建筑垃圾、堵头等）由供应商负责清理干净，直至具备检测条件。</w:t>
      </w:r>
      <w:r>
        <w:rPr>
          <w:color w:val="auto"/>
        </w:rPr>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3.6项目验收</w:t>
      </w:r>
      <w:r>
        <w:rPr>
          <w:rFonts w:hint="eastAsia" w:ascii="宋体" w:hAnsi="宋体" w:cs="宋体"/>
          <w:bCs/>
          <w:color w:val="auto"/>
          <w:sz w:val="24"/>
          <w:highlight w:val="none"/>
        </w:rPr>
        <w:t xml:space="preserve">：管道未疏通清淤，或未溯源的，或出具虚假报告的，由此</w:t>
      </w:r>
      <w:r>
        <w:rPr>
          <w:rFonts w:hint="eastAsia" w:ascii="宋体" w:hAnsi="宋体" w:eastAsia="宋体" w:cs="宋体"/>
          <w:bCs/>
          <w:color w:val="auto"/>
          <w:sz w:val="24"/>
          <w:highlight w:val="none"/>
        </w:rPr>
        <w:t xml:space="preserve">产生相关费用及法律责任由供应商自行全面承担。</w:t>
      </w:r>
      <w:r>
        <w:rPr>
          <w:color w:val="auto"/>
        </w:rPr>
      </w:r>
      <w:r/>
    </w:p>
    <w:p>
      <w:pPr>
        <w:ind w:firstLine="480"/>
        <w:spacing w:line="50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12.4投标报价方式：</w:t>
      </w:r>
      <w:r>
        <w:rPr>
          <w:rFonts w:hint="eastAsia" w:ascii="宋体" w:hAnsi="宋体" w:eastAsia="宋体" w:cs="宋体"/>
          <w:b/>
          <w:color w:val="auto"/>
          <w:sz w:val="24"/>
          <w:highlight w:val="none"/>
          <w:lang w:val="zh-CN"/>
        </w:rPr>
        <w:t xml:space="preserve">本项目合同采用“固定</w:t>
      </w:r>
      <w:r>
        <w:rPr>
          <w:rFonts w:hint="eastAsia" w:ascii="宋体" w:hAnsi="宋体" w:eastAsia="宋体" w:cs="宋体"/>
          <w:b/>
          <w:color w:val="auto"/>
          <w:sz w:val="24"/>
          <w:highlight w:val="none"/>
          <w:lang w:val="en-US" w:eastAsia="zh-CN"/>
        </w:rPr>
        <w:t xml:space="preserve">单价</w:t>
      </w:r>
      <w:r>
        <w:rPr>
          <w:rFonts w:hint="eastAsia" w:ascii="宋体" w:hAnsi="宋体" w:eastAsia="宋体" w:cs="宋体"/>
          <w:b/>
          <w:color w:val="auto"/>
          <w:sz w:val="24"/>
          <w:highlight w:val="none"/>
          <w:lang w:val="zh-CN"/>
        </w:rPr>
        <w:t xml:space="preserve">”</w:t>
      </w:r>
      <w:r>
        <w:rPr>
          <w:rFonts w:hint="eastAsia" w:ascii="宋体" w:hAnsi="宋体" w:cs="宋体"/>
          <w:b/>
          <w:color w:val="auto"/>
          <w:sz w:val="24"/>
          <w:highlight w:val="none"/>
          <w:lang w:val="zh-CN"/>
        </w:rPr>
        <w:t xml:space="preserve">合同</w:t>
      </w:r>
      <w:r>
        <w:rPr>
          <w:rFonts w:hint="eastAsia" w:ascii="宋体" w:hAnsi="宋体" w:eastAsia="宋体" w:cs="宋体"/>
          <w:b/>
          <w:color w:val="auto"/>
          <w:sz w:val="24"/>
          <w:highlight w:val="none"/>
        </w:rPr>
        <w:t xml:space="preserve">。</w:t>
      </w:r>
      <w:r>
        <w:rPr>
          <w:color w:val="auto"/>
        </w:rPr>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1、投标人应充分考虑项目的规模、性质、服务周期的市场风险和国家政策性调整风险以及招标人对服务范围、服务周期、服务质量等的要求，并计入投标报价中。</w:t>
      </w:r>
      <w:r>
        <w:rPr>
          <w:color w:val="auto"/>
        </w:rPr>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2、只允许有一个报价，任何有选择的报价将被拒绝。</w:t>
      </w:r>
      <w:r>
        <w:rPr>
          <w:color w:val="auto"/>
        </w:rPr>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12.5现场踏勘要求：投标人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color w:val="auto"/>
        </w:rPr>
      </w:r>
      <w:bookmarkStart w:id="101" w:name="_Hlt26954846"/>
      <w:r>
        <w:rPr>
          <w:color w:val="auto"/>
        </w:rPr>
      </w:r>
      <w:bookmarkStart w:id="102" w:name="_Hlt26668983"/>
      <w:r>
        <w:rPr>
          <w:color w:val="auto"/>
        </w:rPr>
      </w:r>
      <w:bookmarkStart w:id="103" w:name="_Hlt26954844"/>
      <w:r>
        <w:rPr>
          <w:color w:val="auto"/>
        </w:rPr>
      </w:r>
      <w:bookmarkStart w:id="104" w:name="_Hlt26954731"/>
      <w:r>
        <w:rPr>
          <w:color w:val="auto"/>
        </w:rPr>
      </w:r>
      <w:bookmarkStart w:id="105" w:name="_Hlt26670403"/>
      <w:r>
        <w:rPr>
          <w:color w:val="auto"/>
        </w:rPr>
      </w:r>
      <w:bookmarkStart w:id="106" w:name="_Hlt26670425"/>
      <w:r>
        <w:rPr>
          <w:color w:val="auto"/>
        </w:rPr>
      </w:r>
      <w:bookmarkStart w:id="107" w:name="_Hlt26954848"/>
      <w:r>
        <w:rPr>
          <w:color w:val="auto"/>
        </w:rPr>
      </w:r>
      <w:bookmarkStart w:id="108" w:name="_Hlt26670486"/>
      <w:r>
        <w:rPr>
          <w:color w:val="auto"/>
        </w:rPr>
      </w:r>
      <w:bookmarkStart w:id="109" w:name="_Hlt26670482"/>
      <w:r>
        <w:rPr>
          <w:color w:val="auto"/>
        </w:rPr>
      </w:r>
      <w:bookmarkStart w:id="110" w:name="_Hlt26954842"/>
      <w:r>
        <w:rPr>
          <w:rFonts w:hint="eastAsia" w:ascii="宋体" w:hAnsi="宋体" w:eastAsia="宋体" w:cs="宋体"/>
          <w:b/>
          <w:bCs/>
          <w:color w:val="auto"/>
          <w:highlight w:val="none"/>
        </w:rPr>
        <w:t xml:space="preserve">13、技术要求响应及偏离表、商务要求响应及偏离表</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13.1投标人需对招标文件中的技术要求与商务要求逐项作出响应或偏离，并说明原因。</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color w:val="auto"/>
          <w:highlight w:val="none"/>
        </w:rPr>
        <w:t xml:space="preserve">13.2投标人可在投标文件中提供认为需要的其他技术文件或说明。</w:t>
      </w:r>
      <w:bookmarkStart w:id="111" w:name="_Toc14577359"/>
      <w:r>
        <w:rPr>
          <w:color w:val="auto"/>
        </w:rPr>
      </w:r>
      <w:bookmarkStart w:id="112" w:name="_Toc49090510"/>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14、投标函和开标一览表</w:t>
      </w:r>
      <w:bookmarkEnd w:id="111"/>
      <w:r>
        <w:rPr>
          <w:color w:val="auto"/>
        </w:rPr>
      </w:r>
      <w:bookmarkEnd w:id="112"/>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14.1投标人应按照招标文件中提供的格式完整、正确填写投标函、开标一览表。</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color w:val="auto"/>
        </w:rPr>
      </w:r>
      <w:bookmarkStart w:id="113" w:name="_Toc49090511"/>
      <w:r>
        <w:rPr>
          <w:color w:val="auto"/>
        </w:rPr>
      </w:r>
      <w:bookmarkStart w:id="114" w:name="_Toc14577360"/>
      <w:r>
        <w:rPr>
          <w:color w:val="auto"/>
        </w:rPr>
      </w:r>
      <w:bookmarkStart w:id="115" w:name="_Hlt26954850"/>
      <w:r>
        <w:rPr>
          <w:color w:val="auto"/>
        </w:rPr>
      </w:r>
      <w:bookmarkStart w:id="116" w:name="_Hlt26670489"/>
      <w:r>
        <w:rPr>
          <w:color w:val="auto"/>
        </w:rPr>
      </w:r>
      <w:bookmarkStart w:id="117" w:name="_Hlt26954734"/>
      <w:r>
        <w:rPr>
          <w:rFonts w:hint="eastAsia" w:ascii="宋体" w:hAnsi="宋体" w:eastAsia="宋体" w:cs="宋体"/>
          <w:b/>
          <w:bCs/>
          <w:color w:val="auto"/>
          <w:highlight w:val="none"/>
        </w:rPr>
        <w:t xml:space="preserve">15、投标有效期</w:t>
      </w:r>
      <w:bookmarkEnd w:id="113"/>
      <w:r>
        <w:rPr>
          <w:color w:val="auto"/>
        </w:rPr>
      </w:r>
      <w:bookmarkEnd w:id="114"/>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15.1投标有效期为采购人规定的开标之日后</w:t>
      </w:r>
      <w:r>
        <w:rPr>
          <w:rFonts w:hint="eastAsia" w:ascii="宋体" w:hAnsi="宋体" w:eastAsia="宋体" w:cs="宋体"/>
          <w:b/>
          <w:bCs/>
          <w:color w:val="auto"/>
          <w:highlight w:val="none"/>
        </w:rPr>
        <w:t xml:space="preserve">九十（90）天</w:t>
      </w:r>
      <w:r>
        <w:rPr>
          <w:rFonts w:hint="eastAsia" w:ascii="宋体" w:hAnsi="宋体" w:eastAsia="宋体" w:cs="宋体"/>
          <w:color w:val="auto"/>
          <w:highlight w:val="none"/>
        </w:rPr>
        <w:t xml:space="preserve">。投标有效期比规定短的将被视为未实质性响应招标文件而予以拒绝。</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16、投标有效期的延长</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rPr>
          <w:color w:val="auto"/>
        </w:rPr>
      </w:r>
      <w:r/>
    </w:p>
    <w:p>
      <w:pPr>
        <w:pStyle w:val="876"/>
        <w:ind w:firstLine="482"/>
        <w:jc w:val="both"/>
        <w:keepLines/>
        <w:keepNext/>
        <w:spacing w:before="145" w:beforeAutospacing="0" w:after="145" w:afterAutospacing="0" w:line="360" w:lineRule="auto"/>
        <w:rPr>
          <w:rFonts w:ascii="宋体" w:hAnsi="宋体" w:eastAsia="宋体" w:cs="宋体"/>
          <w:color w:val="auto"/>
          <w:highlight w:val="none"/>
        </w:rPr>
      </w:pPr>
      <w:r>
        <w:rPr>
          <w:color w:val="auto"/>
        </w:rPr>
      </w:r>
      <w:bookmarkStart w:id="118" w:name="_Toc120614217"/>
      <w:r>
        <w:rPr>
          <w:color w:val="auto"/>
        </w:rPr>
      </w:r>
      <w:bookmarkStart w:id="119" w:name="_Toc16938540"/>
      <w:r>
        <w:rPr>
          <w:color w:val="auto"/>
        </w:rPr>
      </w:r>
      <w:bookmarkStart w:id="120" w:name="_Toc513029224"/>
      <w:r>
        <w:rPr>
          <w:color w:val="auto"/>
        </w:rPr>
      </w:r>
      <w:bookmarkStart w:id="121" w:name="_Toc20823296"/>
      <w:r>
        <w:rPr>
          <w:color w:val="auto"/>
        </w:rPr>
      </w:r>
      <w:bookmarkStart w:id="122" w:name="_Hlt26954852"/>
      <w:r>
        <w:rPr>
          <w:color w:val="auto"/>
        </w:rPr>
      </w:r>
      <w:bookmarkStart w:id="123" w:name="_Hlt26954739"/>
      <w:r>
        <w:rPr>
          <w:rFonts w:hint="eastAsia" w:ascii="宋体" w:hAnsi="宋体" w:eastAsia="宋体" w:cs="宋体"/>
          <w:b/>
          <w:color w:val="auto"/>
          <w:highlight w:val="none"/>
        </w:rPr>
        <w:t xml:space="preserve">四、投标文件的递交</w:t>
      </w:r>
      <w:bookmarkEnd w:id="118"/>
      <w:r>
        <w:rPr>
          <w:color w:val="auto"/>
        </w:rPr>
      </w:r>
      <w:bookmarkEnd w:id="119"/>
      <w:r>
        <w:rPr>
          <w:color w:val="auto"/>
        </w:rPr>
      </w:r>
      <w:bookmarkEnd w:id="120"/>
      <w:r>
        <w:rPr>
          <w:color w:val="auto"/>
        </w:rPr>
      </w:r>
      <w:bookmarkEnd w:id="121"/>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color w:val="auto"/>
        </w:rPr>
      </w:r>
      <w:bookmarkStart w:id="124" w:name="_Toc462564084"/>
      <w:r>
        <w:rPr>
          <w:color w:val="auto"/>
        </w:rPr>
      </w:r>
      <w:bookmarkStart w:id="125" w:name="_Toc513029225"/>
      <w:r>
        <w:rPr>
          <w:color w:val="auto"/>
        </w:rPr>
      </w:r>
      <w:bookmarkStart w:id="126" w:name="_Toc20823297"/>
      <w:r>
        <w:rPr>
          <w:color w:val="auto"/>
        </w:rPr>
      </w:r>
      <w:bookmarkStart w:id="127" w:name="_Toc16938541"/>
      <w:r>
        <w:rPr>
          <w:rFonts w:hint="eastAsia" w:ascii="宋体" w:hAnsi="宋体" w:eastAsia="宋体" w:cs="宋体"/>
          <w:b/>
          <w:bCs/>
          <w:color w:val="auto"/>
          <w:highlight w:val="none"/>
        </w:rPr>
        <w:t xml:space="preserve">17、投标文件</w:t>
      </w:r>
      <w:bookmarkEnd w:id="124"/>
      <w:r>
        <w:rPr>
          <w:color w:val="auto"/>
        </w:rPr>
      </w:r>
      <w:bookmarkEnd w:id="125"/>
      <w:r>
        <w:rPr>
          <w:color w:val="auto"/>
        </w:rPr>
      </w:r>
      <w:bookmarkEnd w:id="126"/>
      <w:r>
        <w:rPr>
          <w:color w:val="auto"/>
        </w:rPr>
      </w:r>
      <w:bookmarkEnd w:id="127"/>
      <w:r>
        <w:rPr>
          <w:rFonts w:hint="eastAsia" w:ascii="宋体" w:hAnsi="宋体" w:eastAsia="宋体" w:cs="宋体"/>
          <w:b/>
          <w:bCs/>
          <w:color w:val="auto"/>
          <w:highlight w:val="none"/>
        </w:rPr>
        <w:t xml:space="preserve">的递交</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17.1 电子投标文件的递交</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投标人应当按照《操作手册》规定，在投标截止时间前制作并上传电子投标文件。</w:t>
      </w:r>
      <w:bookmarkStart w:id="128" w:name="_Toc20823298"/>
      <w:r>
        <w:rPr>
          <w:color w:val="auto"/>
        </w:rPr>
      </w:r>
      <w:bookmarkEnd w:id="128"/>
      <w:r>
        <w:rPr>
          <w:color w:val="auto"/>
        </w:rPr>
      </w:r>
      <w:bookmarkStart w:id="129" w:name="_Toc16938542"/>
      <w:r>
        <w:rPr>
          <w:color w:val="auto"/>
        </w:rPr>
      </w:r>
      <w:bookmarkEnd w:id="129"/>
      <w:r>
        <w:rPr>
          <w:color w:val="auto"/>
        </w:rPr>
      </w:r>
      <w:bookmarkStart w:id="130" w:name="_Toc513029226"/>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18、投标截止时间</w:t>
      </w:r>
      <w:r>
        <w:rPr>
          <w:color w:val="auto"/>
        </w:rPr>
      </w:r>
      <w:r/>
    </w:p>
    <w:p>
      <w:pPr>
        <w:pStyle w:val="895"/>
        <w:ind w:firstLine="480"/>
        <w:jc w:val="both"/>
        <w:spacing w:beforeAutospacing="0" w:afterAutospacing="0" w:line="500" w:lineRule="exact"/>
        <w:rPr>
          <w:rFonts w:ascii="宋体" w:hAnsi="宋体" w:eastAsia="宋体" w:cs="宋体"/>
          <w:i/>
          <w:iCs/>
          <w:color w:val="auto"/>
          <w:highlight w:val="none"/>
          <w:u w:val="single"/>
        </w:rPr>
      </w:pPr>
      <w:r>
        <w:rPr>
          <w:rFonts w:hint="eastAsia" w:ascii="宋体" w:hAnsi="宋体" w:eastAsia="宋体" w:cs="宋体"/>
          <w:i/>
          <w:iCs/>
          <w:color w:val="auto"/>
          <w:highlight w:val="none"/>
          <w:u w:val="single"/>
        </w:rPr>
        <w:t xml:space="preserve">18.1投标人上传电子投标文件的时间不得迟于招标公告中规定的投标截止时间。</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投标人应充分考虑到网络环境、网络带宽等风险因素，如因投标人自身原因造成的电子投标文件上传不成功的按照本招标文件第二章第26.1.2条 规定做无效投标处理。</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color w:val="auto"/>
          <w:highlight w:val="none"/>
        </w:rPr>
        <w:t xml:space="preserve">18.2采购代理机构可以按照规定，通过修改招标文件酌情延长投标截止时间，在此情况下，投标人的所有权利和义务以及投标人受制的截止时间均应以延长后新的截止时间为准。</w:t>
      </w:r>
      <w:bookmarkStart w:id="131" w:name="_Toc16938543"/>
      <w:r>
        <w:rPr>
          <w:color w:val="auto"/>
        </w:rPr>
      </w:r>
      <w:bookmarkStart w:id="132" w:name="_Toc513029227"/>
      <w:r>
        <w:rPr>
          <w:color w:val="auto"/>
        </w:rPr>
      </w:r>
      <w:bookmarkStart w:id="133" w:name="_Toc20823299"/>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19、投标文件</w:t>
      </w:r>
      <w:bookmarkEnd w:id="131"/>
      <w:r>
        <w:rPr>
          <w:color w:val="auto"/>
        </w:rPr>
      </w:r>
      <w:bookmarkEnd w:id="132"/>
      <w:r>
        <w:rPr>
          <w:color w:val="auto"/>
        </w:rPr>
      </w:r>
      <w:bookmarkEnd w:id="133"/>
      <w:r>
        <w:rPr>
          <w:rFonts w:hint="eastAsia" w:ascii="宋体" w:hAnsi="宋体" w:eastAsia="宋体" w:cs="宋体"/>
          <w:b/>
          <w:bCs/>
          <w:color w:val="auto"/>
          <w:highlight w:val="none"/>
        </w:rPr>
        <w:t xml:space="preserve">的拒收</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19.1采购人拒绝接收在其规定的投标截止时间后上传的任何投标文件。</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color w:val="auto"/>
        </w:rPr>
      </w:r>
      <w:bookmarkStart w:id="134" w:name="_Toc16938544"/>
      <w:r>
        <w:rPr>
          <w:color w:val="auto"/>
        </w:rPr>
      </w:r>
      <w:bookmarkStart w:id="135" w:name="_Toc20823300"/>
      <w:r>
        <w:rPr>
          <w:color w:val="auto"/>
        </w:rPr>
      </w:r>
      <w:bookmarkStart w:id="136" w:name="_Toc513029228"/>
      <w:r>
        <w:rPr>
          <w:rFonts w:hint="eastAsia" w:ascii="宋体" w:hAnsi="宋体" w:eastAsia="宋体" w:cs="宋体"/>
          <w:b/>
          <w:bCs/>
          <w:color w:val="auto"/>
          <w:highlight w:val="none"/>
        </w:rPr>
        <w:t xml:space="preserve">20、投标文件的撤回和修改</w:t>
      </w:r>
      <w:bookmarkEnd w:id="134"/>
      <w:r>
        <w:rPr>
          <w:color w:val="auto"/>
        </w:rPr>
      </w:r>
      <w:bookmarkEnd w:id="135"/>
      <w:r>
        <w:rPr>
          <w:color w:val="auto"/>
        </w:rPr>
      </w:r>
      <w:bookmarkEnd w:id="136"/>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20.1投标文件的撤回</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20.1.1电子投标文件的撤回</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20.1.2投标人撤回电子投标文件，则认为其不再参与本项目投标活动。</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20.2 投标文件的修改</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20.2.1投标人可在投标截止时间前，对其电子投标文件进行修改，具体操作方法见《操作手册》。</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20.2.2在投标截止时间之后，投标人不得对其电子投标文件作任何修改。</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20.3在投标截止时间至招标文件中规定的投标有效期满之间的这段时间内，投标人不得撤回其投标。</w:t>
      </w:r>
      <w:r>
        <w:rPr>
          <w:color w:val="auto"/>
        </w:rPr>
      </w:r>
      <w:r/>
    </w:p>
    <w:p>
      <w:pPr>
        <w:pStyle w:val="876"/>
        <w:ind w:firstLine="482"/>
        <w:jc w:val="both"/>
        <w:keepLines/>
        <w:keepNext/>
        <w:spacing w:before="145" w:beforeAutospacing="0" w:after="145" w:afterAutospacing="0" w:line="360" w:lineRule="auto"/>
        <w:rPr>
          <w:rFonts w:ascii="宋体" w:hAnsi="宋体" w:eastAsia="宋体" w:cs="宋体"/>
          <w:color w:val="auto"/>
          <w:highlight w:val="none"/>
        </w:rPr>
      </w:pPr>
      <w:r>
        <w:rPr>
          <w:color w:val="auto"/>
        </w:rPr>
      </w:r>
      <w:bookmarkStart w:id="137" w:name="_Toc16938545"/>
      <w:r>
        <w:rPr>
          <w:color w:val="auto"/>
        </w:rPr>
      </w:r>
      <w:bookmarkStart w:id="138" w:name="_Toc20823301"/>
      <w:r>
        <w:rPr>
          <w:color w:val="auto"/>
        </w:rPr>
      </w:r>
      <w:bookmarkStart w:id="139" w:name="_Toc513029229"/>
      <w:r>
        <w:rPr>
          <w:color w:val="auto"/>
        </w:rPr>
      </w:r>
      <w:bookmarkStart w:id="140" w:name="_Toc120614218"/>
      <w:r>
        <w:rPr>
          <w:rFonts w:hint="eastAsia" w:ascii="宋体" w:hAnsi="宋体" w:eastAsia="宋体" w:cs="宋体"/>
          <w:b/>
          <w:color w:val="auto"/>
          <w:highlight w:val="none"/>
        </w:rPr>
        <w:t xml:space="preserve">五、开标与评标</w:t>
      </w:r>
      <w:bookmarkEnd w:id="137"/>
      <w:r>
        <w:rPr>
          <w:color w:val="auto"/>
        </w:rPr>
      </w:r>
      <w:bookmarkEnd w:id="138"/>
      <w:r>
        <w:rPr>
          <w:color w:val="auto"/>
        </w:rPr>
      </w:r>
      <w:bookmarkEnd w:id="139"/>
      <w:r>
        <w:rPr>
          <w:color w:val="auto"/>
        </w:rPr>
      </w:r>
      <w:bookmarkEnd w:id="140"/>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color w:val="auto"/>
        </w:rPr>
      </w:r>
      <w:bookmarkStart w:id="141" w:name="_Toc20823302"/>
      <w:r>
        <w:rPr>
          <w:color w:val="auto"/>
        </w:rPr>
      </w:r>
      <w:bookmarkStart w:id="142" w:name="_Toc16938546"/>
      <w:r>
        <w:rPr>
          <w:color w:val="auto"/>
        </w:rPr>
      </w:r>
      <w:bookmarkStart w:id="143" w:name="_Toc513029230"/>
      <w:r>
        <w:rPr>
          <w:rFonts w:hint="eastAsia" w:ascii="宋体" w:hAnsi="宋体" w:eastAsia="宋体" w:cs="宋体"/>
          <w:b/>
          <w:bCs/>
          <w:color w:val="auto"/>
          <w:highlight w:val="none"/>
        </w:rPr>
        <w:t xml:space="preserve">21、开标</w:t>
      </w:r>
      <w:bookmarkEnd w:id="141"/>
      <w:r>
        <w:rPr>
          <w:color w:val="auto"/>
        </w:rPr>
      </w:r>
      <w:bookmarkEnd w:id="142"/>
      <w:r>
        <w:rPr>
          <w:color w:val="auto"/>
        </w:rPr>
      </w:r>
      <w:bookmarkEnd w:id="143"/>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21.1采购人将在招标公告中规定的时间和地点组织公开开标。投标人应当按照《操作手册》规定，参加开标活动和在苏采云系统规定的时间内对投标文件进行解密。</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21.2开标仪式由采购代理机构组织。苏采云系统将自动对项目进行开标，并宣布各投标人名称和投标价格。</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21.3投标人在开标过程中涉及到的投标文件解密、开标结果确认等工作，应按照《操作手册》规定执行。</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color w:val="auto"/>
          <w:highlight w:val="none"/>
        </w:rPr>
        <w:t xml:space="preserve">21.4投标人如果对开标过程和开标记录有疑义，应当根据《操作手册》规定提出，如苏采云系统中《开标记录表》宣布后5分钟内未提出的，视同认可开标结果。</w:t>
      </w:r>
      <w:bookmarkStart w:id="144" w:name="_Toc16938547"/>
      <w:r>
        <w:rPr>
          <w:color w:val="auto"/>
        </w:rPr>
      </w:r>
      <w:bookmarkStart w:id="145" w:name="_Toc20823303"/>
      <w:r>
        <w:rPr>
          <w:color w:val="auto"/>
        </w:rPr>
      </w:r>
      <w:bookmarkStart w:id="146" w:name="_Toc513029231"/>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22、评标委员会</w:t>
      </w:r>
      <w:bookmarkEnd w:id="144"/>
      <w:r>
        <w:rPr>
          <w:color w:val="auto"/>
        </w:rPr>
      </w:r>
      <w:bookmarkEnd w:id="145"/>
      <w:r>
        <w:rPr>
          <w:color w:val="auto"/>
        </w:rPr>
      </w:r>
      <w:bookmarkEnd w:id="146"/>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22.1开标后，采购代理机构将立即组织评标委员会（以下简称评委会）进行评标。</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22.2评委会由采购人代表和有关技术、经济等方面的专家组成，且人员构成符合政府采购有关规定。</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22.3评委会独立工作，负责评审所有投标文件并确定中标候选人。</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23、评标过程的保密与公正</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23.1凡是与审查、澄清、评价和比较投标的有关资料以及授标建议等，采购人、评委、采购代理机构均不得向投标人或与评标无关的其他人员透露。</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23.2在评标过程中，投标人不得以任何行为影响评标过程，否则其投标文件将被作为无效投标文件。</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23.3采购代理机构和评标委员会不向未中标的投标人解释未中标原因，也不公布评标过程中的相关细节。</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23.4采用综合评分法的项目，未中标的投标人可于中标结果公告期限届满之日起通过苏采云系统查看自己的评审得分及排序情况。</w:t>
      </w:r>
      <w:bookmarkStart w:id="147" w:name="_Toc513029232"/>
      <w:r>
        <w:rPr>
          <w:color w:val="auto"/>
        </w:rPr>
      </w:r>
      <w:bookmarkStart w:id="148" w:name="_Toc20823304"/>
      <w:r>
        <w:rPr>
          <w:color w:val="auto"/>
        </w:rPr>
      </w:r>
      <w:bookmarkStart w:id="149" w:name="_Toc16938548"/>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24、投标文件的澄清</w:t>
      </w:r>
      <w:bookmarkEnd w:id="147"/>
      <w:r>
        <w:rPr>
          <w:color w:val="auto"/>
        </w:rPr>
      </w:r>
      <w:bookmarkEnd w:id="148"/>
      <w:r>
        <w:rPr>
          <w:color w:val="auto"/>
        </w:rPr>
      </w:r>
      <w:bookmarkEnd w:id="149"/>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24.1评标期间，评委会对投标文件中含义不明确、同类问题表述不一致或者有明显文字和计算错误的内容，有权要求投标人作出必要的澄清、说明或者补正。</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color w:val="auto"/>
          <w:highlight w:val="none"/>
        </w:rPr>
        <w:t xml:space="preserve">24.3接到评委会澄清、说明和补正要求的投标人如未按规定作出澄清、说明和补正，其风险由投标人自行承担。</w:t>
      </w:r>
      <w:bookmarkStart w:id="150" w:name="_Toc20823305"/>
      <w:r>
        <w:rPr>
          <w:color w:val="auto"/>
        </w:rPr>
      </w:r>
      <w:bookmarkStart w:id="151" w:name="_Toc513029233"/>
      <w:r>
        <w:rPr>
          <w:color w:val="auto"/>
        </w:rPr>
      </w:r>
      <w:bookmarkStart w:id="152" w:name="_Toc16938549"/>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25、对投标文件的初审</w:t>
      </w:r>
      <w:bookmarkEnd w:id="150"/>
      <w:r>
        <w:rPr>
          <w:color w:val="auto"/>
        </w:rPr>
      </w:r>
      <w:bookmarkEnd w:id="151"/>
      <w:r>
        <w:rPr>
          <w:color w:val="auto"/>
        </w:rPr>
      </w:r>
      <w:bookmarkEnd w:id="152"/>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25.1投标文件初审分为资格审查和符合性审查。</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25.1.1资格审查：依据法律法规和招标文件的规定，由采购人对投标文件中的资格证明文件进行审查。资格审查的结论，采购人以书面形式向评委会进行反馈。</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采购人在进行资格性审查的同时，将在“信用中国”网站（www.creditchina.gov.cn）查询投标人的信用记录，以确定投标人是否具备投标资格,查询结果留存并归档。</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25.1.2符合性审查：依据招标文件的规定，由评委会从投标文件的有效性、完整性和对招标文件的响应程度进行审查，以确定是否对招标文件的实质性要求作出响应。</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25.3如果投标文件实质上没有响应招标文件的要求，评委会将予以拒绝，投标人不得通过修改或撤销不合要求的偏离或保留而使其投标成为实质性响应的投标。</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25.4评委会将对确定为实质性响应的投标进行进一步审核，确定其是否有计算上或累加上的算术错误，修正错误的原则如下：</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color w:val="auto"/>
        </w:rPr>
      </w:r>
      <w:bookmarkStart w:id="153" w:name="_Toc16938550"/>
      <w:r>
        <w:rPr>
          <w:color w:val="auto"/>
        </w:rPr>
      </w:r>
      <w:bookmarkStart w:id="154" w:name="_Toc20823306"/>
      <w:r>
        <w:rPr>
          <w:color w:val="auto"/>
        </w:rPr>
      </w:r>
      <w:bookmarkStart w:id="155" w:name="_Toc513029234"/>
      <w:r>
        <w:rPr>
          <w:rFonts w:hint="eastAsia" w:ascii="宋体" w:hAnsi="宋体" w:eastAsia="宋体" w:cs="宋体"/>
          <w:color w:val="auto"/>
          <w:highlight w:val="none"/>
        </w:rPr>
        <w:t xml:space="preserve">25.6投标人在开、评标全过程中应保持通信畅通，及时登录苏采云系统查阅、答复相关信息，并安排专人与采购代理机构及评标委员会联系。</w:t>
      </w:r>
      <w:bookmarkEnd w:id="153"/>
      <w:r>
        <w:rPr>
          <w:color w:val="auto"/>
        </w:rPr>
      </w:r>
      <w:bookmarkEnd w:id="154"/>
      <w:r>
        <w:rPr>
          <w:color w:val="auto"/>
        </w:rPr>
      </w:r>
      <w:bookmarkEnd w:id="155"/>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26、无效投标条款和废标条款</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color w:val="auto"/>
        </w:rPr>
      </w:r>
      <w:bookmarkStart w:id="156" w:name="_Toc16938551"/>
      <w:r>
        <w:rPr>
          <w:color w:val="auto"/>
        </w:rPr>
      </w:r>
      <w:bookmarkStart w:id="157" w:name="_Toc513029235"/>
      <w:r>
        <w:rPr>
          <w:color w:val="auto"/>
        </w:rPr>
      </w:r>
      <w:bookmarkStart w:id="158" w:name="_Toc20823307"/>
      <w:r>
        <w:rPr>
          <w:rFonts w:hint="eastAsia" w:ascii="宋体" w:hAnsi="宋体" w:eastAsia="宋体" w:cs="宋体"/>
          <w:color w:val="auto"/>
          <w:highlight w:val="none"/>
        </w:rPr>
        <w:t xml:space="preserve">26.1无效投标条款</w:t>
      </w:r>
      <w:bookmarkEnd w:id="156"/>
      <w:r>
        <w:rPr>
          <w:color w:val="auto"/>
        </w:rPr>
      </w:r>
      <w:bookmarkEnd w:id="157"/>
      <w:r>
        <w:rPr>
          <w:color w:val="auto"/>
        </w:rPr>
      </w:r>
      <w:bookmarkEnd w:id="158"/>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26.1.3同一投标人提交两个（含两个）以上不同的投标报价的。</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26.1.7不符合招标文件中规定的实质性要求和条件的</w:t>
      </w:r>
      <w:r>
        <w:rPr>
          <w:rFonts w:hint="eastAsia" w:ascii="宋体" w:hAnsi="宋体" w:eastAsia="宋体" w:cs="宋体"/>
          <w:i/>
          <w:iCs/>
          <w:color w:val="auto"/>
          <w:highlight w:val="none"/>
          <w:u w:val="single"/>
        </w:rPr>
        <w:t xml:space="preserve">（本招标文件中斜体且有下划线部分为实质性要求和条件）。</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26.1.10投标人不能证明其报价合理性的，评标委员会应当将其作为无效投标处理。</w:t>
      </w:r>
      <w:r>
        <w:rPr>
          <w:color w:val="auto"/>
        </w:rPr>
      </w:r>
      <w:r/>
    </w:p>
    <w:p>
      <w:pPr>
        <w:pStyle w:val="876"/>
        <w:ind w:firstLine="48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（一）评审过程中出现下列情形之一的，评标委员会应当启动异常低价投标审查程序：</w:t>
      </w:r>
      <w:r>
        <w:rPr>
          <w:color w:val="auto"/>
        </w:rPr>
      </w:r>
      <w:r/>
    </w:p>
    <w:p>
      <w:pPr>
        <w:pStyle w:val="876"/>
        <w:ind w:firstLine="48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1.投标（响应）报价低于全部通过符合性审查供应商投标（响应）报价平均值50%的，即投标（响应）报价&lt;全部通过符合性审查供应商投标（响应）报价平均值×50%；</w:t>
      </w:r>
      <w:r>
        <w:rPr>
          <w:color w:val="auto"/>
        </w:rPr>
      </w:r>
      <w:r/>
    </w:p>
    <w:p>
      <w:pPr>
        <w:pStyle w:val="876"/>
        <w:ind w:firstLine="48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2.投标（响应）报价低于通过符合性审查的次低报价供应商投标（响应）报价50%的，即投标（响应）报价&lt;通过符合性审查的次低报价供应商投标（响应）报价×50%；</w:t>
      </w:r>
      <w:r>
        <w:rPr>
          <w:color w:val="auto"/>
        </w:rPr>
      </w:r>
      <w:r/>
    </w:p>
    <w:p>
      <w:pPr>
        <w:pStyle w:val="876"/>
        <w:ind w:firstLine="48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3.投标（响应）报价低于采购项目最高限价45%的，即投标（响应）报价&lt;采购项目最高限价×45%；</w:t>
      </w:r>
      <w:r>
        <w:rPr>
          <w:color w:val="auto"/>
        </w:rPr>
      </w:r>
      <w:r/>
    </w:p>
    <w:p>
      <w:pPr>
        <w:pStyle w:val="876"/>
        <w:ind w:firstLine="48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4.评审委员会基于专业判断，认为供应商报价过低，有可能影响产品质量或者不能诚信履约的其他情形。</w:t>
      </w:r>
      <w:r>
        <w:rPr>
          <w:color w:val="auto"/>
        </w:rPr>
      </w:r>
      <w:r/>
    </w:p>
    <w:p>
      <w:pPr>
        <w:pStyle w:val="876"/>
        <w:ind w:firstLine="48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相关法律法规对供应商报价有规定的，从其规定。</w:t>
      </w:r>
      <w:r>
        <w:rPr>
          <w:color w:val="auto"/>
        </w:rPr>
      </w:r>
      <w:r/>
    </w:p>
    <w:p>
      <w:pPr>
        <w:pStyle w:val="876"/>
        <w:ind w:firstLine="48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auto"/>
        </w:rPr>
      </w:r>
      <w:r/>
    </w:p>
    <w:p>
      <w:pPr>
        <w:pStyle w:val="876"/>
        <w:ind w:firstLine="48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rPr>
      </w:r>
      <w:r/>
    </w:p>
    <w:p>
      <w:pPr>
        <w:pStyle w:val="876"/>
        <w:ind w:firstLine="48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rPr>
      </w:r>
      <w:r/>
    </w:p>
    <w:p>
      <w:pPr>
        <w:pStyle w:val="876"/>
        <w:ind w:firstLine="48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26.1.11投标文件未按照招标文件要求加盖CA电子公章的。</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26.1.12其他法律、法规及本招标文件规定的属无效投标的情形。</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26.2废标条款</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26.2.1符合专业条件的供应商或者对招标文件作实质响应的供应商不足三家的。</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26.2.2出现影响采购公正的违法、违规行为的。</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26.2.3因重大变故，采购任务取消的。</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26.2.4评标委员会认定招标文件存在歧义、重大缺陷导致评审工作无法进行。</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26.2.5因苏采云系统系统故障原因造成开标不成功的。</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26.3 投标截止时间结束后参加投标的供应商不足三家的处理：</w:t>
      </w:r>
      <w:r>
        <w:rPr>
          <w:color w:val="auto"/>
        </w:rPr>
      </w:r>
      <w:r/>
    </w:p>
    <w:p>
      <w:pPr>
        <w:pStyle w:val="895"/>
        <w:ind w:firstLine="480"/>
        <w:jc w:val="both"/>
        <w:spacing w:beforeAutospacing="0" w:afterAutospacing="0" w:line="500" w:lineRule="exact"/>
        <w:rPr>
          <w:rFonts w:ascii="宋体" w:hAnsi="宋体" w:eastAsia="宋体" w:cs="宋体"/>
          <w:b/>
          <w:color w:val="auto"/>
          <w:highlight w:val="none"/>
        </w:rPr>
      </w:pPr>
      <w:r>
        <w:rPr>
          <w:rFonts w:hint="eastAsia" w:ascii="宋体" w:hAnsi="宋体" w:eastAsia="宋体" w:cs="宋体"/>
          <w:color w:val="auto"/>
          <w:highlight w:val="none"/>
        </w:rPr>
        <w:t xml:space="preserve">26.3.1如出现投标截止时间结束后参加投标的供应商或者在评标期间对招标文件做出实质响应的供应商不足三家情况，按政府采购相关规定执行。</w:t>
      </w:r>
      <w:bookmarkStart w:id="159" w:name="_Toc120614219"/>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六、定标</w:t>
      </w:r>
      <w:bookmarkEnd w:id="159"/>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color w:val="auto"/>
        </w:rPr>
      </w:r>
      <w:bookmarkStart w:id="160" w:name="_Toc20823310"/>
      <w:r>
        <w:rPr>
          <w:color w:val="auto"/>
        </w:rPr>
      </w:r>
      <w:bookmarkStart w:id="161" w:name="_Toc16938554"/>
      <w:r>
        <w:rPr>
          <w:color w:val="auto"/>
        </w:rPr>
      </w:r>
      <w:bookmarkStart w:id="162" w:name="_Toc513029238"/>
      <w:r>
        <w:rPr>
          <w:rFonts w:hint="eastAsia" w:ascii="宋体" w:hAnsi="宋体" w:eastAsia="宋体" w:cs="宋体"/>
          <w:b/>
          <w:bCs/>
          <w:color w:val="auto"/>
          <w:highlight w:val="none"/>
        </w:rPr>
        <w:t xml:space="preserve">27、</w:t>
      </w:r>
      <w:bookmarkEnd w:id="160"/>
      <w:r>
        <w:rPr>
          <w:rFonts w:hint="eastAsia" w:ascii="宋体" w:hAnsi="宋体" w:eastAsia="宋体" w:cs="宋体"/>
          <w:b/>
          <w:bCs/>
          <w:color w:val="auto"/>
          <w:highlight w:val="none"/>
        </w:rPr>
        <w:t xml:space="preserve">确定</w:t>
      </w:r>
      <w:bookmarkEnd w:id="161"/>
      <w:r>
        <w:rPr>
          <w:color w:val="auto"/>
        </w:rPr>
      </w:r>
      <w:bookmarkEnd w:id="162"/>
      <w:r>
        <w:rPr>
          <w:rFonts w:hint="eastAsia" w:ascii="宋体" w:hAnsi="宋体" w:eastAsia="宋体" w:cs="宋体"/>
          <w:b/>
          <w:bCs/>
          <w:color w:val="auto"/>
          <w:highlight w:val="none"/>
        </w:rPr>
        <w:t xml:space="preserve">中标单位</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27.2采购人应根据评委会推荐的中标候选人确定中标人。</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27.3采购代理机构将在“中国政府采购网”“江苏政府采购网”“盐城市政府采购网”发布中标公告，公告期限为1个工作日。</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27.4若有充分证据证明，中标人出现下列情况之一的，一经查实，将被取消中标资格：</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27.4.1提供虚假材料谋取中标的。</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27.4.2向采购人、采购代理机构行贿或者提供其他不正当利益的。</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27.4.3属于本文件规定的无效条件，但在评标过程中又未被评委会发现的。</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27.4.4与采购人或者其他供应商恶意串通的。</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27.4.5采取不正当手段诋毁、排挤其他供应商的。</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color w:val="auto"/>
        </w:rPr>
      </w:r>
      <w:bookmarkStart w:id="163" w:name="_Toc200451960"/>
      <w:r>
        <w:rPr>
          <w:rFonts w:hint="eastAsia" w:ascii="宋体" w:hAnsi="宋体" w:eastAsia="宋体" w:cs="宋体"/>
          <w:color w:val="auto"/>
          <w:highlight w:val="none"/>
        </w:rPr>
        <w:t xml:space="preserve">27.5 有下列情形之一的，视为投标人串通投标，投标无效：</w:t>
      </w:r>
      <w:bookmarkEnd w:id="163"/>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27.5.1不同投标人的投标文件由同一单位或者个人编制。</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27.5.2不同投标人委托同一单位或者个人办理投标事宜。</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27.5.3不同投标人的投标文件载明的项目管理成员或者联系人员为同一人。</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27.5.4不同投标人的投标文件异常一致或者投标报价呈规律性差异。</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28、质疑处理</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28.1提出质疑的供应商应当是参与所质疑项目采购活动的供应商。潜在供应商依法获取其可质疑的采购文件的，可以对采购文件提出质疑。</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28.2.1对可以质疑的采购文件提出质疑的，为收到采购文件之日或者采购文件公告期限届满之日；</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28.2.2对采购过程提出质疑的，为各采购程序环节结束之日；</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28.2.3对中标或者成交结果提出质疑的，为中标或者成交结果公告期限届满之日。</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28.5 以下情形的质疑不予受理</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28.5.1内容不符合《政府采购质疑和投诉办法》第十二条规定的质疑。</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28.5.2超出政府采购法定期限的质疑。</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28.5.3以传真、电子邮件等方式递交的非原件形式的质疑。</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28.5.4未参加投标活动的供应商或在投标活动中自身权益未受到损害的供应商所提出的质疑。</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28.5.5供应商组成联合体参加投标，联合体中任何一方或多方未按要求签字、盖章、加盖公章的质疑。</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29、中标通知书</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auto"/>
        </w:rPr>
      </w:r>
      <w:r/>
    </w:p>
    <w:p>
      <w:pPr>
        <w:pStyle w:val="895"/>
        <w:ind w:firstLine="480"/>
        <w:jc w:val="both"/>
        <w:spacing w:beforeAutospacing="0" w:afterAutospacing="0" w:line="500" w:lineRule="exact"/>
        <w:rPr>
          <w:rFonts w:ascii="宋体" w:hAnsi="宋体" w:eastAsia="宋体" w:cs="宋体"/>
          <w:b/>
          <w:color w:val="auto"/>
          <w:highlight w:val="none"/>
        </w:rPr>
      </w:pPr>
      <w:r>
        <w:rPr>
          <w:rFonts w:hint="eastAsia" w:ascii="宋体" w:hAnsi="宋体" w:eastAsia="宋体" w:cs="宋体"/>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bookmarkStart w:id="164" w:name="_Toc120614220"/>
      <w:r>
        <w:rPr>
          <w:color w:val="auto"/>
        </w:rPr>
      </w:r>
      <w:bookmarkStart w:id="165" w:name="_Toc16938552"/>
      <w:r>
        <w:rPr>
          <w:color w:val="auto"/>
        </w:rPr>
      </w:r>
      <w:bookmarkStart w:id="166" w:name="_Toc513029236"/>
      <w:r>
        <w:rPr>
          <w:color w:val="auto"/>
        </w:rPr>
      </w:r>
      <w:bookmarkStart w:id="167" w:name="_Toc20823308"/>
      <w:r>
        <w:rPr>
          <w:color w:val="auto"/>
        </w:rPr>
      </w:r>
      <w:r/>
    </w:p>
    <w:p>
      <w:pPr>
        <w:pStyle w:val="876"/>
        <w:jc w:val="both"/>
        <w:keepLines/>
        <w:keepNext/>
        <w:spacing w:before="145" w:beforeAutospacing="0" w:after="145"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七、授予合同</w:t>
      </w:r>
      <w:bookmarkEnd w:id="164"/>
      <w:r>
        <w:rPr>
          <w:color w:val="auto"/>
        </w:rPr>
      </w:r>
      <w:bookmarkEnd w:id="165"/>
      <w:r>
        <w:rPr>
          <w:color w:val="auto"/>
        </w:rPr>
      </w:r>
      <w:bookmarkEnd w:id="166"/>
      <w:r>
        <w:rPr>
          <w:color w:val="auto"/>
        </w:rPr>
      </w:r>
      <w:bookmarkEnd w:id="167"/>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color w:val="auto"/>
        </w:rPr>
      </w:r>
      <w:bookmarkStart w:id="168" w:name="_Toc16938553"/>
      <w:r>
        <w:rPr>
          <w:color w:val="auto"/>
        </w:rPr>
      </w:r>
      <w:bookmarkStart w:id="169" w:name="_Toc513029237"/>
      <w:r>
        <w:rPr>
          <w:color w:val="auto"/>
        </w:rPr>
      </w:r>
      <w:bookmarkStart w:id="170" w:name="_Toc20823309"/>
      <w:r>
        <w:rPr>
          <w:rFonts w:hint="eastAsia" w:ascii="宋体" w:hAnsi="宋体" w:eastAsia="宋体" w:cs="宋体"/>
          <w:b/>
          <w:bCs/>
          <w:color w:val="auto"/>
          <w:highlight w:val="none"/>
        </w:rPr>
        <w:t xml:space="preserve">30.签订合同</w:t>
      </w:r>
      <w:bookmarkEnd w:id="168"/>
      <w:r>
        <w:rPr>
          <w:color w:val="auto"/>
        </w:rPr>
      </w:r>
      <w:bookmarkEnd w:id="169"/>
      <w:r>
        <w:rPr>
          <w:color w:val="auto"/>
        </w:rPr>
      </w:r>
      <w:bookmarkEnd w:id="170"/>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30.l中标人应当在中标通知书发出之日起三十日内，按照招标文件确定的事项与采购人签订政府采购合同。</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30.2招标文件、中标人的投标文件及招标过程中有关澄清、承诺文件均应作为合同附件。</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31、服务（包含与服务相关的货物）的追加</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32.政府采购政策功能落实</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32.1政府采购线上合同信用融资政策</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32.2进口产品</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32.3中小企业、监狱企业及残疾人福利性单位</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32.3.1中小企业定义：</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中小企业是</w:t>
      </w:r>
      <w:r>
        <w:rPr>
          <w:rFonts w:hint="eastAsia" w:ascii="宋体" w:hAnsi="宋体" w:eastAsia="宋体" w:cs="宋体"/>
          <w:color w:val="auto"/>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32.3.2供应商提供的货物、工程或者服务符合下列情形的，享受中小企业扶持政策：</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32.3.2.1在货物采购项目中，货物由中小企业制造，即货物由中小企业生产且使用该中小企业商号或者注册商标；</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32.3.2.2在工程采购项目中，工程由中小企业承建，即工程施工单位为中小企业；</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32.3.2.3在服务采购项目中，服务由中小企业承接，即提供服务的人员为中小企业依照《中华人民共和国劳动合同法》订立劳动合同的从业人员。</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32.3.3在货物采购项目中，供应商提供的货物既有中小企业制造货物，也有大型企业制造货物的，不享受中小企业扶持政策。</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32.3.4以联合体形式参加政府采购活动，联合体各方均为中小企业的，联合体视同中小企业。其中，联合体各方均为小微企业的，联合体视同小微企业。</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32.3.6残疾人福利单位定义：享受政府采购支持政策的残疾人福利性单位应当同时满足以下条件：</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32.3.6.1安置的残疾人占本单位在职职工人数的比例不低于25%（含25%），并且安置的残疾人人数不少于10 人（含10 人）；</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32.3.6.2依法与安置的每位残疾人签订了一年以上（含一年）的劳动合同或服务协议；</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32.3.6.3为安置的每位残疾人按月足额缴纳了基本养老保险、基本医疗保险、失业保险、工伤保险和生育保险等社会保险费；</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32.3.6.4通过银行等金融机构向安置的每位残疾人，按月支付了不低于单位所在区县适用的经省级人民政府批准的月最低工资标准的工资；</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32.3.6.5提供本单位制造的货物、承担的工程或者服务（以下简称产品），或者提供其他残疾人福利性单位制造的货物（不包括使用非残疾人福利性单位注册商标的货物）；</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32.3.7本项目是否专门面向中小企业预留采购份额见第一章《招标公告》。</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32.3.8采购标的对应的中小企业划分标准所属行业见第四章《采购需求》。</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32.3.9小微企业价格评审优惠的政策：见第五章《评标方法和评标标准》。</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32.4政府采购节能产品、环境标志产品</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highlight w:val="none"/>
        </w:rPr>
        <w:t xml:space="preserve">如属政府强制采购产品未提供认证证书的或认证证书提供不全的将视为未实质性响应采购要求。</w:t>
      </w:r>
      <w:r>
        <w:rPr>
          <w:rFonts w:hint="eastAsia" w:ascii="宋体" w:hAnsi="宋体" w:eastAsia="宋体" w:cs="宋体"/>
          <w:color w:val="auto"/>
          <w:highlight w:val="none"/>
        </w:rPr>
        <w:t xml:space="preserve">其他条件相同情况下，应当优先采购节能产品、环境标志产品。</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32.5绿色包装</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32.6政府采购创新产品</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采购人优先采购各级政府部门公开发布的有效期内的创新产品、创新服务、首台套、首购首用等《目录》的创新产品。</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32.7绿色数据中心政策 </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auto"/>
        </w:rPr>
      </w:r>
      <w:r/>
    </w:p>
    <w:p>
      <w:pPr>
        <w:ind w:firstLine="482"/>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32.8实施本国产品标准及相关政策</w:t>
      </w:r>
      <w:r>
        <w:rPr>
          <w:color w:val="auto"/>
        </w:rPr>
      </w:r>
      <w:r/>
    </w:p>
    <w:p>
      <w:pPr>
        <w:ind w:firstLine="482"/>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1.本项目对采购本国产品给予政策支持，具体内容见招标文件“第五章 评标方法与评标标准”。</w:t>
      </w:r>
      <w:r>
        <w:rPr>
          <w:color w:val="auto"/>
        </w:rPr>
      </w:r>
      <w:r/>
    </w:p>
    <w:p>
      <w:pPr>
        <w:ind w:firstLine="482"/>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rPr>
      </w:r>
      <w:r/>
    </w:p>
    <w:p>
      <w:pPr>
        <w:ind w:firstLine="482"/>
        <w:spacing w:line="500" w:lineRule="exac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rPr>
      </w:r>
      <w:r/>
    </w:p>
    <w:p>
      <w:pPr>
        <w:ind w:firstLine="482"/>
        <w:spacing w:line="500" w:lineRule="exac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32.9履约保证金政策</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确需收取履约保证金的，履约保证金的缴纳形式：</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如以履约保函（保险）形式缴纳履约保证金，供应商可通过政府采购电子履约保函（保险）平台（www.jsdzbh.com）在线申请履约保函（保险）。</w:t>
      </w:r>
      <w:r>
        <w:rPr>
          <w:color w:val="auto"/>
        </w:rPr>
      </w:r>
      <w:r/>
    </w:p>
    <w:p>
      <w:pPr>
        <w:pStyle w:val="895"/>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color w:val="auto"/>
        </w:rPr>
      </w:r>
      <w:r/>
    </w:p>
    <w:p>
      <w:pPr>
        <w:pStyle w:val="895"/>
        <w:ind w:firstLine="480"/>
        <w:jc w:val="both"/>
        <w:spacing w:beforeAutospacing="0" w:afterAutospacing="0" w:line="50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33. 预付款制度</w:t>
      </w:r>
      <w:r>
        <w:rPr>
          <w:color w:val="auto"/>
        </w:rPr>
      </w:r>
      <w:r/>
    </w:p>
    <w:p>
      <w:pPr>
        <w:pStyle w:val="895"/>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本项目落实预付款制度，预付款比例为</w:t>
      </w:r>
      <w:r>
        <w:rPr>
          <w:rFonts w:hint="eastAsia" w:ascii="宋体" w:hAnsi="宋体" w:eastAsia="宋体" w:cs="宋体"/>
          <w:color w:val="auto"/>
          <w:highlight w:val="none"/>
          <w:u w:val="single"/>
        </w:rPr>
        <w:t xml:space="preserve">30</w:t>
      </w:r>
      <w:r>
        <w:rPr>
          <w:rFonts w:hint="eastAsia" w:ascii="宋体" w:hAnsi="宋体" w:eastAsia="宋体" w:cs="宋体"/>
          <w:color w:val="auto"/>
          <w:highlight w:val="none"/>
        </w:rPr>
        <w:t xml:space="preserve">%（原则上不低于合同金额的30%）。在签订合同时，中标、成交供应商明确书面表示无需预付款或者主动要求降低预付款比例的，采购人可就预付款比例作相应调整。</w:t>
      </w:r>
      <w:r>
        <w:rPr>
          <w:color w:val="auto"/>
        </w:rPr>
      </w:r>
      <w:r/>
    </w:p>
    <w:p>
      <w:pPr>
        <w:pStyle w:val="876"/>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rPr>
          <w:color w:val="auto"/>
        </w:rPr>
      </w:r>
      <w:r/>
    </w:p>
    <w:p>
      <w:pPr>
        <w:rPr>
          <w:rFonts w:ascii="黑体" w:hAnsi="宋体" w:eastAsia="黑体" w:cs="黑体"/>
          <w:b/>
          <w:color w:val="auto"/>
          <w:sz w:val="44"/>
          <w:szCs w:val="44"/>
          <w:highlight w:val="none"/>
        </w:rPr>
      </w:pPr>
      <w:r>
        <w:rPr>
          <w:rFonts w:hint="eastAsia" w:ascii="黑体" w:hAnsi="宋体" w:eastAsia="黑体" w:cs="黑体"/>
          <w:b/>
          <w:color w:val="auto"/>
          <w:sz w:val="44"/>
          <w:szCs w:val="44"/>
          <w:highlight w:val="none"/>
        </w:rPr>
        <w:br w:type="page" w:clear="all"/>
      </w:r>
      <w:r>
        <w:rPr>
          <w:color w:val="auto"/>
        </w:rPr>
      </w:r>
      <w:r/>
    </w:p>
    <w:p>
      <w:pPr>
        <w:pStyle w:val="876"/>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第三章  合同文本</w:t>
      </w:r>
      <w:r>
        <w:rPr>
          <w:color w:val="auto"/>
          <w:highlight w:val="none"/>
        </w:rPr>
        <w:t xml:space="preserve"> </w:t>
      </w:r>
      <w:r>
        <w:rPr>
          <w:color w:val="auto"/>
        </w:rPr>
      </w:r>
      <w:r/>
    </w:p>
    <w:p>
      <w:pPr>
        <w:pStyle w:val="876"/>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以下为中标后签订本项目合同的通用条款，中标人不得提出实质性的修改。</w:t>
      </w:r>
      <w:r>
        <w:rPr>
          <w:color w:val="auto"/>
        </w:rPr>
      </w:r>
      <w:r/>
    </w:p>
    <w:p>
      <w:pPr>
        <w:pStyle w:val="876"/>
        <w:jc w:val="both"/>
        <w:spacing w:before="120" w:beforeAutospacing="0" w:after="12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项目名称：</w:t>
      </w:r>
      <w:r>
        <w:rPr>
          <w:color w:val="auto"/>
        </w:rPr>
      </w:r>
      <w:r/>
    </w:p>
    <w:p>
      <w:pPr>
        <w:pStyle w:val="876"/>
        <w:jc w:val="both"/>
        <w:spacing w:before="120" w:beforeAutospacing="0" w:after="120" w:afterAutospacing="0" w:line="360" w:lineRule="auto"/>
        <w:rPr>
          <w:rFonts w:eastAsia="宋体"/>
          <w:color w:val="auto"/>
          <w:highlight w:val="none"/>
          <w:u w:val="single"/>
        </w:rPr>
      </w:pPr>
      <w:r>
        <w:rPr>
          <w:rFonts w:hint="eastAsia" w:ascii="宋体" w:hAnsi="宋体" w:eastAsia="宋体" w:cs="宋体"/>
          <w:color w:val="auto"/>
          <w:highlight w:val="none"/>
        </w:rPr>
        <w:t xml:space="preserve">项目编号：</w:t>
      </w:r>
      <w:r>
        <w:rPr>
          <w:color w:val="auto"/>
        </w:rPr>
      </w:r>
      <w:r/>
    </w:p>
    <w:p>
      <w:pPr>
        <w:pStyle w:val="871"/>
        <w:spacing w:before="120" w:after="120" w:line="440" w:lineRule="exact"/>
        <w:rPr>
          <w:rFonts w:hAnsi="宋体" w:cs="宋体"/>
          <w:color w:val="auto"/>
          <w:sz w:val="24"/>
          <w:highlight w:val="none"/>
          <w:u w:val="single"/>
        </w:rPr>
      </w:pPr>
      <w:r>
        <w:rPr>
          <w:rFonts w:hint="eastAsia" w:hAnsi="宋体" w:cs="宋体"/>
          <w:color w:val="auto"/>
          <w:sz w:val="24"/>
          <w:highlight w:val="none"/>
        </w:rPr>
        <w:t xml:space="preserve">甲方：</w:t>
      </w:r>
      <w:r>
        <w:rPr>
          <w:color w:val="auto"/>
        </w:rPr>
      </w:r>
      <w:r/>
    </w:p>
    <w:p>
      <w:pPr>
        <w:pStyle w:val="871"/>
        <w:spacing w:before="120" w:after="120" w:line="440" w:lineRule="exact"/>
        <w:rPr>
          <w:rFonts w:hAnsi="宋体" w:eastAsia="宋体" w:cs="宋体"/>
          <w:color w:val="auto"/>
          <w:sz w:val="24"/>
          <w:highlight w:val="none"/>
        </w:rPr>
      </w:pPr>
      <w:r>
        <w:rPr>
          <w:rFonts w:hint="eastAsia" w:hAnsi="宋体" w:cs="宋体"/>
          <w:color w:val="auto"/>
          <w:sz w:val="24"/>
          <w:highlight w:val="none"/>
        </w:rPr>
        <w:t xml:space="preserve">乙方：</w:t>
      </w:r>
      <w:r>
        <w:rPr>
          <w:color w:val="auto"/>
        </w:rPr>
      </w:r>
      <w:r/>
    </w:p>
    <w:p>
      <w:pPr>
        <w:pStyle w:val="871"/>
        <w:spacing w:before="120" w:after="120" w:line="440" w:lineRule="exact"/>
        <w:rPr>
          <w:rFonts w:hAnsi="宋体" w:cs="宋体"/>
          <w:b/>
          <w:color w:val="auto"/>
          <w:sz w:val="24"/>
          <w:highlight w:val="none"/>
        </w:rPr>
      </w:pPr>
      <w:r>
        <w:rPr>
          <w:rFonts w:hint="eastAsia" w:hAnsi="宋体" w:cs="宋体"/>
          <w:color w:val="auto"/>
          <w:sz w:val="24"/>
          <w:highlight w:val="none"/>
        </w:rPr>
        <w:t xml:space="preserve">甲、乙双方根据</w:t>
      </w:r>
      <w:r>
        <w:rPr>
          <w:rFonts w:hint="eastAsia" w:hAnsi="宋体" w:cs="宋体"/>
          <w:color w:val="auto"/>
          <w:sz w:val="24"/>
          <w:highlight w:val="none"/>
          <w:u w:val="single"/>
        </w:rPr>
        <w:t xml:space="preserve">2026-2028年环科城雨、污水管网管护服务项目</w:t>
      </w:r>
      <w:r>
        <w:rPr>
          <w:rFonts w:hint="eastAsia" w:hAnsi="宋体" w:cs="宋体"/>
          <w:color w:val="auto"/>
          <w:sz w:val="24"/>
          <w:highlight w:val="none"/>
        </w:rPr>
        <w:t xml:space="preserve">公开招标的结果，签署本合同。</w:t>
      </w:r>
      <w:r>
        <w:rPr>
          <w:color w:val="auto"/>
        </w:rPr>
      </w:r>
      <w:r/>
    </w:p>
    <w:p>
      <w:pPr>
        <w:pStyle w:val="871"/>
        <w:ind w:firstLine="482"/>
        <w:spacing w:before="120" w:after="120" w:line="440" w:lineRule="exact"/>
        <w:rPr>
          <w:rFonts w:hAnsi="宋体" w:cs="宋体"/>
          <w:b/>
          <w:bCs/>
          <w:color w:val="auto"/>
          <w:sz w:val="24"/>
          <w:highlight w:val="none"/>
        </w:rPr>
      </w:pPr>
      <w:r>
        <w:rPr>
          <w:rFonts w:hint="eastAsia" w:hAnsi="宋体" w:cs="宋体"/>
          <w:b/>
          <w:bCs/>
          <w:color w:val="auto"/>
          <w:sz w:val="24"/>
          <w:highlight w:val="none"/>
        </w:rPr>
        <w:t xml:space="preserve">一、项目概况</w:t>
      </w:r>
      <w:r>
        <w:rPr>
          <w:color w:val="auto"/>
        </w:rPr>
      </w:r>
      <w:r/>
    </w:p>
    <w:p>
      <w:pPr>
        <w:ind w:firstLine="480"/>
        <w:jc w:val="left"/>
        <w:spacing w:line="500" w:lineRule="exact"/>
        <w:rPr>
          <w:rFonts w:ascii="新宋体" w:hAnsi="新宋体" w:eastAsia="新宋体"/>
          <w:color w:val="auto"/>
          <w:sz w:val="24"/>
          <w:highlight w:val="none"/>
        </w:rPr>
      </w:pPr>
      <w:r>
        <w:rPr>
          <w:rFonts w:hint="eastAsia" w:ascii="新宋体" w:hAnsi="新宋体" w:eastAsia="新宋体"/>
          <w:color w:val="auto"/>
          <w:sz w:val="24"/>
          <w:highlight w:val="none"/>
        </w:rPr>
        <w:t xml:space="preserve">1.1 服务名称：2026-2028年环科城雨、污水管网管护服务项目</w:t>
      </w:r>
      <w:r>
        <w:rPr>
          <w:color w:val="auto"/>
        </w:rPr>
      </w:r>
      <w:r/>
    </w:p>
    <w:p>
      <w:pPr>
        <w:ind w:firstLine="480"/>
        <w:jc w:val="left"/>
        <w:spacing w:line="500" w:lineRule="exact"/>
        <w:rPr>
          <w:rFonts w:ascii="新宋体" w:hAnsi="新宋体" w:eastAsia="新宋体"/>
          <w:color w:val="auto"/>
          <w:sz w:val="24"/>
          <w:highlight w:val="none"/>
        </w:rPr>
      </w:pPr>
      <w:r>
        <w:rPr>
          <w:rFonts w:hint="eastAsia" w:ascii="新宋体" w:hAnsi="新宋体" w:eastAsia="新宋体"/>
          <w:color w:val="auto"/>
          <w:sz w:val="24"/>
          <w:highlight w:val="none"/>
        </w:rPr>
        <w:t xml:space="preserve">1.2 </w:t>
      </w:r>
      <w:r>
        <w:rPr>
          <w:rFonts w:hint="eastAsia" w:ascii="宋体" w:hAnsi="宋体" w:eastAsia="宋体" w:cs="宋体"/>
          <w:color w:val="auto"/>
          <w:sz w:val="24"/>
          <w:highlight w:val="none"/>
        </w:rPr>
        <w:t xml:space="preserve">服务</w:t>
      </w:r>
      <w:r>
        <w:rPr>
          <w:rFonts w:hint="eastAsia" w:ascii="宋体" w:hAnsi="宋体" w:cs="宋体"/>
          <w:color w:val="auto"/>
          <w:sz w:val="24"/>
          <w:highlight w:val="none"/>
        </w:rPr>
        <w:t xml:space="preserve">内容</w:t>
      </w:r>
      <w:r>
        <w:rPr>
          <w:rFonts w:hint="eastAsia" w:ascii="宋体" w:hAnsi="宋体" w:eastAsia="宋体" w:cs="宋体"/>
          <w:color w:val="auto"/>
          <w:sz w:val="24"/>
          <w:highlight w:val="none"/>
        </w:rPr>
        <w:t xml:space="preserve">：2026-2028年环科城雨、污水管网管护服务项目，为盐城环保科技城辖区内雨污水管网提供巡查管护服务，包含管网疏通、污水泵站运行维护等常态化巡查管护（含驻点办公、污水管网检测、管网普查以及CCTV检测报告的编制），应急排水处置、汛期防汛值守等相关工作。具体以采购人提供的</w:t>
      </w:r>
      <w:r>
        <w:rPr>
          <w:rFonts w:hint="eastAsia" w:ascii="宋体" w:hAnsi="宋体" w:eastAsia="宋体" w:cs="宋体"/>
          <w:color w:val="auto"/>
          <w:sz w:val="24"/>
          <w:highlight w:val="none"/>
          <w:lang w:val="en-US" w:eastAsia="zh-CN"/>
        </w:rPr>
        <w:t xml:space="preserve">管护</w:t>
      </w:r>
      <w:r>
        <w:rPr>
          <w:rFonts w:hint="eastAsia" w:ascii="宋体" w:hAnsi="宋体" w:eastAsia="宋体" w:cs="宋体"/>
          <w:color w:val="auto"/>
          <w:sz w:val="24"/>
          <w:highlight w:val="none"/>
        </w:rPr>
        <w:t xml:space="preserve">量清单、施工图纸及采购人现场要求为准，服从采购人管理，采购人保留对上述</w:t>
      </w:r>
      <w:r>
        <w:rPr>
          <w:rFonts w:hint="eastAsia" w:ascii="宋体" w:hAnsi="宋体" w:eastAsia="宋体" w:cs="宋体"/>
          <w:color w:val="auto"/>
          <w:sz w:val="24"/>
          <w:highlight w:val="none"/>
          <w:lang w:val="en-US" w:eastAsia="zh-CN"/>
        </w:rPr>
        <w:t xml:space="preserve">工作</w:t>
      </w:r>
      <w:r>
        <w:rPr>
          <w:rFonts w:hint="eastAsia" w:ascii="宋体" w:hAnsi="宋体" w:eastAsia="宋体" w:cs="宋体"/>
          <w:color w:val="auto"/>
          <w:sz w:val="24"/>
          <w:highlight w:val="none"/>
        </w:rPr>
        <w:t xml:space="preserve">量及范围适当调整的权利。</w:t>
      </w:r>
      <w:r>
        <w:rPr>
          <w:color w:val="auto"/>
        </w:rPr>
      </w:r>
      <w:r/>
    </w:p>
    <w:p>
      <w:pPr>
        <w:ind w:firstLine="480"/>
        <w:jc w:val="left"/>
        <w:spacing w:line="500" w:lineRule="exact"/>
        <w:rPr>
          <w:rFonts w:hAnsi="宋体" w:cs="宋体"/>
          <w:color w:val="auto"/>
          <w:sz w:val="24"/>
          <w:highlight w:val="none"/>
        </w:rPr>
      </w:pPr>
      <w:r>
        <w:rPr>
          <w:rFonts w:hint="eastAsia" w:ascii="宋体" w:hAnsi="宋体" w:cs="宋体"/>
          <w:color w:val="auto"/>
          <w:sz w:val="24"/>
          <w:highlight w:val="none"/>
        </w:rPr>
        <w:t xml:space="preserve">1.3质量要求：合格，本项目质量必须确保达到《市政基础设施维护维修质量考核标准》涉及的相关要求，接受甲方和属地街道的管理、考核。</w:t>
      </w:r>
      <w:r>
        <w:rPr>
          <w:color w:val="auto"/>
        </w:rPr>
      </w:r>
      <w:r/>
    </w:p>
    <w:p>
      <w:pPr>
        <w:ind w:firstLine="482"/>
        <w:spacing w:line="500" w:lineRule="exact"/>
        <w:rPr>
          <w:rFonts w:hAnsi="宋体"/>
          <w:b/>
          <w:color w:val="auto"/>
          <w:sz w:val="24"/>
          <w:highlight w:val="none"/>
        </w:rPr>
      </w:pPr>
      <w:r>
        <w:rPr>
          <w:rFonts w:hint="eastAsia" w:hAnsi="宋体"/>
          <w:b/>
          <w:color w:val="auto"/>
          <w:sz w:val="24"/>
          <w:highlight w:val="none"/>
        </w:rPr>
        <w:t xml:space="preserve">二、合同金额</w:t>
      </w:r>
      <w:r>
        <w:rPr>
          <w:color w:val="auto"/>
        </w:rPr>
      </w:r>
      <w:r/>
    </w:p>
    <w:p>
      <w:pPr>
        <w:ind w:firstLine="480"/>
        <w:jc w:val="left"/>
        <w:spacing w:line="500" w:lineRule="exact"/>
        <w:rPr>
          <w:rFonts w:ascii="新宋体" w:hAnsi="新宋体" w:eastAsia="新宋体" w:cs="Times New Roman"/>
          <w:color w:val="auto"/>
          <w:sz w:val="24"/>
          <w:highlight w:val="none"/>
        </w:rPr>
      </w:pPr>
      <w:r>
        <w:rPr>
          <w:rFonts w:hint="eastAsia" w:ascii="新宋体" w:hAnsi="新宋体" w:eastAsia="新宋体" w:cs="Times New Roman"/>
          <w:color w:val="auto"/>
          <w:sz w:val="24"/>
          <w:highlight w:val="none"/>
        </w:rPr>
        <w:t xml:space="preserve">2.1本合同金额为：人民币（大写）：___________（</w:t>
      </w:r>
      <w:r>
        <w:rPr>
          <w:rFonts w:ascii="新宋体" w:hAnsi="新宋体" w:eastAsia="新宋体" w:cs="Times New Roman"/>
          <w:color w:val="auto"/>
          <w:sz w:val="24"/>
          <w:highlight w:val="none"/>
        </w:rPr>
        <w:t xml:space="preserve">¥</w:t>
      </w:r>
      <w:r>
        <w:rPr>
          <w:rFonts w:hint="eastAsia" w:ascii="新宋体" w:hAnsi="新宋体" w:eastAsia="新宋体" w:cs="Times New Roman"/>
          <w:color w:val="auto"/>
          <w:sz w:val="24"/>
          <w:highlight w:val="none"/>
        </w:rPr>
        <w:t xml:space="preserve">___________）。</w:t>
      </w:r>
      <w:r>
        <w:rPr>
          <w:color w:val="auto"/>
        </w:rPr>
      </w:r>
      <w:r/>
    </w:p>
    <w:p>
      <w:pPr>
        <w:ind w:firstLine="480"/>
        <w:jc w:val="left"/>
        <w:spacing w:line="500" w:lineRule="exact"/>
        <w:rPr>
          <w:rFonts w:ascii="新宋体" w:hAnsi="新宋体" w:eastAsia="新宋体" w:cs="Times New Roman"/>
          <w:color w:val="auto"/>
          <w:sz w:val="24"/>
          <w:highlight w:val="none"/>
        </w:rPr>
      </w:pPr>
      <w:r>
        <w:rPr>
          <w:rFonts w:hint="eastAsia" w:ascii="新宋体" w:hAnsi="新宋体" w:eastAsia="新宋体" w:cs="Times New Roman"/>
          <w:color w:val="auto"/>
          <w:sz w:val="24"/>
          <w:highlight w:val="none"/>
        </w:rPr>
        <w:t xml:space="preserve">2.2上述金额包含（但不限于）以下全部费用，具体如下：乙方根据环科城管网现场工况、地下管线复杂程度、自身运维设备实力、市场行情、管理水平等因素自主报价，</w:t>
      </w:r>
      <w:r>
        <w:rPr>
          <w:rFonts w:hint="eastAsia" w:cs="宋体" w:asciiTheme="minorEastAsia" w:hAnsiTheme="minorEastAsia"/>
          <w:bCs/>
          <w:color w:val="auto"/>
          <w:sz w:val="24"/>
          <w:highlight w:val="none"/>
        </w:rPr>
        <w:t xml:space="preserve">合同实施过程中单价不作调整</w:t>
      </w:r>
      <w:r>
        <w:rPr>
          <w:rFonts w:hint="eastAsia" w:ascii="新宋体" w:hAnsi="新宋体" w:eastAsia="新宋体" w:cs="Times New Roman"/>
          <w:color w:val="auto"/>
          <w:sz w:val="24"/>
          <w:highlight w:val="none"/>
        </w:rPr>
        <w:t xml:space="preserve">，</w:t>
      </w:r>
      <w:r>
        <w:rPr>
          <w:rFonts w:hint="eastAsia" w:ascii="新宋体" w:hAnsi="新宋体" w:eastAsia="新宋体" w:cs="Times New Roman"/>
          <w:color w:val="auto"/>
          <w:sz w:val="24"/>
          <w:highlight w:val="none"/>
        </w:rPr>
        <w:t xml:space="preserve">包含完成本项目全部管护服务内容的所有成本、利润、税金。管网日常巡查、管道CCTV检测、QV快速检测、管道高压清洗、管网清淤疏通、检查井/雨水篦清掏、化粪池清淤、污泥密闭运输及合规处置、破损井盖/井圈更换维修、管网局部缺陷修复、防汛应急抢险、排水排口溯源排查、排污户监管、现场安全防护、警示围挡、交通疏导、人工薪酬、项目管理人员和驻点人员工资、特种作业人员持证</w:t>
      </w:r>
      <w:r>
        <w:rPr>
          <w:rFonts w:hint="eastAsia" w:ascii="新宋体" w:hAnsi="新宋体" w:eastAsia="新宋体" w:cs="Times New Roman"/>
          <w:color w:val="auto"/>
          <w:sz w:val="24"/>
          <w:highlight w:val="none"/>
        </w:rPr>
        <w:t xml:space="preserve">费用、管道疏通车、吸污车、CCTV检测车、发电机、潜水泵等设备购置租赁及维保燃油费、土工耗材、清淤药剂、劳保用品、保险（第三者责任险、工伤保险）、交通、水电、成果台账图纸编制、月度/季度管护报告、专家评审、验收配合、设备运输、垃圾清运、政策调价、地下未知管线风险、汛期极端降雨抢险增量、人工材料设备价格上涨等全部市场与政策性风险费用。凡投标人漏项、少计、预估不足，均视为乙方自愿优惠让利，甲方不再额外支付任何费用。人工、燃油、污泥处置费、管材配件价格上涨，环保、排水管理政策更新调整等全部风险已包含在投标报价内。</w:t>
      </w:r>
      <w:r>
        <w:rPr>
          <w:rFonts w:ascii="新宋体" w:hAnsi="新宋体" w:eastAsia="新宋体" w:cs="Times New Roman"/>
          <w:color w:val="auto"/>
          <w:sz w:val="24"/>
          <w:highlight w:val="none"/>
        </w:rPr>
        <w:t xml:space="preserve"> </w:t>
      </w:r>
      <w:r>
        <w:rPr>
          <w:color w:val="auto"/>
        </w:rPr>
      </w:r>
      <w:r/>
    </w:p>
    <w:p>
      <w:pPr>
        <w:ind w:firstLine="482"/>
        <w:spacing w:line="500" w:lineRule="exact"/>
        <w:rPr>
          <w:rFonts w:ascii="宋体" w:hAnsi="宋体"/>
          <w:b/>
          <w:bCs/>
          <w:color w:val="auto"/>
          <w:sz w:val="24"/>
          <w:highlight w:val="none"/>
        </w:rPr>
      </w:pPr>
      <w:r>
        <w:rPr>
          <w:rFonts w:hint="eastAsia" w:ascii="宋体" w:hAnsi="宋体"/>
          <w:b/>
          <w:bCs/>
          <w:color w:val="auto"/>
          <w:sz w:val="24"/>
          <w:highlight w:val="none"/>
        </w:rPr>
        <w:t xml:space="preserve">三、服务期限要求：</w:t>
      </w:r>
      <w:r>
        <w:rPr>
          <w:rFonts w:hint="eastAsia" w:ascii="宋体" w:hAnsi="宋体" w:eastAsia="宋体" w:cs="宋体"/>
          <w:color w:val="auto"/>
          <w:sz w:val="24"/>
          <w:highlight w:val="none"/>
        </w:rPr>
        <w:t xml:space="preserve">两年，合同一年一签。首个服务年度合同期满，经采购人及</w:t>
      </w:r>
      <w:r>
        <w:rPr>
          <w:rFonts w:hint="eastAsia" w:ascii="宋体" w:hAnsi="宋体" w:cs="宋体"/>
          <w:color w:val="auto"/>
          <w:sz w:val="24"/>
          <w:highlight w:val="none"/>
        </w:rPr>
        <w:t xml:space="preserve">属地街道的管理</w:t>
      </w:r>
      <w:r>
        <w:rPr>
          <w:rFonts w:hint="eastAsia" w:ascii="宋体" w:hAnsi="宋体" w:eastAsia="宋体" w:cs="宋体"/>
          <w:color w:val="auto"/>
          <w:sz w:val="24"/>
          <w:highlight w:val="none"/>
        </w:rPr>
        <w:t xml:space="preserve">考核，服务成果符合《市政基础设施维护维修质量考核标准》，且采购人出具书面顺延确认，合同顺延 1 年；若采购人未出具书面顺延确认，本合同自生效之日起满一年自动终止。</w:t>
      </w:r>
      <w:r>
        <w:rPr>
          <w:color w:val="auto"/>
        </w:rPr>
      </w:r>
      <w:r/>
    </w:p>
    <w:p>
      <w:pPr>
        <w:ind w:firstLine="482"/>
        <w:jc w:val="left"/>
        <w:spacing w:line="500" w:lineRule="exact"/>
        <w:rPr>
          <w:rFonts w:ascii="宋体" w:hAnsi="宋体"/>
          <w:b/>
          <w:color w:val="auto"/>
          <w:sz w:val="24"/>
          <w:highlight w:val="none"/>
        </w:rPr>
      </w:pPr>
      <w:r>
        <w:rPr>
          <w:rFonts w:hint="eastAsia" w:ascii="宋体" w:hAnsi="宋体"/>
          <w:b/>
          <w:color w:val="auto"/>
          <w:sz w:val="24"/>
          <w:highlight w:val="none"/>
        </w:rPr>
        <w:t xml:space="preserve">四、履约保证金</w:t>
      </w:r>
      <w:r>
        <w:rPr>
          <w:color w:val="auto"/>
        </w:rPr>
      </w:r>
      <w:r/>
    </w:p>
    <w:p>
      <w:pPr>
        <w:ind w:firstLine="480"/>
        <w:jc w:val="left"/>
        <w:spacing w:line="500" w:lineRule="exact"/>
        <w:rPr>
          <w:rFonts w:ascii="宋体" w:hAnsi="宋体" w:cs="宋体"/>
          <w:color w:val="auto"/>
          <w:sz w:val="24"/>
          <w:szCs w:val="20"/>
          <w:highlight w:val="none"/>
        </w:rPr>
      </w:pPr>
      <w:r>
        <w:rPr>
          <w:rFonts w:hint="eastAsia" w:ascii="宋体" w:hAnsi="宋体"/>
          <w:color w:val="auto"/>
          <w:sz w:val="24"/>
          <w:highlight w:val="none"/>
        </w:rPr>
        <w:t xml:space="preserve">4.1乙方</w:t>
      </w:r>
      <w:r>
        <w:rPr>
          <w:rFonts w:hint="eastAsia" w:ascii="宋体" w:hAnsi="宋体" w:cs="宋体"/>
          <w:color w:val="auto"/>
          <w:sz w:val="24"/>
          <w:szCs w:val="20"/>
          <w:highlight w:val="none"/>
        </w:rPr>
        <w:t xml:space="preserve">交纳人民币_________元作为本合同的履约保证金。</w:t>
      </w:r>
      <w:r>
        <w:rPr>
          <w:rFonts w:hint="eastAsia" w:cs="宋体"/>
          <w:color w:val="auto"/>
          <w:sz w:val="24"/>
          <w:szCs w:val="20"/>
          <w:highlight w:val="none"/>
        </w:rPr>
        <w:t xml:space="preserve">【</w:t>
      </w:r>
      <w:r>
        <w:rPr>
          <w:rFonts w:hint="eastAsia" w:ascii="宋体" w:hAnsi="宋体" w:cs="宋体"/>
          <w:color w:val="auto"/>
          <w:sz w:val="24"/>
          <w:szCs w:val="20"/>
          <w:highlight w:val="none"/>
        </w:rPr>
        <w:t xml:space="preserve">备注：合同金额的10%，</w:t>
      </w:r>
      <w:r>
        <w:rPr>
          <w:rFonts w:hint="eastAsia" w:cs="宋体"/>
          <w:color w:val="auto"/>
          <w:sz w:val="24"/>
          <w:szCs w:val="20"/>
          <w:highlight w:val="none"/>
        </w:rPr>
        <w:t xml:space="preserve">甲方</w:t>
      </w:r>
      <w:r>
        <w:rPr>
          <w:rFonts w:hint="eastAsia" w:ascii="宋体" w:hAnsi="宋体" w:cs="宋体"/>
          <w:color w:val="auto"/>
          <w:sz w:val="24"/>
          <w:szCs w:val="20"/>
          <w:highlight w:val="none"/>
        </w:rPr>
        <w:t xml:space="preserve">应当对AA评级及以上政府采购供应商（需提供信用管理部门备案的第三方信用报告），</w:t>
      </w:r>
      <w:r>
        <w:rPr>
          <w:rFonts w:hint="eastAsia" w:ascii="宋体" w:hAnsi="宋体"/>
          <w:bCs/>
          <w:color w:val="auto"/>
          <w:sz w:val="24"/>
          <w:highlight w:val="none"/>
        </w:rPr>
        <w:t xml:space="preserve">AAA等级免收履约保证金，AA等级履约保证金为</w:t>
      </w:r>
      <w:r>
        <w:rPr>
          <w:rFonts w:hint="eastAsia" w:ascii="宋体" w:hAnsi="宋体"/>
          <w:bCs/>
          <w:color w:val="auto"/>
          <w:sz w:val="24"/>
          <w:highlight w:val="none"/>
          <w:lang w:val="zh-CN"/>
        </w:rPr>
        <w:t xml:space="preserve">合同金额的</w:t>
      </w:r>
      <w:r>
        <w:rPr>
          <w:rFonts w:hint="eastAsia" w:ascii="宋体" w:hAnsi="宋体"/>
          <w:bCs/>
          <w:color w:val="auto"/>
          <w:sz w:val="24"/>
          <w:highlight w:val="none"/>
        </w:rPr>
        <w:t xml:space="preserve">5</w:t>
      </w:r>
      <w:r>
        <w:rPr>
          <w:rFonts w:hint="eastAsia" w:ascii="宋体" w:hAnsi="宋体"/>
          <w:bCs/>
          <w:color w:val="auto"/>
          <w:sz w:val="24"/>
          <w:highlight w:val="none"/>
          <w:lang w:val="zh-CN"/>
        </w:rPr>
        <w:t xml:space="preserve">%。</w:t>
      </w:r>
      <w:r>
        <w:rPr>
          <w:rFonts w:hint="eastAsia" w:cs="宋体"/>
          <w:color w:val="auto"/>
          <w:sz w:val="24"/>
          <w:szCs w:val="20"/>
          <w:highlight w:val="none"/>
        </w:rPr>
        <w:t xml:space="preserve">】</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4.2确需收取履约保证金的，履约保证金的缴纳形式：</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4.2.1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4.2.2 如以履约保函（保险）形式缴纳履约保证金，供应商可通过政府采购电子履约保函（保险）平台（www.jsdzbh.com）在线申请履约保函（保险）。</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4.3合同履行结束后，甲方应及时退还交纳的履约保证金。</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4.4履约保证金的退还：</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4.4.1方式：无息退还至供应商缴纳履约保证金的账户。如为保函，在到期时自行失效。</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4.4.2时间：验收合格且甲方收到发票后30日内。</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4.4.3条件：按合同要求全部履约完成并经甲方验收合格，且甲方收到乙方出具的发票。</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4.4.4不予退还情形：</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除不可抗力情况外，乙方出现下列情形之一的，其履约保证金，甲方将视情节决定不予退还或部分不予退还。</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（1）乙方无正当理由拒绝签订合同的，或者在签订合同时向甲方提出附加条件或者更改合同实质性内容要求的；</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（2）乙方不履行与甲方订立的合同的；</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（3）乙方服务不符合招标文件规定要求的；</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（4）乙方采取欺骗、弄虚作假方式投标的或与其它供应商串通投标的；</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（5）乙方将合同内容转包、违法分包的；</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（6）乙方故意捏造事实或伪造证明材料，进行虚假恶意投诉或反映的。</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4.4.5逾期退还的违约责任：甲方逾期无故未退还履约保证金的，按中国人民银行同期贷款基准利率上浮20%后的利率支付超期资金占用费，但因乙方自身原因导致无法及时退还的除外。</w:t>
      </w:r>
      <w:r>
        <w:rPr>
          <w:color w:val="auto"/>
        </w:rPr>
      </w:r>
      <w:r/>
    </w:p>
    <w:p>
      <w:pPr>
        <w:ind w:firstLine="482"/>
        <w:spacing w:line="500" w:lineRule="exact"/>
        <w:rPr>
          <w:rFonts w:ascii="宋体" w:hAnsi="宋体" w:cs="宋体"/>
          <w:b/>
          <w:color w:val="auto"/>
          <w:sz w:val="24"/>
          <w:highlight w:val="none"/>
        </w:rPr>
      </w:pPr>
      <w:r>
        <w:rPr>
          <w:rFonts w:hint="eastAsia" w:ascii="宋体" w:hAnsi="宋体"/>
          <w:b/>
          <w:bCs/>
          <w:color w:val="auto"/>
          <w:sz w:val="24"/>
          <w:highlight w:val="none"/>
        </w:rPr>
        <w:t xml:space="preserve">五、项目小组成员要求：</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5.1项目作业小组配置人员总数不得少于 6 人，人员架构须配备至少 1 名项目负责人、1 名专职安全员；作业人员年龄不得超过 55 周岁，人员配置由乙方合理统筹安排。管护服务周期内，乙方每日须安排不少于 1 名工作人员驻守甲方指定驻点，服从甲方日常调度与现场管理。</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5.2乙方需设置不少于 2 支现场运行班组，单支班组在岗人员不得少于 3 人。日常管护执行月度全覆盖巡查制度，每次巡查做好书面记录、建立完整管理台账；污水管道清淤疏通工作每年开展 2 次，作业时间分别定于汛期来临前、入冬之前。所有巡查、管道疏通作业全过程留存影像存档资料，上述所有工作落实情况纳入甲方日常考核指标。</w:t>
      </w:r>
      <w:r>
        <w:rPr>
          <w:color w:val="auto"/>
        </w:rPr>
      </w:r>
      <w:r/>
    </w:p>
    <w:p>
      <w:pPr>
        <w:ind w:firstLine="482"/>
        <w:spacing w:line="500" w:lineRule="exact"/>
        <w:rPr>
          <w:rFonts w:ascii="宋体" w:hAnsi="宋体"/>
          <w:b/>
          <w:bCs/>
          <w:color w:val="auto"/>
          <w:sz w:val="24"/>
          <w:highlight w:val="none"/>
        </w:rPr>
      </w:pPr>
      <w:r>
        <w:rPr>
          <w:rFonts w:hint="eastAsia" w:ascii="宋体" w:hAnsi="宋体"/>
          <w:b/>
          <w:bCs/>
          <w:color w:val="auto"/>
          <w:sz w:val="24"/>
          <w:highlight w:val="none"/>
        </w:rPr>
        <w:t xml:space="preserve">六、技术资料</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6.1乙方应按招标文件规定的时间向甲方提供服务（包含与服务相关的货物）的有关技术资料。</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6.2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auto"/>
        </w:rPr>
      </w:r>
      <w:r/>
    </w:p>
    <w:p>
      <w:pPr>
        <w:ind w:firstLine="482"/>
        <w:spacing w:line="500" w:lineRule="exact"/>
        <w:rPr>
          <w:rFonts w:ascii="宋体" w:hAnsi="宋体"/>
          <w:b/>
          <w:bCs/>
          <w:color w:val="auto"/>
          <w:sz w:val="24"/>
          <w:highlight w:val="none"/>
        </w:rPr>
      </w:pPr>
      <w:r>
        <w:rPr>
          <w:rFonts w:hint="eastAsia" w:ascii="宋体" w:hAnsi="宋体"/>
          <w:b/>
          <w:bCs/>
          <w:color w:val="auto"/>
          <w:sz w:val="24"/>
          <w:highlight w:val="none"/>
        </w:rPr>
        <w:t xml:space="preserve">七、知识产权</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7.1本项目所有成果的知识产权归甲方所有。</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7.2乙方应保证甲方在使用、接受本合同服务（包含与服务相关的货物）或其任何一部分时不受第三方提出侵犯其专利权、版权、商标权和工业设计权等知识产权的起诉。一旦出现侵权，由乙方负全部责任。</w:t>
      </w:r>
      <w:r>
        <w:rPr>
          <w:color w:val="auto"/>
        </w:rPr>
      </w:r>
      <w:r/>
    </w:p>
    <w:p>
      <w:pPr>
        <w:ind w:firstLine="482"/>
        <w:spacing w:line="500" w:lineRule="exact"/>
        <w:rPr>
          <w:rFonts w:ascii="宋体" w:hAnsi="宋体"/>
          <w:b/>
          <w:bCs/>
          <w:color w:val="auto"/>
          <w:sz w:val="24"/>
          <w:highlight w:val="none"/>
        </w:rPr>
      </w:pPr>
      <w:r>
        <w:rPr>
          <w:rFonts w:hint="eastAsia" w:ascii="宋体" w:hAnsi="宋体"/>
          <w:b/>
          <w:bCs/>
          <w:color w:val="auto"/>
          <w:sz w:val="24"/>
          <w:highlight w:val="none"/>
        </w:rPr>
        <w:t xml:space="preserve">八、产权担保</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8</w:t>
      </w:r>
      <w:r>
        <w:rPr>
          <w:rFonts w:hint="eastAsia" w:ascii="宋体" w:hAnsi="宋体"/>
          <w:color w:val="auto"/>
          <w:sz w:val="24"/>
          <w:highlight w:val="none"/>
          <w:lang w:val="zh-CN"/>
        </w:rPr>
        <w:t xml:space="preserve">.1 乙方保证所交付的服务（包含与服务相关的货物）的所有权完全属于乙方且无任何抵押、查封等产权瑕疵。</w:t>
      </w:r>
      <w:r>
        <w:rPr>
          <w:color w:val="auto"/>
        </w:rPr>
      </w:r>
      <w:r/>
    </w:p>
    <w:p>
      <w:pPr>
        <w:ind w:firstLine="482"/>
        <w:spacing w:line="500" w:lineRule="exact"/>
        <w:rPr>
          <w:rFonts w:ascii="宋体" w:hAnsi="宋体"/>
          <w:b/>
          <w:bCs/>
          <w:color w:val="auto"/>
          <w:sz w:val="24"/>
          <w:highlight w:val="none"/>
        </w:rPr>
      </w:pPr>
      <w:r>
        <w:rPr>
          <w:rFonts w:hint="eastAsia" w:ascii="宋体" w:hAnsi="宋体"/>
          <w:b/>
          <w:bCs/>
          <w:color w:val="auto"/>
          <w:sz w:val="24"/>
          <w:highlight w:val="none"/>
          <w:lang w:val="zh-CN"/>
        </w:rPr>
        <w:t xml:space="preserve">九、管护要求</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9.1市政污水管网泵站清淤、疏通养护</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9.1.1污水管网养护包括管网及泵站清淤、疏通，检查井的清捞，井盖框的更换、防坠网的加装、检查井抬高以及淤泥、垃圾运输处置等。</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9.1.2市政污水管网清淤疏通每年2次，每座泵站每年清淤不少于1次，垃圾需日常清理；每月提供管网、泵站运行情况简报。</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9.1.3乙方按照甲方的要求和计划有序开展市政污水设施养护工作。</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9.1.4污水检查井无硬块厚泥,无明显漂浮物。</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9.1.5淤泥及垃圾要立即清运或袋装集中临时堆放，并以路段为单位作业完成后通过密闭的垃圾运输车外运进行合理处置，（堆放地点和处置方式、地点由乙方自行考虑），保证淤泥及垃圾在临时堆放、处置不影响交通、环境卫生，以及运输及处理过程中不造成二次污染。</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9.1.6乙方需根据养护需要，配备必需的车辆、地下管网检查仪器设备等。</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9.1.7检查井井盖养护应符合以下规定：</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a、铸铁井盖应符合现行行业标准《铸铁检查井盖》CJ/T3012的有关规定，混凝土井盖应符合现行行业标准《钢纤维混凝土检查井盖》JC889的有关规定，检查井盖应符合现行国家标准《检查井盖》GB/T23858的有关规定；</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b、车辆经过时，井盖不应出现跳动和声响；</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c、当巡视人员在巡视过程中发现井盖缺失或损坏后，应立即设置警示标志，上报甲方经同意后在24小时内更换恢复；</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d、检查井防坠设施的养护应符合下列规定：</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（1）防坠设施上的垃圾和杂物应及时进行清理，不得将垃圾和杂物扔入检查井内；</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（2）发现防坠设施不牢固的，应及时修理或更换。</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9.1.8压力管的养护应符合下列规定：</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a、压力管养护应采用满负荷开泵的方式进行水力冲洗；</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b、透气井内应无浮渣；</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c、排气阀、压力井、透气井等附属设施应完好有效；</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d、压力盖板应无锈蚀，密封垫应定期更换，井体应无裂缝。</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9.1.9其他情况具体适用条件参照《城镇排水管渠与泵站运、维护及安全技术规程》CJJ68-2016。</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9.1.10污水管道疏浚、检查井积淤、浮渣的清理，污泥外运处置（堆放地点由乙方自行考虑,并由乙方负责污泥处置，承担后期责任）。</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9.1.11及时完成甲方安排的其他临时性工作。</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9.1.12质量标准同时满足《城镇排水管道维护安全技术规程》（CJJ6-2009）、《城镇排水管渠与泵站运行、维护及安全技术规程》（CJJ68-2016）规范要求及本招标文件相关要求。</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9.1.13 检查井需要清理并将井内垃圾外运。</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9.1.14 做好有毒气体防范处理，采用通风等相关安全防护措施。养护期间一切安全问题由乙方自行负责，安全措施费含在报价中。</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9.1.15 管网疏通、检查井淤泥、垃圾清理、2座泵站清淤（每座泵站每年不少于1次）及淤泥外运处置，乙方自行考虑处置地点和方式，满足环保要求，不得造成二次污染。如发现乱倒乱扔，将处以2000元/次处罚，如被相关部门通报、批评，每次处10000至50000元罚款；若被查处问责，视情节严重程度，甲方有权终止合同，工程款不予结算。管网、检查井、泵站清淤疏通满足《城镇排水管道维护安全技术规程》（CJJ6-2009）、《城镇排水管渠与泵站运行、维护及安全技术规程》（CJJ68-2016）及本招标文件相关要求。</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9.1.16管网清淤疏浚总长度由甲方根据管网实际，按实结算，无论甲方对清淤、疏通管道的总长度调整幅度如何，中标单价一律不予调整。</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9.1.17乙方按要求要组建应急养护队伍24小时服从甲方调遣，用于处置污水满溢等市民投诉、12345平台移交相关问题。</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9.2市政污水设施巡查</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9.2.1管网巡查</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9.2.1.1</w:t>
      </w:r>
      <w:r>
        <w:rPr>
          <w:rFonts w:hint="eastAsia" w:ascii="宋体" w:hAnsi="宋体"/>
          <w:color w:val="auto"/>
          <w:sz w:val="24"/>
          <w:highlight w:val="none"/>
        </w:rPr>
        <w:t xml:space="preserve">巡查负责人1名</w:t>
      </w:r>
      <w:r>
        <w:rPr>
          <w:rFonts w:hint="eastAsia" w:ascii="宋体" w:hAnsi="宋体"/>
          <w:color w:val="auto"/>
          <w:sz w:val="24"/>
          <w:highlight w:val="none"/>
        </w:rPr>
        <w:t xml:space="preserve">；负责每天巡查管理、信息的上报、反馈。</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9.2.1.2乙方根据养护范围内管网数量，安排足量巡查人员进行巡查，安排足量巡查人员进行巡查。污水管网巡查频率不低于每周巡查两次，每月上报上个月巡查、检测情况汇报和下个月工作计划，特殊情况下根据甲方需要，安排专人24小时巡查。及时发现污水管网等设施缺陷状况并采取围挡、警示措施，及时消除安全隐患；对破坏污水设施行为及时上报并制止；及时发现乱接、乱排以及违规向污水设施倾倒垃圾、废液等有关行为并制止；建立管网台账资料。</w:t>
      </w:r>
      <w:r>
        <w:rPr>
          <w:rFonts w:hint="eastAsia" w:ascii="宋体" w:hAnsi="宋体"/>
          <w:color w:val="auto"/>
          <w:sz w:val="24"/>
          <w:highlight w:val="none"/>
        </w:rPr>
        <w:t xml:space="preserve">配备巡查车辆不少于2辆，满足巡查要求；</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9.2.1.3管网巡查需常备必要的管道内窥检测设备及专业技术人员，协助甲方对管网情况进行准确判断；同时在甲方有相关需求时，需配备下水道养护工、有毒有害有限空间作业人员、潜水员等具备特定作业证书人员，进行相关检查工作；</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9.2.1.4 乙方需为市政污水设施巡查人员统一配备智能手机、记录仪等巡查器材，并通过微信、QQ群对巡查人员的每日巡查情况进行检查和考核并上报甲方，甲方可以实时查看市政污水设施巡查人员的巡查状态。所有巡查及维修工作可以电子回溯，每月完成上报甲方。</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9.2.1.5市政污水设施巡查过程中的安全事项均由乙方负责，乙方应提供法定代表人责任承诺书。</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9.2.1.6每日查看管道走向上方路面有无沉陷、开裂等异常情况，是否存在违章占压，是否存在安全隐患。</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9.2.1.7每日查看是否有未经许可擅自打开污水井盖现象，对建设工地及周边排水设施巡视检查，是否有危及市政污水设施安全的行为，重点查看是否有施工单位未经许可擅自将泥浆水或者其它污染腐蚀物向污水管道排放等现象。</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9.2.1.8每周查看污水检查井外部：井、盖、座，防坠网是否完好，井框盖是否变形、破损或被埋没；井盖和井框之间高差和间隙是否超限、是否突出、凹陷、跳动有声响；有无污水外溢；井盖周边道路是否有施工等情况。</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9.2.1.9 每半月查看检查井内部：爬梯是否松动、缺损；井壁是否存在泥垢、裂缝渗漏或抹面脱落；井底是否积泥、是否存有垃圾杂物；井内水位、水质和流向是否正常，是否存在违章排放、接管，关注重要排水户排水是否正常等情况，确保管网污水不外溢。</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9.2.1.10 巡查过程中发现以下行为之一时，乙方应及时制止并报告：</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（1）、向管渠内倾倒垃圾、粪便、残土、废渣、废液、垃圾渗滤液等废弃物；</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（2）、在管渠控制范围内修建各种建（构）筑物；</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（3）、在管渠控制范围内挖洞、取土、采砂、打井、开沟种植及堆放物件；</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（4）、擅自向管渠内接入排水管。</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9.2.1.11配合甲方进行污水专项验收相关工作。</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9.2.1.12 其他污水管网巡查内容参照《城镇排水管渠与泵站运行、维护及安全技术规程》CJJ68-2016要求。</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9.2.1.13市政污水设施巡查人员应及时发现并报告辖区内排水户变更情况(店面装修、铺设排水管道、建筑工地排水、私接乱接现象等)。</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9.2.1.14对巡查中发现的问题及时汇报,必要时需进行旁站。</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9.2.1.15如遇特殊情况应服从甲方临时调度。</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9.2.1.16巡查人员应认真准确填写巡查日志。</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9.2.1.17做好汛期提前防范、应急措施工作。</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9.2.1.18发生台风、暴雨、大雪等自然灾害后，或发生有可能对污水管线及其附属设施造成较大破坏的异常情况时，乙方要及时增加巡查人员和加大巡查的密度。</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9.2.1.19及时完成甲方安排的其他临时性工作。</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9.3泵站巡查保养、看管</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污水泵站所有低压电气设备、机械设备等，提供系统的点检、巡视、润滑、检查等维护保养及故障排查工作。维护泵站设施时，必须先对有毒、有害、易燃易爆气体进行检测与防护，泵站起重设备、压力容器、易燃易爆、有毒其他监测装置必须定期检测，合格后方可使用。</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9.3.1泵站巡查保养</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9.3.1.1机电设备巡视、润滑、检查等维护保养，相关维修资料建立和管理，保障机电设备正常运行。泵站巡查、保养。每天安排巡查，保证泵站正常运行；建立泵站巡查养护台账资料，及时发现泵站存在的问题，向甲方提出维修方案。配备专用巡查车辆、工具、劳保用品等。</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9.3.1.2 每日派维保人员对泵站机电设备进行巡回检查，主要是用手摸、目视、耳听的方法。重点检查设备的各个运转部分是否有异常响声，各连接紧固件是否有松动，各润滑部位的温度及油量是否适中，各仪表的灵敏度指示的是否准确，电气部分是否正常等。每周将泵站机电设备周检查表上报甲方。</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9.3.1.3 每月派工程师对泵站机电备进行一次例行检查，以便及时发现一些隐患，更换有潜在故障的部件，把故障几率降至最低。</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9.3.1.4 每日查看污水泵站机电设备运行有无异常情况，并填写巡视记录，特殊情况应增加巡视次数。</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9.3.1.5 泵站电力电缆定期检查，重要的电缆绝缘每年应至少测量一次；每日查看室内电缆沟内是否无渗水、积水，无淤泥及杂物，电缆排放应整齐、牢固；在埋地电缆保护范围内，不得有打桩、挖掘、植树以及其他可能伤及电缆的行为；发现树木生长和其他设施可能影响泵站供电安全的，应采取相应措施。</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9.3.1.6 每周巡视电力变压器情况，油温不应大于85℃，无渗油、漏油；变压器无异响；散热器部位手感温度应相近，散热附件应工作正常正常；吸湿器应完好，硅胶或其他吸附剂应干燥；显示控制元件完好；变压器室不应漏水，门窗及照明完好，通风良好，温度正常。</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9.3.1.7 泵站保洁、绿化养护、垃圾清运。每天安排专用车辆对泵站内格栅等所有设施产生的垃圾进行清运、处置。</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9.3.1.8当泵站管护期间发生零星维修时，单项零星维修费用在2000元以内，由乙方无偿负责及时修理。</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9.3.1.9 其他污水泵站巡查内容参照《城镇排水管渠与泵站运行、维护及安全技术规程》CJJ68-2016要求。</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其中3.1.5 主要工作内容</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电气设备：</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（1）变压器</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每周巡视变压器运行温度，噪声，检查环境卫生。</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低压配电柜：</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a.每周巡视各变电柜、馈电柜、联络柜、电容柜，观察各控制回路的工作电压、工作电流、功率因数、指示灯是否正常，检查并清洁各配电柜表面灰尘。</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b.每周检查各绝缘件有无破损、受潮，保护接地的连接是否可靠。检查主回路、二次回路端子及接插件是否牢固可靠。</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c.每年清理一次柜内外积尘和污物，紧固导线连接螺栓，检查各引出线的老化情况，测量接地电阻。</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起动控制柜、动力配电箱：</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a.每周检查电机运转是否正常，有无异响。起动控制柜上仪表和指示灯是否正常。检查起动控制柜内变频器、软启动器、交流接触器、时间继电器、热继电器、中间继电器动作是否可靠，及其触头磨损状况，必要时给予更换。检查主回路、控制回路接线端子、导线连接螺栓有无松动。检查柜内绝缘件是否有破损和受潮现象。</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b.每年对所有起动柜内作一次除尘去污。紧固所有导线接头，去除接线端子表面氧化状况。更换已经老化、磨损严重的元件。</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机械设备：</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（1）闸阀的维护</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a.每月检查手动闸阀、电动闸阀，并启闭一次，保持启闭灵活。</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b.每六个月检查丝杆、齿轮，及时加注或涂抹润滑脂。</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c.每年检查闸阀的密闭性和阀杆垂直度、调整闸板的位移余量、进行整修，检查阀杆等零部件腐蚀、磨损程度、进行保养或更换，电动闸阀的限位开关、联锁装置应可靠，当限位开关产生移位、失灵或联锁装置失效时，应及时调整修复。</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（2）格栅、螺旋压榨机的维护</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a.每三个月检查齿轮箱的油量与油质，及时加注或更换润滑脂（油）。</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b.每年对驱动链轮、链条、齿耙等整修；轴承、齿轮箱、密封件等整修；控制箱、各元器件等维护。螺旋叶片整修；螺旋叶片工作间隙和转轴绕度调整；压榨筒内的摩擦导向条调整。</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（3）水泵维护</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a.不常开的水泵每月运行一次，试运行时间不得小于3min。</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b.每三个月检测电机绝缘电阻，有绝缘下降的，必须对定子绕组做浸漆处理。</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c.每年对水泵进行吊泵检查，检查水泵油室的油量与油质、潜水电机引入电缆和密封圈、机械密封 、电机轴承、温度传感器、湿度传感器和泄漏传感器。必要时进行解体更换机油、轴承、机械密封，进行主轴调直，叶轮动平衡。</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d.其他情况按照《城镇排水管渠与泵站运行、维护及安全技术规程》（CJJ68-2016）规范要求执行。</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其它要求</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1、乙方需熟悉项目范围内所有设备的参数、技术性能和工作特性，具备设备检查、润滑、保养、维护、故障排查的能力和服务质量控制能力。</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2、乙方必须依法为维保作业人员缴纳工伤险等相关保险。</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3、乙方派出的维保人员，如电工、电气焊工、起重工等特殊工种，应具有国家相关部门颁发的有效证件，并做到持证上岗。</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4、乙方的作业人员必须严格遵守操作规程，在维保作业期间发生的人身伤害事故由乙方自行负责。</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5、乙方派出的作业人员均应经过良好的系统技术培训，并具有丰富的现场维护经验。因乙方工作人员工作失误（技能欠缺、维修迟缓或误操作等）对甲方造成经济损失，由乙方承担全部经济损失。</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6、泵站机电设备定期检查维护。各设备检查要求及周期参照《城镇排水管渠与泵站运行、维护及安全技术规程》CJJ68-2016。</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7、能响应、协作完成甲方提出的其他要求。</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9.3.2 泵站看管</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9.3.2.1认真做好泵站生产安全、治安安全、环境卫生和设备卫生等工作，按时、准确、完整的填写报表、各类台账并计算上报；</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9.3.2.2 根据甲方要求每天巡视。</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9.3.2.3严禁在泵站内进行酗酒、赌博及违反治安条例的活动，确保泵站治安安全；</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9.3.2.4不得随意更改泵站结构及设施，不得乱搭乱建，不得私自出租场地、库房或私借他人堆放物品，不得在泵站内从事加工、制作活动，不得转供水电。</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9.3.2.5按照泵站操作规程，进行相关操作，保证泵站正常运行，合理、有序开泵，确保下游管网污水不外溢；</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9.3.2.6乙方必须依法为看管人员缴纳工伤险等相关保险。</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9.4泵站绿化管护、垃圾清运</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9.4.1泵站内部绿化巡查：每月进行一次巡查，枯枝、残枝及断枝要及时修剪清理。</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9.4.2泵站卫生保洁、垃圾清运要求</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9.4.3泵站院内无有积水、积尘、烟头、痰迹、杂物、油渍和蜘蛛网等绿化带无有杂物、设备表面无有油渍、污垢、积尘等。</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9.4.4绿化带无有杂物。</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9.4.5道路清扫、管理用房保洁、设备保洁要做到每周一次。</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9.4.6垃圾要求日产日清，要求按照城管环卫要求进行运输处置，相关费用乙方自行负责。</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9.4.7格栅产生的垃圾日产日清，按照城管环卫要求进行运输处置，相关费用乙方自行负责。</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9.4.8能响应、协作完成甲方提出的其他要求。</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9.5安全、文明生产</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9.5.1安全生产责任</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9.5.1.1乙方认真落实施工组织设计中安全技术管理的各项措施，严格执行安全技术措施审批制度、项目安全交底制度和设施设备交接验收使用制度。</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9.5.1.2乙方要认真执行安全生产规章制度及安全操作规程，合理安排巡查和值班人员工作，经常组织巡查和值班人员学习安全操作规程，督促巡查和值班人员正确使用个人劳保用品，不断提高自我保护能力，认真落实安全技术交底，不违章指挥，不冒险蛮干，有权拒绝违章指挥。</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9.5.1.3发生事故，乙方要做好现场保护与抢救工作，及时上报，组织配合调查，认真制定落实防范措施，并认真吸取事故教训。</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9.5.2污水泵站安全生产管理措施 </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9.5.2.1在安全生产、劳动保护工作中，乙方必须贯彻劳动保护工作方针，树立“安全第一，预防为主”的思想，正确处理好“生产必须安全，安全促进生产”。要求把系统生产过程中的危险因素和职业危害消灭的萌芽状态，切实保障劳动者的安全和健康，确保系统的正常运行。 </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9.5.2.2乙方对电力设备要经常进行安全检查，检查包括：电力建设绝缘有无破损，绝缘电阻是否合格，设备裸露带电部分是否有防护，保护接零或接地是否正确、可靠，保护装置是否符合要求，手提式灯和局部照明灯是否安全用电。</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9.5.2.3乙方必须遵守安全用电要求： </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（1）不是电工不能拆装电器设备； </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（2）损坏的电器设备应安排电工及时修复； </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（3）电器设备金属外壳应有有效接地线； </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（4）移动电具要用三眼（四眼）插座，要用三芯（四芯）坚韧橡皮线或塑料护套线，室外移动性闸刀开关盒插座等要装在安全电箱内；</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（5）各种临时用线必须限时拆除，不能私自乱接； </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（6）注意使电器设备在额定容量范围内使用； </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（7）电器设备要有适当的防护装置或警告牌； </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（8）要遵守安全用电操作规程，特别是遵守保养和检修电器的工作制度，以及操作时使用必要的绝缘用具； </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（9）要经常进行安全活动，学习安全用电知识。</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9.5.2.4必须遵守井下作业要求： </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1）乙方在有限空间作业前要办理有限空间作业许可证，需要时要同时办理其他作业证，现场监护和作业人员（年龄不得大于55）须持有审批的有限空间作业许可证和其他作业许可证后方准许进入有限空间作业，下井作业前必须根据现场情况进行技术交底、应急预案（现场准备应急物资）等，作业人员了解情况签字。</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（2）乙方作业人员在没有探明作业现场是否安全的情况下，须综合分析当时情况，主管人员确认安全后方可作业。 </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（3）乙方作业人员在下井之前必须首先打开井盖，通风后，（放气时间约30-60分钟）经仪器检测达到规定安全范围，方可下井作业。 </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（4）乙方下井作业之前，首先检查安全防护设施是否齐全完好，包括安全帽、安全带、安全绳、潜水服、大小气囊及防毒面具，在确保安全的情况下，方可下井作业。 </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（5）乙方下井之前先检查所用照明设备（达防爆要求）是否安全、可靠，早确保安全情况下方可下井做到万无一失。 </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6）乙方井下作业人员在井下作业时，井上监护人员（不得参与施工作业）必须在现场并留2人或2人以上，井上所留人员不得擅自离开，下井作业必须按照规定时间进行轮换、休息、气体检测作业全规程监测，按照相关要求记录频次，发现异常立即停止施工并撤离。</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9.5.3污水管道巡查安全生产管理措施</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9.5.3.1为规范管道安全巡查人员的行为，以及巡查发现管道周围存在的不安全行为及事故隐患能及时有效的得到处理，按照巡线工作 “早发现、早沟通、早预防”的原则，确保污水管道安全运行。</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9.5.3.2巡查工作分日常巡查、年度巡查和特别巡查</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（1）日常巡查是指正常运行时，污水管道及其配套工程设施的正常巡查。必要时建设单位可组织技术人员，进行比较全面的检查。</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（2）年度巡查是每年对污水管道各种设施进行一次全面的、详细的专项检查，提出</w:t>
      </w:r>
      <w:r>
        <w:rPr>
          <w:rFonts w:hint="eastAsia" w:ascii="宋体" w:hAnsi="宋体"/>
          <w:color w:val="auto"/>
          <w:sz w:val="24"/>
          <w:highlight w:val="none"/>
          <w:lang w:val="en-US" w:eastAsia="zh-CN"/>
        </w:rPr>
        <w:t xml:space="preserve">服务</w:t>
      </w:r>
      <w:r>
        <w:rPr>
          <w:rFonts w:hint="eastAsia" w:ascii="宋体" w:hAnsi="宋体"/>
          <w:color w:val="auto"/>
          <w:sz w:val="24"/>
          <w:highlight w:val="none"/>
        </w:rPr>
        <w:t xml:space="preserve">安全年度详查报告。</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（3）特别巡查是指当雨、污水管道遇到严重影响安全运行的情况（如发生大暴雨、大洪水、强热带风暴、有感地震、水位突变等）、发生较严重的破坏现象或出现其他危险迹象时的巡查。</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9.6其他</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9.6.1 人员配备应满足本招标文件要求及实际管护工作的需要，并须根据甲方要求随时增加或更换管护人员，所有管护人员必须按照现行相关文件规定持证上岗，否则由此引起的一切责任自负。</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9.6.2 施工现场情况、交通运输情况、自然地理条件、环境保护要求等由乙方自行考虑。</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9.6.3 </w:t>
      </w:r>
      <w:r>
        <w:rPr>
          <w:rFonts w:hint="eastAsia" w:ascii="宋体" w:hAnsi="宋体"/>
          <w:color w:val="auto"/>
          <w:sz w:val="24"/>
          <w:highlight w:val="none"/>
          <w:lang w:val="en-US" w:eastAsia="zh-CN"/>
        </w:rPr>
        <w:t xml:space="preserve">管护服务</w:t>
      </w:r>
      <w:r>
        <w:rPr>
          <w:rFonts w:hint="eastAsia" w:ascii="宋体" w:hAnsi="宋体"/>
          <w:color w:val="auto"/>
          <w:sz w:val="24"/>
          <w:highlight w:val="none"/>
        </w:rPr>
        <w:t xml:space="preserve">所发生的垃圾清理及外运费用，乙方应综合考虑到相应的各综合单价及合价中，结算时不再增加相关费用。</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9.6.4 施工用水、电由乙方自行考虑。</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9.6.5 所有污泥处置、运输及弃运地点等均由乙方按照现行相关规定自行处理，由乙方自行找场地安置，污泥处置必须符合相关部门的要求，所涉及的一切费用以及责任由乙方自行承担；如因此引进的一切经济责任和法律责任等均由乙方自行承担。</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9.6.6到达现场时间:乙方在接到养护任务后要在2小时内到达现场。</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9.6.7 乙方维护质量必须符合《给水排水管道工程施工及验收规范》GB50268-2008和《城镇排水管渠与泵站运行、维护及安全技术规程》（CJJ68-2016）的要求。对于养护质量不符合要求的，甲方先通知整改，乙方在规定时间内不整改的或整改不符合要求的，甲方不予验收，不计入工程量，由甲方另派其他队伍整改，费用加倍在乙方维护费中扣除。</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9.6.8 日常养护管理作业资料齐全，做到有记录，有统计，并且资料与实际养护情况相符。每月考核前报养护档案台账，每半年对日常管理进行评估，并报半年总结报告年终对全年资料进行汇总装订。</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9.7正常巡查时间为早8：00-晚18：00（特殊情况除，甲方另行通知），若巡查中乙方未发现问题，而由甲方发现问题，有一处罚1000元。巡查过程中，乙方必须下车拍照，禁止在交通工具上拍摄，乙方拍的照片，由乙方统计整理好后一并发给甲方。乙方需要每日巡查泵站并拍摄照片，泵站内部水印照片反映泵站内部运行情况。需要时，乙方巡查必须配合甲方。</w:t>
      </w:r>
      <w:r>
        <w:rPr>
          <w:color w:val="auto"/>
        </w:rPr>
      </w:r>
      <w:r/>
    </w:p>
    <w:p>
      <w:pPr>
        <w:ind w:firstLine="482"/>
        <w:spacing w:line="500" w:lineRule="exact"/>
        <w:rPr>
          <w:rFonts w:ascii="宋体" w:hAnsi="宋体" w:eastAsia="宋体" w:cs="宋体"/>
          <w:b/>
          <w:bCs/>
          <w:color w:val="auto"/>
          <w:szCs w:val="21"/>
          <w:highlight w:val="none"/>
          <w:u w:val="single"/>
        </w:rPr>
      </w:pPr>
      <w:r>
        <w:rPr>
          <w:rFonts w:hint="eastAsia" w:ascii="宋体" w:hAnsi="宋体"/>
          <w:color w:val="auto"/>
          <w:sz w:val="24"/>
          <w:highlight w:val="none"/>
        </w:rPr>
        <w:t xml:space="preserve">9.8市政污水管网清淤、疏浚养护时，对连接排水户与市政主管道之间的污水管道开展溯源排查，完成重点排水户接管排查统计表。</w:t>
      </w:r>
      <w:r>
        <w:rPr>
          <w:color w:val="auto"/>
        </w:rPr>
      </w:r>
      <w:r/>
    </w:p>
    <w:p>
      <w:pPr>
        <w:ind w:firstLine="482"/>
        <w:jc w:val="center"/>
        <w:spacing w:line="500" w:lineRule="exact"/>
        <w:rPr>
          <w:rFonts w:ascii="宋体" w:hAnsi="宋体"/>
          <w:b/>
          <w:bCs/>
          <w:color w:val="auto"/>
          <w:sz w:val="24"/>
          <w:highlight w:val="none"/>
        </w:rPr>
      </w:pPr>
      <w:r>
        <w:rPr>
          <w:rFonts w:hint="eastAsia" w:ascii="宋体" w:hAnsi="宋体"/>
          <w:b/>
          <w:bCs/>
          <w:color w:val="auto"/>
          <w:sz w:val="24"/>
          <w:highlight w:val="none"/>
        </w:rPr>
        <w:t xml:space="preserve">重点排水户接管排查统计表</w:t>
      </w:r>
      <w:r>
        <w:rPr>
          <w:color w:val="auto"/>
        </w:rPr>
      </w:r>
      <w:r/>
    </w:p>
    <w:tbl>
      <w:tblPr>
        <w:tblStyle w:val="8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2"/>
        <w:gridCol w:w="1159"/>
        <w:gridCol w:w="1485"/>
        <w:gridCol w:w="1407"/>
        <w:gridCol w:w="1669"/>
        <w:gridCol w:w="1670"/>
      </w:tblGrid>
      <w:tr>
        <w:trPr/>
        <w:tc>
          <w:tcPr>
            <w:tcW w:w="1187" w:type="dxa"/>
            <w:vAlign w:val="center"/>
            <w:textDirection w:val="lrTb"/>
            <w:noWrap w:val="false"/>
          </w:tcPr>
          <w:p>
            <w:pPr>
              <w:rPr>
                <w:color w:val="auto"/>
                <w:highlight w:val="none"/>
              </w:rPr>
            </w:pPr>
            <w:r>
              <w:rPr>
                <w:rFonts w:hint="eastAsia"/>
                <w:color w:val="auto"/>
                <w:highlight w:val="none"/>
              </w:rPr>
              <w:t xml:space="preserve">序号</w:t>
            </w:r>
            <w:r>
              <w:rPr>
                <w:color w:val="auto"/>
              </w:rPr>
            </w:r>
            <w:r/>
          </w:p>
        </w:tc>
        <w:tc>
          <w:tcPr>
            <w:tcW w:w="1216" w:type="dxa"/>
            <w:vAlign w:val="center"/>
            <w:textDirection w:val="lrTb"/>
            <w:noWrap w:val="false"/>
          </w:tcPr>
          <w:p>
            <w:pPr>
              <w:rPr>
                <w:color w:val="auto"/>
                <w:highlight w:val="none"/>
              </w:rPr>
            </w:pPr>
            <w:r>
              <w:rPr>
                <w:rFonts w:hint="eastAsia"/>
                <w:color w:val="auto"/>
                <w:highlight w:val="none"/>
              </w:rPr>
              <w:t xml:space="preserve">乡镇名称</w:t>
            </w:r>
            <w:r>
              <w:rPr>
                <w:color w:val="auto"/>
              </w:rPr>
            </w:r>
            <w:r/>
          </w:p>
        </w:tc>
        <w:tc>
          <w:tcPr>
            <w:tcW w:w="1567" w:type="dxa"/>
            <w:vAlign w:val="center"/>
            <w:textDirection w:val="lrTb"/>
            <w:noWrap w:val="false"/>
          </w:tcPr>
          <w:p>
            <w:pPr>
              <w:jc w:val="center"/>
              <w:rPr>
                <w:color w:val="auto"/>
                <w:highlight w:val="none"/>
              </w:rPr>
            </w:pPr>
            <w:r>
              <w:rPr>
                <w:rFonts w:hint="eastAsia"/>
                <w:color w:val="auto"/>
                <w:highlight w:val="none"/>
              </w:rPr>
              <w:t xml:space="preserve">重点排水户单位名称</w:t>
            </w:r>
            <w:r>
              <w:rPr>
                <w:color w:val="auto"/>
              </w:rPr>
            </w:r>
            <w:r/>
          </w:p>
        </w:tc>
        <w:tc>
          <w:tcPr>
            <w:tcW w:w="1467" w:type="dxa"/>
            <w:vAlign w:val="center"/>
            <w:textDirection w:val="lrTb"/>
            <w:noWrap w:val="false"/>
          </w:tcPr>
          <w:p>
            <w:pPr>
              <w:jc w:val="center"/>
              <w:rPr>
                <w:color w:val="auto"/>
                <w:highlight w:val="none"/>
              </w:rPr>
            </w:pPr>
            <w:r>
              <w:rPr>
                <w:rFonts w:hint="eastAsia"/>
                <w:color w:val="auto"/>
                <w:highlight w:val="none"/>
              </w:rPr>
              <w:t xml:space="preserve">预估污水量（吨/日）</w:t>
            </w:r>
            <w:r>
              <w:rPr>
                <w:color w:val="auto"/>
              </w:rPr>
            </w:r>
            <w:r/>
          </w:p>
        </w:tc>
        <w:tc>
          <w:tcPr>
            <w:tcW w:w="1766" w:type="dxa"/>
            <w:vAlign w:val="center"/>
            <w:textDirection w:val="lrTb"/>
            <w:noWrap w:val="false"/>
          </w:tcPr>
          <w:p>
            <w:pPr>
              <w:jc w:val="center"/>
              <w:rPr>
                <w:color w:val="auto"/>
                <w:highlight w:val="none"/>
              </w:rPr>
            </w:pPr>
            <w:r>
              <w:rPr>
                <w:rFonts w:hint="eastAsia"/>
                <w:color w:val="auto"/>
                <w:highlight w:val="none"/>
              </w:rPr>
              <w:t xml:space="preserve">是否已接入市政管网</w:t>
            </w:r>
            <w:r>
              <w:rPr>
                <w:color w:val="auto"/>
              </w:rPr>
            </w:r>
            <w:r/>
          </w:p>
        </w:tc>
        <w:tc>
          <w:tcPr>
            <w:tcW w:w="1766" w:type="dxa"/>
            <w:vAlign w:val="center"/>
            <w:textDirection w:val="lrTb"/>
            <w:noWrap w:val="false"/>
          </w:tcPr>
          <w:p>
            <w:pPr>
              <w:jc w:val="center"/>
              <w:rPr>
                <w:color w:val="auto"/>
                <w:highlight w:val="none"/>
              </w:rPr>
            </w:pPr>
            <w:r>
              <w:rPr>
                <w:rFonts w:hint="eastAsia"/>
                <w:color w:val="auto"/>
                <w:highlight w:val="none"/>
              </w:rPr>
              <w:t xml:space="preserve">接入点/道路</w:t>
            </w:r>
            <w:r>
              <w:rPr>
                <w:color w:val="auto"/>
              </w:rPr>
            </w:r>
            <w:r/>
          </w:p>
        </w:tc>
      </w:tr>
      <w:tr>
        <w:trPr/>
        <w:tc>
          <w:tcPr>
            <w:tcW w:w="1187"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216"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567"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467"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766"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766"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r>
      <w:tr>
        <w:trPr/>
        <w:tc>
          <w:tcPr>
            <w:tcW w:w="1187"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216"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567"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467"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766"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766"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r>
      <w:tr>
        <w:trPr/>
        <w:tc>
          <w:tcPr>
            <w:tcW w:w="1187"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216"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567"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467"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766"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766"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r>
      <w:tr>
        <w:trPr/>
        <w:tc>
          <w:tcPr>
            <w:tcW w:w="1187"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216"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567"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467"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766"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c>
          <w:tcPr>
            <w:tcW w:w="1766" w:type="dxa"/>
            <w:textDirection w:val="lrTb"/>
            <w:noWrap w:val="false"/>
          </w:tcPr>
          <w:p>
            <w:pPr>
              <w:jc w:val="left"/>
              <w:spacing w:line="360" w:lineRule="auto"/>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rPr>
                <w:color w:val="auto"/>
              </w:rPr>
            </w:r>
            <w:r/>
          </w:p>
        </w:tc>
      </w:tr>
    </w:tbl>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备注：1 “ 小散乱”排水的定义</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是指城市建成区内，排水特征污染因子明显、排水点分布较广、排水类型较多、排水收集及管理不规范、 日常管理难度大等非居民排水的统称。</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2“重点排水户”和“一般排水户” 的定义</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各县（市、区）应按照住建部《城镇污水排入排水管网许可管理办法》（住 建部第 56 号令）的要求，当因地制宜，根据排水户排水行为影响城镇排水与污 水处理设施安全运行的程度，对排水户进行分级分类管理。本项目将排水户分为重点排水户和一般排水户。</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2.1“重点排水户” 的定义</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（1）列入重点排污单位名录的排水户。</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（2）排放生产废水的工业类排水户。</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（3）月用水量超过 500 吨的大、中型餐饮类排水户。</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（4）排放医疗污水的综合医院、专科医院、中医医院、妇儿医院、检验（化 验）中心、卫生防疫站、疗养保健院、疾病预防控制中心、医学美容整形医院等</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医疗类排水户。</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（5）大型商业综合体、商业中心通过共用接驳口集中排放生产经营污水的综合商业服务类排水户</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（6）排放化学、生物实验（试验、检测）废水的高校、科研机构及企事业单位。</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（7）生活垃圾（含餐厨废弃物）处理场、粪渣处置场、污泥处置场；涉及危险废物治理（含医疗废物）以及放射性废水处理等。</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（8）从事各类畜禽养殖经营性活动的畜禽养殖类排水户</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（9）各县（市、区）根据日常排水管理工作需要，认为严重影响城镇排水与污水处理设施安全运行的其他排水类型。</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2.2“一般排水户” 的定义</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除重点排水户以外的排水户为一般排水户。</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3.2 项目经理</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3.2.1 项目经理：</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姓    名：；</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身份证号：；</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建造师执业资格等级：；</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建造师注册证书号：；</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安全生产考核合格证书号：；</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联系电话：；</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电子信箱：；</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通信地址：；</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乙方对项目经理的授权范围如下：该工程施工过程中项目经理和投标时确认的项目部人员必须常驻现场实施施工管理，项目经理代表乙方全面负责施工合同的履行。</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关于项目经理每月在施工现场的时间要求：该</w:t>
      </w:r>
      <w:r>
        <w:rPr>
          <w:rFonts w:hint="eastAsia" w:ascii="宋体" w:hAnsi="宋体"/>
          <w:color w:val="auto"/>
          <w:sz w:val="24"/>
          <w:highlight w:val="none"/>
          <w:lang w:val="en-US" w:eastAsia="zh-CN"/>
        </w:rPr>
        <w:t xml:space="preserve">项目服务</w:t>
      </w:r>
      <w:r>
        <w:rPr>
          <w:rFonts w:hint="eastAsia" w:ascii="宋体" w:hAnsi="宋体"/>
          <w:color w:val="auto"/>
          <w:sz w:val="24"/>
          <w:highlight w:val="none"/>
        </w:rPr>
        <w:t xml:space="preserve">施工过程中项目经理和投标时确认的项目部人员必须常驻现场实施施工管理。中途如须离开，必须经甲方同意，且要求每月至少在现场22个工作日，否则甲方有权终止合同，并要求乙方支付违约金。</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项目经理未经批准，擅自离开施工现场的违约责任：中途项目经理需离岗必须履行书面请假手续并经甲方同意。若未经甲方同意而擅自离岗的，将处以每天2000的违约金，乙方必须在甲方处罚决定后3日内以现金形式交由甲方。若擅自离岗连续达7天以上的，经甲方提出仍未改正的，甲方有权终止合同，因此给甲方造成损失的，甲方将依法追偿。</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3.2.3 乙方擅自更换项目经理的违约责任：未经甲方同意，甲方可中止合同，造成损失的，甲方将依法追偿。</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3.2.4 乙方无正当理由拒绝更换项目经理的违约责任：经甲方提出后，乙方未整改的，甲方有权终止合同，造成损失的，甲方将依法追偿。</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3.3 乙方人员</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3.3.1 乙方提交项目管理机构及施工现场管理人员安排报告的期限：进场1日内 。</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施工现场主要管理人员：项目负责人 。</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3.3.3 乙方无正当理由拒绝撤换主要施工管理人员的违约责任：甲方有权终止合同，因此给甲方造成损失的，甲方将依法追偿。</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3.3.4 乙方主要施工管理人员离开施工现场的批准要求：需离岗必须履行书面请假手续并经甲方同意。</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3.3.5乙方擅自更换主要施工管理人员的违约责任：工程项目部管理人员组成必须严格按招标文件执行，并与乙方投标文件中明确的主要项目管理人员名单一致。若未经甲方同意，乙方擅自更换主要管理人员，甲方有权处以乙方2000元/人的处罚，并有权终止合同，因此给甲方造成损失的，甲方将依法追偿。</w:t>
      </w:r>
      <w:r>
        <w:rPr>
          <w:color w:val="auto"/>
        </w:rPr>
      </w:r>
      <w:r/>
    </w:p>
    <w:p>
      <w:pPr>
        <w:ind w:firstLine="482"/>
        <w:spacing w:line="500" w:lineRule="exact"/>
        <w:rPr>
          <w:rFonts w:ascii="宋体" w:hAnsi="宋体"/>
          <w:color w:val="auto"/>
          <w:sz w:val="24"/>
          <w:highlight w:val="none"/>
        </w:rPr>
      </w:pPr>
      <w:r>
        <w:rPr>
          <w:rFonts w:hint="eastAsia" w:ascii="宋体" w:hAnsi="宋体"/>
          <w:color w:val="auto"/>
          <w:sz w:val="24"/>
          <w:highlight w:val="none"/>
        </w:rPr>
        <w:t xml:space="preserve">3.3.6乙方所有施工人员擅自离开施工现场的违约责任：若未经甲方同意而擅自离岗的，将处以每人每天500元的违约金，在支付工程款时从应付的工程款中扣除。若擅自离岗连续达7天以上的，经甲方提出仍未改正的，甲方有权终止合同，因此给甲方造成损失的，甲方将依法追偿。</w:t>
      </w:r>
      <w:r>
        <w:rPr>
          <w:color w:val="auto"/>
        </w:rPr>
      </w:r>
      <w:r/>
    </w:p>
    <w:p>
      <w:pPr>
        <w:ind w:firstLine="482"/>
        <w:spacing w:line="500" w:lineRule="exact"/>
        <w:rPr>
          <w:color w:val="auto"/>
          <w:highlight w:val="none"/>
        </w:rPr>
      </w:pPr>
      <w:r>
        <w:rPr>
          <w:rFonts w:hint="eastAsia" w:ascii="宋体" w:hAnsi="宋体"/>
          <w:color w:val="auto"/>
          <w:sz w:val="24"/>
          <w:highlight w:val="none"/>
        </w:rPr>
        <w:t xml:space="preserve">注：工程项目部管理人员必须严格按招投标文件要求及时配备到位。所有人员有持证要求的必须持证上岗，在项目经理的统一领导下，尽心尽职地做好本职工作。如不能胜任工作的，甲方将有权建议更换，并且甲方有权处乙方不少于2000元的处罚，直到更换至能胜任现场管理工作为止。</w:t>
      </w:r>
      <w:r>
        <w:rPr>
          <w:color w:val="auto"/>
        </w:rPr>
      </w:r>
      <w:r/>
    </w:p>
    <w:p>
      <w:pPr>
        <w:ind w:firstLine="482"/>
        <w:spacing w:line="500" w:lineRule="exact"/>
        <w:rPr>
          <w:rFonts w:ascii="宋体" w:hAnsi="宋体"/>
          <w:b/>
          <w:bCs/>
          <w:color w:val="auto"/>
          <w:sz w:val="24"/>
          <w:highlight w:val="none"/>
        </w:rPr>
      </w:pPr>
      <w:r>
        <w:rPr>
          <w:rFonts w:hint="eastAsia" w:ascii="宋体" w:hAnsi="宋体"/>
          <w:b/>
          <w:bCs/>
          <w:color w:val="auto"/>
          <w:sz w:val="24"/>
          <w:highlight w:val="none"/>
        </w:rPr>
        <w:t xml:space="preserve">十、其它注意事项</w:t>
      </w:r>
      <w:r>
        <w:rPr>
          <w:color w:val="auto"/>
        </w:rPr>
      </w:r>
      <w:r/>
    </w:p>
    <w:p>
      <w:pPr>
        <w:pStyle w:val="902"/>
        <w:ind w:firstLine="480"/>
        <w:spacing w:line="500" w:lineRule="exact"/>
        <w:tabs>
          <w:tab w:val="left" w:pos="540" w:leader="none"/>
        </w:tabs>
        <w:rPr>
          <w:rFonts w:hAnsi="宋体"/>
          <w:color w:val="auto"/>
          <w:sz w:val="24"/>
          <w:highlight w:val="none"/>
        </w:rPr>
      </w:pPr>
      <w:r>
        <w:rPr>
          <w:rFonts w:hint="eastAsia" w:hAnsi="宋体"/>
          <w:color w:val="auto"/>
          <w:sz w:val="24"/>
          <w:highlight w:val="none"/>
        </w:rPr>
        <w:t xml:space="preserve">10.1甲方委派</w:t>
      </w:r>
      <w:r>
        <w:rPr>
          <w:rFonts w:hint="eastAsia" w:hAnsi="宋体"/>
          <w:color w:val="auto"/>
          <w:sz w:val="24"/>
          <w:highlight w:val="none"/>
          <w:u w:val="single"/>
          <w:lang w:val="en-US" w:eastAsia="zh-CN"/>
        </w:rPr>
        <w:t xml:space="preserve">     </w:t>
      </w:r>
      <w:r>
        <w:rPr>
          <w:rFonts w:hint="eastAsia" w:hAnsi="宋体"/>
          <w:color w:val="auto"/>
          <w:sz w:val="24"/>
          <w:highlight w:val="none"/>
        </w:rPr>
        <w:t xml:space="preserve">同志全权负责处理工程施工中的日常事务。</w:t>
      </w:r>
      <w:r>
        <w:rPr>
          <w:color w:val="auto"/>
        </w:rPr>
      </w:r>
      <w:r/>
    </w:p>
    <w:p>
      <w:pPr>
        <w:pStyle w:val="902"/>
        <w:ind w:firstLine="480"/>
        <w:spacing w:line="500" w:lineRule="exact"/>
        <w:tabs>
          <w:tab w:val="left" w:pos="540" w:leader="none"/>
        </w:tabs>
        <w:rPr>
          <w:rFonts w:hAnsi="宋体"/>
          <w:color w:val="auto"/>
          <w:sz w:val="24"/>
          <w:highlight w:val="none"/>
        </w:rPr>
      </w:pPr>
      <w:r>
        <w:rPr>
          <w:rFonts w:hint="eastAsia" w:hAnsi="宋体"/>
          <w:color w:val="auto"/>
          <w:sz w:val="24"/>
          <w:highlight w:val="none"/>
        </w:rPr>
        <w:t xml:space="preserve">10.2乙方委派</w:t>
      </w:r>
      <w:r>
        <w:rPr>
          <w:rFonts w:hint="eastAsia" w:hAnsi="宋体"/>
          <w:color w:val="auto"/>
          <w:sz w:val="24"/>
          <w:highlight w:val="none"/>
          <w:u w:val="single"/>
          <w:lang w:val="en-US" w:eastAsia="zh-CN"/>
        </w:rPr>
        <w:t xml:space="preserve">     </w:t>
      </w:r>
      <w:r>
        <w:rPr>
          <w:rFonts w:hint="eastAsia" w:hAnsi="宋体"/>
          <w:color w:val="auto"/>
          <w:sz w:val="24"/>
          <w:highlight w:val="none"/>
        </w:rPr>
        <w:t xml:space="preserve">同志作为本工程项目负责人（项目经理），全权负责处理工程施工中的一切事务。</w:t>
      </w:r>
      <w:r>
        <w:rPr>
          <w:color w:val="auto"/>
        </w:rPr>
      </w:r>
      <w:r/>
    </w:p>
    <w:p>
      <w:pPr>
        <w:pStyle w:val="902"/>
        <w:ind w:firstLine="480"/>
        <w:spacing w:line="500" w:lineRule="exact"/>
        <w:tabs>
          <w:tab w:val="left" w:pos="540" w:leader="none"/>
        </w:tabs>
        <w:rPr>
          <w:rFonts w:hAnsi="宋体"/>
          <w:color w:val="auto"/>
          <w:sz w:val="24"/>
          <w:highlight w:val="none"/>
        </w:rPr>
      </w:pPr>
      <w:r>
        <w:rPr>
          <w:rFonts w:hint="eastAsia" w:hAnsi="宋体"/>
          <w:color w:val="auto"/>
          <w:sz w:val="24"/>
          <w:highlight w:val="none"/>
        </w:rPr>
        <w:t xml:space="preserve">10.3乙方负责解决本工程管护过程中发生的地方矛盾，并承担相关费用；</w:t>
      </w:r>
      <w:r>
        <w:rPr>
          <w:color w:val="auto"/>
        </w:rPr>
      </w:r>
      <w:r/>
    </w:p>
    <w:p>
      <w:pPr>
        <w:pStyle w:val="902"/>
        <w:ind w:firstLine="480"/>
        <w:spacing w:line="500" w:lineRule="exact"/>
        <w:tabs>
          <w:tab w:val="left" w:pos="540" w:leader="none"/>
        </w:tabs>
        <w:rPr>
          <w:rFonts w:hAnsi="宋体"/>
          <w:color w:val="auto"/>
          <w:sz w:val="24"/>
          <w:highlight w:val="none"/>
        </w:rPr>
      </w:pPr>
      <w:r>
        <w:rPr>
          <w:rFonts w:hint="eastAsia" w:hAnsi="宋体"/>
          <w:color w:val="auto"/>
          <w:sz w:val="24"/>
          <w:highlight w:val="none"/>
        </w:rPr>
        <w:t xml:space="preserve">10.4管护用水、电由乙方自行协调，协调费用及水、电费均由乙方承担。</w:t>
      </w:r>
      <w:r>
        <w:rPr>
          <w:color w:val="auto"/>
        </w:rPr>
      </w:r>
      <w:r/>
    </w:p>
    <w:p>
      <w:pPr>
        <w:pStyle w:val="902"/>
        <w:ind w:firstLine="480"/>
        <w:spacing w:line="500" w:lineRule="exact"/>
        <w:tabs>
          <w:tab w:val="left" w:pos="540" w:leader="none"/>
        </w:tabs>
        <w:rPr>
          <w:rFonts w:hAnsi="宋体"/>
          <w:color w:val="auto"/>
          <w:sz w:val="24"/>
          <w:highlight w:val="none"/>
        </w:rPr>
      </w:pPr>
      <w:r>
        <w:rPr>
          <w:rFonts w:hint="eastAsia" w:hAnsi="宋体"/>
          <w:color w:val="auto"/>
          <w:sz w:val="24"/>
          <w:highlight w:val="none"/>
        </w:rPr>
        <w:t xml:space="preserve">10.5本合同约定的违约金甲方可在支付合同款时直接扣收。</w:t>
      </w:r>
      <w:r>
        <w:rPr>
          <w:color w:val="auto"/>
        </w:rPr>
      </w:r>
      <w:r/>
    </w:p>
    <w:p>
      <w:pPr>
        <w:pStyle w:val="902"/>
        <w:ind w:firstLine="480"/>
        <w:spacing w:line="500" w:lineRule="exact"/>
        <w:tabs>
          <w:tab w:val="left" w:pos="540" w:leader="none"/>
        </w:tabs>
        <w:rPr>
          <w:rFonts w:hAnsi="宋体"/>
          <w:color w:val="auto"/>
          <w:sz w:val="24"/>
          <w:highlight w:val="none"/>
        </w:rPr>
      </w:pPr>
      <w:r>
        <w:rPr>
          <w:rFonts w:hint="eastAsia" w:hAnsi="宋体"/>
          <w:color w:val="auto"/>
          <w:sz w:val="24"/>
          <w:highlight w:val="none"/>
        </w:rPr>
        <w:t xml:space="preserve">10.6乙方除应做好职工的安全生产教育外，还应为现场服务相关人员提供必要的劳动保护条件，为服务人员办理作业时的人身安全保险和意外伤害险，一切安全责任事故均由乙方负责（保险种类由乙方自行选择）。</w:t>
      </w:r>
      <w:r>
        <w:rPr>
          <w:color w:val="auto"/>
        </w:rPr>
      </w:r>
      <w:r/>
    </w:p>
    <w:p>
      <w:pPr>
        <w:ind w:firstLine="482"/>
        <w:spacing w:line="500" w:lineRule="exact"/>
        <w:rPr>
          <w:rFonts w:ascii="宋体" w:hAnsi="宋体"/>
          <w:b/>
          <w:bCs/>
          <w:color w:val="auto"/>
          <w:sz w:val="24"/>
          <w:highlight w:val="none"/>
        </w:rPr>
      </w:pPr>
      <w:r>
        <w:rPr>
          <w:rFonts w:hint="eastAsia" w:ascii="宋体" w:hAnsi="宋体"/>
          <w:b/>
          <w:bCs/>
          <w:color w:val="auto"/>
          <w:sz w:val="24"/>
          <w:highlight w:val="none"/>
        </w:rPr>
        <w:t xml:space="preserve">十一、违约责任</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11.1合同生效后，乙方不能履行服务，或不能按采购要求履行服务的，甲方有权要求乙方停止服务，乙方应向甲方偿付合同总价款5%作为违约金，违约金不足以补偿甲方损失的，甲方有权要求乙方补足。</w:t>
      </w:r>
      <w:r>
        <w:rPr>
          <w:color w:val="auto"/>
        </w:rPr>
      </w:r>
      <w:r/>
    </w:p>
    <w:p>
      <w:pPr>
        <w:ind w:firstLine="480"/>
        <w:spacing w:line="500" w:lineRule="exact"/>
        <w:rPr>
          <w:rFonts w:ascii="宋体" w:hAnsi="宋体" w:eastAsia="宋体" w:cs="Times New Roman"/>
          <w:color w:val="auto"/>
          <w:sz w:val="24"/>
          <w:highlight w:val="none"/>
        </w:rPr>
      </w:pPr>
      <w:r>
        <w:rPr>
          <w:rFonts w:hint="eastAsia" w:ascii="宋体" w:hAnsi="宋体"/>
          <w:color w:val="auto"/>
          <w:sz w:val="24"/>
          <w:highlight w:val="none"/>
        </w:rPr>
        <w:t xml:space="preserve">11.</w:t>
      </w:r>
      <w:r>
        <w:rPr>
          <w:rFonts w:hint="eastAsia" w:ascii="宋体" w:hAnsi="宋体" w:eastAsia="宋体" w:cs="Times New Roman"/>
          <w:color w:val="auto"/>
          <w:sz w:val="24"/>
          <w:highlight w:val="none"/>
        </w:rPr>
        <w:t xml:space="preserve">2乙方逾期提供服务的，按每拖延一天向甲方支付合同价千分之二的违约金，由甲方从待付合同款项中扣除。违约金最高不超过逾期付款总额的百分之</w:t>
      </w:r>
      <w:r>
        <w:rPr>
          <w:rFonts w:hint="eastAsia" w:ascii="宋体" w:hAnsi="宋体" w:cs="Times New Roman"/>
          <w:color w:val="auto"/>
          <w:sz w:val="24"/>
          <w:highlight w:val="none"/>
        </w:rPr>
        <w:t xml:space="preserve">十</w:t>
      </w:r>
      <w:r>
        <w:rPr>
          <w:rFonts w:hint="eastAsia" w:ascii="宋体" w:hAnsi="宋体" w:eastAsia="宋体" w:cs="Times New Roman"/>
          <w:color w:val="auto"/>
          <w:sz w:val="24"/>
          <w:highlight w:val="none"/>
        </w:rPr>
        <w:t xml:space="preserve">。逾期超过约定日期10个工作日不能提供服务的，甲方可解除本合同。乙方因逾期提供服务导致甲方解除合同的，乙方除了按上述要求向甲方支付违约金外，如给甲方造成的损失超过违约金的，超出部分由乙方继续承担赔偿责任。 </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11.3乙方所提供服务的标准不符合合同规定及招标文件规定标准的，甲方有权拒绝接受服务，并可单方面解除合同。</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11.4 如果乙方未疏通清淤、未检测、出具虚假报告的，一经发现乙方向甲方承担不少于10万元违约金，同时该部分工作量不予结算并按相应工作量价款2倍在结算时予以扣除。</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11.5因乙方违约给甲方造成的全部损失由乙方承担，包括但不限于甲方支出的赔偿费用、其他经济损失、甲方为实现合法权益而支出的调查费、鉴定费、诉讼费用及律师费等。</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11.6本合同约定的违约金或其他应付费用，甲方有权在合同费中扣除，也有权要求乙方另外支付。</w:t>
      </w:r>
      <w:r>
        <w:rPr>
          <w:color w:val="auto"/>
        </w:rPr>
      </w:r>
      <w:r/>
    </w:p>
    <w:p>
      <w:pPr>
        <w:ind w:firstLine="482"/>
        <w:spacing w:line="500" w:lineRule="exact"/>
        <w:rPr>
          <w:rFonts w:ascii="宋体" w:hAnsi="宋体"/>
          <w:b/>
          <w:bCs/>
          <w:color w:val="auto"/>
          <w:sz w:val="24"/>
          <w:highlight w:val="none"/>
        </w:rPr>
      </w:pPr>
      <w:r>
        <w:rPr>
          <w:rFonts w:hint="eastAsia" w:ascii="宋体" w:hAnsi="宋体"/>
          <w:b/>
          <w:bCs/>
          <w:color w:val="auto"/>
          <w:sz w:val="24"/>
          <w:highlight w:val="none"/>
        </w:rPr>
        <w:t xml:space="preserve">十二、服务费用</w:t>
      </w:r>
      <w:r>
        <w:rPr>
          <w:color w:val="auto"/>
        </w:rPr>
      </w:r>
      <w:r/>
    </w:p>
    <w:p>
      <w:pPr>
        <w:ind w:firstLine="480"/>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12.1合同款项的支付方式及进度安排</w:t>
      </w:r>
      <w:r>
        <w:rPr>
          <w:color w:val="auto"/>
        </w:rPr>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12.1.1管护每满半年支付一次管护费用。管护每满半年（最后一个付款周期除外），乙方开具相应的符合要求发票后，甲方支付上一期管护费用，每周期内的管护费用按签约合同价的40%*考核得分进行支付。</w:t>
      </w:r>
      <w:r>
        <w:rPr>
          <w:color w:val="auto"/>
        </w:rPr>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12.1.2最后一期付款：管护期满经验收合格，向甲方提供测绘图等所有资料，与下一轮管护</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中标单位办理好交接手续，本</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相关竣工结算完成且所有手续齐全支付至最终结算审定价的100%（扣除考核扣减费等一切所有应扣款项）。</w:t>
      </w:r>
      <w:r>
        <w:rPr>
          <w:color w:val="auto"/>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每个月进行考核打分，考核分与结算支付管护费用挂钩。每半年的考核分的平均值作为当期考核得分，每个付款周期内的当期付款=考核得分（每半年考核分数的平均值）*签约合同价的40%。若付款周期内的平均考核得分低于90分，则扣除当期应付管护经费的20%进行支付；若付款周期内的平均考核得分低于80分，则该周期管护经费不予支付。</w:t>
      </w:r>
      <w:r>
        <w:rPr>
          <w:color w:val="auto"/>
        </w:rPr>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12.2</w:t>
      </w:r>
      <w:r>
        <w:rPr>
          <w:rFonts w:hint="eastAsia" w:ascii="宋体" w:hAnsi="宋体" w:cs="宋体"/>
          <w:b/>
          <w:bCs/>
          <w:color w:val="auto"/>
          <w:sz w:val="24"/>
          <w:highlight w:val="none"/>
          <w:lang w:val="en-US" w:eastAsia="zh-CN"/>
        </w:rPr>
        <w:t xml:space="preserve">项目</w:t>
      </w:r>
      <w:r>
        <w:rPr>
          <w:rFonts w:hint="eastAsia" w:ascii="宋体" w:hAnsi="宋体" w:cs="宋体"/>
          <w:b/>
          <w:bCs/>
          <w:color w:val="auto"/>
          <w:sz w:val="24"/>
          <w:highlight w:val="none"/>
        </w:rPr>
        <w:t xml:space="preserve">结算：</w:t>
      </w:r>
      <w:r>
        <w:rPr>
          <w:color w:val="auto"/>
        </w:rPr>
      </w:r>
      <w:r/>
    </w:p>
    <w:p>
      <w:pPr>
        <w:ind w:firstLine="482"/>
        <w:spacing w:line="360" w:lineRule="auto"/>
        <w:rPr>
          <w:rFonts w:ascii="宋体" w:hAnsi="宋体" w:cs="宋体"/>
          <w:b/>
          <w:bCs w:val="0"/>
          <w:color w:val="auto"/>
          <w:sz w:val="24"/>
          <w:highlight w:val="none"/>
        </w:rPr>
      </w:pPr>
      <w:r>
        <w:rPr>
          <w:rFonts w:hint="eastAsia" w:ascii="宋体" w:hAnsi="宋体" w:cs="宋体"/>
          <w:b/>
          <w:bCs w:val="0"/>
          <w:color w:val="auto"/>
          <w:sz w:val="24"/>
          <w:highlight w:val="none"/>
        </w:rPr>
        <w:t xml:space="preserve">12.2.1本</w:t>
      </w:r>
      <w:r>
        <w:rPr>
          <w:rFonts w:hint="eastAsia" w:ascii="宋体" w:hAnsi="宋体" w:cs="宋体"/>
          <w:b/>
          <w:bCs w:val="0"/>
          <w:color w:val="auto"/>
          <w:sz w:val="24"/>
          <w:highlight w:val="none"/>
          <w:lang w:val="en-US" w:eastAsia="zh-CN"/>
        </w:rPr>
        <w:t xml:space="preserve">项目</w:t>
      </w:r>
      <w:r>
        <w:rPr>
          <w:rFonts w:hint="eastAsia" w:ascii="宋体" w:hAnsi="宋体" w:cs="宋体"/>
          <w:b/>
          <w:bCs w:val="0"/>
          <w:color w:val="auto"/>
          <w:sz w:val="24"/>
          <w:highlight w:val="none"/>
        </w:rPr>
        <w:t xml:space="preserve">采用单价合同，合同实施过程中单价不作调整。</w:t>
      </w:r>
      <w:r>
        <w:rPr>
          <w:color w:val="auto"/>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12.2.2</w:t>
      </w:r>
      <w:r>
        <w:rPr>
          <w:rFonts w:hint="eastAsia" w:ascii="宋体" w:hAnsi="宋体" w:cs="宋体"/>
          <w:bCs/>
          <w:color w:val="auto"/>
          <w:sz w:val="24"/>
          <w:highlight w:val="none"/>
          <w:lang w:val="en-US" w:eastAsia="zh-CN"/>
        </w:rPr>
        <w:t xml:space="preserve">项目的工程</w:t>
      </w:r>
      <w:r>
        <w:rPr>
          <w:rFonts w:hint="eastAsia" w:ascii="宋体" w:hAnsi="宋体" w:cs="宋体"/>
          <w:bCs/>
          <w:color w:val="auto"/>
          <w:sz w:val="24"/>
          <w:highlight w:val="none"/>
        </w:rPr>
        <w:t xml:space="preserve">结算方式为:工程竣工结算价=分部分项工程费用+措施项目费用+其他项目费用+规费+税金。若无相关设计变更，除本招标文件及施工合同约定允许调整外中标的综合单价不予调整，工程量按</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确认的工程量进行结算。最终以审计部门审查确认后的工程竣工结算价为准。</w:t>
      </w:r>
      <w:r>
        <w:rPr>
          <w:color w:val="auto"/>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12.2.3总价措施费按中标费率计取，现场安全文明施工措施费仅计取基本费率中的投入费率，结算时不予调整。</w:t>
      </w:r>
      <w:r>
        <w:rPr>
          <w:color w:val="auto"/>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12.2.4施工期间材料价格风险由</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承担，</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不再调整本工程所用的设备材料价差。</w:t>
      </w:r>
      <w:r>
        <w:rPr>
          <w:color w:val="auto"/>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12.2.5施工期间，政策性调整(包括人工工资)一律不予执行。</w:t>
      </w:r>
      <w:r>
        <w:rPr>
          <w:color w:val="auto"/>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12.2.6</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结算报审时，如核减率在5%以内，则由</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支付审核费用；如核减率在5%-10%，则其超出5%部分的审核费由</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支付;如核减率超出10%，则本</w:t>
      </w:r>
      <w:r>
        <w:rPr>
          <w:rFonts w:hint="eastAsia" w:ascii="宋体" w:hAnsi="宋体" w:cs="宋体"/>
          <w:bCs/>
          <w:color w:val="auto"/>
          <w:sz w:val="24"/>
          <w:highlight w:val="none"/>
          <w:lang w:val="en-US" w:eastAsia="zh-CN"/>
        </w:rPr>
        <w:t xml:space="preserve">项目相关工程</w:t>
      </w:r>
      <w:r>
        <w:rPr>
          <w:rFonts w:hint="eastAsia" w:ascii="宋体" w:hAnsi="宋体" w:cs="宋体"/>
          <w:bCs/>
          <w:color w:val="auto"/>
          <w:sz w:val="24"/>
          <w:highlight w:val="none"/>
        </w:rPr>
        <w:t xml:space="preserve">的审核费全部由</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支付。</w:t>
      </w:r>
      <w:r>
        <w:rPr>
          <w:color w:val="auto"/>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12.2.7关于工程变更的约定：</w:t>
      </w:r>
      <w:r>
        <w:rPr>
          <w:color w:val="auto"/>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必须无条件服从</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对工程的设计变更，不得以因</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设计变更减少了工程利润为由要挟</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追加其它费用。设计变更按</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书面签证确认为准。</w:t>
      </w:r>
      <w:r>
        <w:rPr>
          <w:color w:val="auto"/>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合同中已有适用的综合单价，按合同中已有的综合单价确定；合同中有类似的综合单价，参照类似的综合单价确定；合同中没有适用或类似的综合单价，其相应综合单价由</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依据招标文件约定的计价方式及标准提出，并根据中标的下浮率（</w:t>
      </w:r>
      <w:r>
        <w:rPr>
          <w:rFonts w:hint="eastAsia" w:ascii="宋体" w:hAnsi="宋体" w:cs="宋体"/>
          <w:b/>
          <w:color w:val="auto"/>
          <w:sz w:val="24"/>
          <w:highlight w:val="none"/>
        </w:rPr>
        <w:t xml:space="preserve">     </w:t>
      </w:r>
      <w:r>
        <w:rPr>
          <w:rFonts w:hint="eastAsia" w:ascii="宋体" w:hAnsi="宋体" w:cs="宋体"/>
          <w:bCs/>
          <w:color w:val="auto"/>
          <w:sz w:val="24"/>
          <w:highlight w:val="none"/>
        </w:rPr>
        <w:t xml:space="preserve">）下浮后，经</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确认后作为结算依据。</w:t>
      </w:r>
      <w:r>
        <w:rPr>
          <w:color w:val="auto"/>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中标下浮率计算公式如下：                 </w:t>
      </w:r>
      <w:r>
        <w:rPr>
          <w:color w:val="auto"/>
        </w:rPr>
      </w:r>
      <w:r/>
    </w:p>
    <w:p>
      <w:pPr>
        <w:ind w:firstLine="31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预算价 -  中标价</w:t>
      </w:r>
      <w:r>
        <w:rPr>
          <w:color w:val="auto"/>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下浮率=---------------------------------------------×100%</w:t>
      </w:r>
      <w:r>
        <w:rPr>
          <w:color w:val="auto"/>
        </w:rPr>
      </w:r>
      <w:r/>
    </w:p>
    <w:p>
      <w:pPr>
        <w:ind w:firstLine="384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预算价</w:t>
      </w:r>
      <w:r>
        <w:rPr>
          <w:color w:val="auto"/>
        </w:rPr>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注：以上均扣除预算价、中标价其它项目费中暂列金额与暂估价材料及其上述两项规费和税金。</w:t>
      </w:r>
      <w:r>
        <w:rPr>
          <w:color w:val="auto"/>
        </w:rPr>
      </w:r>
      <w:r/>
    </w:p>
    <w:p>
      <w:pPr>
        <w:ind w:firstLine="480"/>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十三、双方权利义务</w:t>
      </w:r>
      <w:r>
        <w:rPr>
          <w:color w:val="auto"/>
        </w:rPr>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13.1甲方权利义务：</w:t>
      </w:r>
      <w:r>
        <w:rPr>
          <w:color w:val="auto"/>
        </w:rPr>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乙方须严格按照质量标准、验收规范等组织管护，接受甲方的检查。若发生验收不符合质量标准要求的，每发生一次接受</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3000元的质量违约金，相关费用直接从到期的管护</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款中扣除。另外乙方在执行上述要求的同时，并不免除在限期内（经甲方认可的时间）整改到位、继续履行其他合同条款的义务，由此发生的所有费用均由乙方承担，若未按照甲方要求及时整改到位的，甲方有权委托第三方代为实施，所发生的费用（第三方代为实施的综合单价按乙方综合单价的1.5倍结算，数量按实际发生结算，同时每发生一次，乙方承担违约金5000元）由乙方承担。拒绝执行上述条款的，甲方有权单方面终止管护合同，已发生的工作量按照60%结算。</w:t>
      </w:r>
      <w:r>
        <w:rPr>
          <w:color w:val="auto"/>
        </w:rPr>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13.2乙方权利义务：</w:t>
      </w:r>
      <w:r>
        <w:rPr>
          <w:color w:val="auto"/>
        </w:rPr>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13.2.1乙方应制定项目实施详细方案，报甲方批准同意后实施，乙方保障项目实施的整体安全事务并承担所有与项目实施关联的安全责任。乙方负责提供项目全套成果及档案资料。 </w:t>
      </w:r>
      <w:r>
        <w:rPr>
          <w:color w:val="auto"/>
        </w:rPr>
      </w:r>
      <w:r/>
    </w:p>
    <w:p>
      <w:pPr>
        <w:ind w:firstLine="480"/>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13.2.2乙方应办理</w:t>
      </w:r>
      <w:r>
        <w:rPr>
          <w:rFonts w:hint="eastAsia" w:ascii="宋体" w:hAnsi="宋体" w:cs="宋体"/>
          <w:b/>
          <w:bCs/>
          <w:color w:val="auto"/>
          <w:sz w:val="24"/>
          <w:highlight w:val="none"/>
        </w:rPr>
        <w:t xml:space="preserve">项目所有参与人员的相关</w:t>
      </w:r>
      <w:r>
        <w:rPr>
          <w:rFonts w:hint="eastAsia" w:ascii="宋体" w:hAnsi="宋体" w:cs="宋体"/>
          <w:b/>
          <w:bCs/>
          <w:color w:val="auto"/>
          <w:sz w:val="24"/>
          <w:highlight w:val="none"/>
        </w:rPr>
        <w:t xml:space="preserve">保险，以预防项目实施过程的人员及其他意外。 </w:t>
      </w:r>
      <w:r>
        <w:rPr>
          <w:color w:val="auto"/>
        </w:rPr>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13.2.3乙方承担由于自身或项目实施原因给甲方或第三方造成的一切损失。因不可抗力造成所管理财产的损坏、灭失及其他风险，乙方不承担责任，但应及时报告甲方。</w:t>
      </w:r>
      <w:r>
        <w:rPr>
          <w:color w:val="auto"/>
        </w:rPr>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13.2.4</w:t>
      </w:r>
      <w:r>
        <w:rPr>
          <w:rFonts w:hint="eastAsia" w:ascii="宋体" w:hAnsi="宋体" w:cs="宋体"/>
          <w:b/>
          <w:bCs/>
          <w:color w:val="auto"/>
          <w:sz w:val="24"/>
          <w:highlight w:val="none"/>
        </w:rPr>
        <w:t xml:space="preserve">本项目涉及有限空间作业，须提前</w:t>
      </w:r>
      <w:r>
        <w:rPr>
          <w:rFonts w:hint="eastAsia" w:ascii="宋体" w:hAnsi="宋体" w:cs="宋体"/>
          <w:b/>
          <w:bCs/>
          <w:color w:val="auto"/>
          <w:sz w:val="24"/>
          <w:highlight w:val="none"/>
        </w:rPr>
        <w:t xml:space="preserve">报备，按照规定审批；管护期间现在作业过程视频必须满足可在线、可视频、可回放。</w:t>
      </w:r>
      <w:r>
        <w:rPr>
          <w:color w:val="auto"/>
        </w:rPr>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13.2.5本项目涉及有限空间作业和专职安全工作，乙方必须委派有相应证书的人员实施，否则，甲方有权立即终止合同，乙方承担违约责任，并向甲方担合同总价2%的违约金，以及赔偿由此给甲方造成的一切损失。</w:t>
      </w:r>
      <w:r>
        <w:rPr>
          <w:color w:val="auto"/>
        </w:rPr>
      </w:r>
      <w:r/>
    </w:p>
    <w:p>
      <w:pPr>
        <w:ind w:firstLine="482"/>
        <w:spacing w:line="500" w:lineRule="exact"/>
        <w:rPr>
          <w:rFonts w:ascii="宋体" w:hAnsi="宋体"/>
          <w:color w:val="auto"/>
          <w:sz w:val="24"/>
          <w:highlight w:val="none"/>
        </w:rPr>
      </w:pPr>
      <w:r>
        <w:rPr>
          <w:rFonts w:hint="eastAsia" w:ascii="宋体" w:hAnsi="宋体"/>
          <w:b/>
          <w:color w:val="auto"/>
          <w:sz w:val="24"/>
          <w:highlight w:val="none"/>
        </w:rPr>
        <w:t xml:space="preserve">十四、</w:t>
      </w:r>
      <w:r>
        <w:rPr>
          <w:rFonts w:hint="eastAsia" w:ascii="宋体" w:hAnsi="宋体"/>
          <w:b/>
          <w:bCs/>
          <w:color w:val="auto"/>
          <w:sz w:val="24"/>
          <w:highlight w:val="none"/>
        </w:rPr>
        <w:t xml:space="preserve">索赔</w:t>
      </w:r>
      <w:r>
        <w:rPr>
          <w:color w:val="auto"/>
        </w:rPr>
      </w:r>
      <w:r/>
    </w:p>
    <w:p>
      <w:pPr>
        <w:spacing w:line="500" w:lineRule="exact"/>
        <w:rPr>
          <w:rFonts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 xml:space="preserve"> 14.1根据合同规定的质量保证期内，如果乙方对甲方提出的索赔负有责任，乙方应按照甲方同意的下列一种或多种方式解决索赔事宜：</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14.1.1根据服务的低劣程度以及甲方所遭受损失的数额，乙方必须按甲方所能接受的数额，降低服务的价格；</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14.2如果在甲方发出索赔通知后20 天内，乙方未能作出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14.3</w:t>
      </w:r>
      <w:r>
        <w:rPr>
          <w:rFonts w:hint="eastAsia" w:ascii="宋体" w:hAnsi="宋体"/>
          <w:color w:val="auto"/>
          <w:sz w:val="24"/>
          <w:highlight w:val="none"/>
          <w:lang w:val="en-US" w:eastAsia="zh-CN"/>
        </w:rPr>
        <w:t xml:space="preserve">若</w:t>
      </w:r>
      <w:r>
        <w:rPr>
          <w:rFonts w:hint="eastAsia" w:ascii="宋体" w:hAnsi="宋体"/>
          <w:color w:val="auto"/>
          <w:sz w:val="24"/>
          <w:highlight w:val="none"/>
        </w:rPr>
        <w:t xml:space="preserve">招标文件、合同文本、考核细则、附件等文件约定的违约处罚标准出现冲突或不一致时，适用从重原则，执行约束程度最高、处罚力度最大的条款。</w:t>
      </w:r>
      <w:r>
        <w:rPr>
          <w:color w:val="auto"/>
        </w:rPr>
      </w:r>
      <w:r/>
    </w:p>
    <w:p>
      <w:pPr>
        <w:ind w:firstLine="482"/>
        <w:spacing w:line="500" w:lineRule="exact"/>
        <w:rPr>
          <w:rFonts w:ascii="宋体" w:hAnsi="宋体"/>
          <w:b/>
          <w:bCs/>
          <w:color w:val="auto"/>
          <w:sz w:val="24"/>
          <w:highlight w:val="none"/>
        </w:rPr>
      </w:pPr>
      <w:r>
        <w:rPr>
          <w:rFonts w:hint="eastAsia" w:ascii="宋体" w:hAnsi="宋体"/>
          <w:b/>
          <w:bCs/>
          <w:color w:val="auto"/>
          <w:sz w:val="24"/>
          <w:highlight w:val="none"/>
        </w:rPr>
        <w:t xml:space="preserve">十五、转包和分包</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乙方不得转包和违法分包，否则，甲方有权解除合同，乙方承担一切损失。</w:t>
      </w:r>
      <w:r>
        <w:rPr>
          <w:color w:val="auto"/>
        </w:rPr>
      </w:r>
      <w:r/>
    </w:p>
    <w:p>
      <w:pPr>
        <w:ind w:firstLine="482"/>
        <w:spacing w:line="500" w:lineRule="exact"/>
        <w:rPr>
          <w:rFonts w:ascii="宋体" w:hAnsi="宋体"/>
          <w:b/>
          <w:bCs/>
          <w:color w:val="auto"/>
          <w:sz w:val="24"/>
          <w:highlight w:val="none"/>
        </w:rPr>
      </w:pPr>
      <w:r>
        <w:rPr>
          <w:rFonts w:hint="eastAsia" w:ascii="宋体" w:hAnsi="宋体"/>
          <w:b/>
          <w:bCs/>
          <w:color w:val="auto"/>
          <w:sz w:val="24"/>
          <w:highlight w:val="none"/>
        </w:rPr>
        <w:t xml:space="preserve">十六、安全、文明施工</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本</w:t>
      </w:r>
      <w:r>
        <w:rPr>
          <w:rFonts w:hint="eastAsia" w:ascii="宋体" w:hAnsi="宋体"/>
          <w:color w:val="auto"/>
          <w:sz w:val="24"/>
          <w:highlight w:val="none"/>
          <w:lang w:val="en-US" w:eastAsia="zh-CN"/>
        </w:rPr>
        <w:t xml:space="preserve">项目服务</w:t>
      </w:r>
      <w:r>
        <w:rPr>
          <w:rFonts w:hint="eastAsia" w:ascii="宋体" w:hAnsi="宋体"/>
          <w:color w:val="auto"/>
          <w:sz w:val="24"/>
          <w:highlight w:val="none"/>
        </w:rPr>
        <w:t xml:space="preserve">必须确保安全、文明施工，并自行承担</w:t>
      </w:r>
      <w:r>
        <w:rPr>
          <w:rFonts w:hint="eastAsia" w:ascii="宋体" w:hAnsi="宋体"/>
          <w:color w:val="auto"/>
          <w:sz w:val="24"/>
          <w:highlight w:val="none"/>
          <w:lang w:val="en-US" w:eastAsia="zh-CN"/>
        </w:rPr>
        <w:t xml:space="preserve">项目</w:t>
      </w:r>
      <w:r>
        <w:rPr>
          <w:rFonts w:hint="eastAsia" w:ascii="宋体" w:hAnsi="宋体"/>
          <w:color w:val="auto"/>
          <w:sz w:val="24"/>
          <w:highlight w:val="none"/>
        </w:rPr>
        <w:t xml:space="preserve">施工过程中的工程质量、任何状况下的安全责任，非甲方原因，发生的一切问题和责任与甲方无关，相关的一切费用或民事、刑事责任均由乙方自理；若乙方不能及时处理所发生的问题和责任，并且影响到甲方的</w:t>
      </w:r>
      <w:r>
        <w:rPr>
          <w:rFonts w:hint="eastAsia" w:ascii="宋体" w:hAnsi="宋体"/>
          <w:color w:val="auto"/>
          <w:sz w:val="24"/>
          <w:highlight w:val="none"/>
          <w:lang w:val="en-US" w:eastAsia="zh-CN"/>
        </w:rPr>
        <w:t xml:space="preserve">要求</w:t>
      </w:r>
      <w:r>
        <w:rPr>
          <w:rFonts w:hint="eastAsia" w:ascii="宋体" w:hAnsi="宋体"/>
          <w:color w:val="auto"/>
          <w:sz w:val="24"/>
          <w:highlight w:val="none"/>
        </w:rPr>
        <w:t xml:space="preserve">进度和相关工作，甲方有权从</w:t>
      </w:r>
      <w:r>
        <w:rPr>
          <w:rFonts w:hint="eastAsia" w:ascii="宋体" w:hAnsi="宋体"/>
          <w:color w:val="auto"/>
          <w:sz w:val="24"/>
          <w:highlight w:val="none"/>
          <w:lang w:val="en-US" w:eastAsia="zh-CN"/>
        </w:rPr>
        <w:t xml:space="preserve">合同</w:t>
      </w:r>
      <w:r>
        <w:rPr>
          <w:rFonts w:hint="eastAsia" w:ascii="宋体" w:hAnsi="宋体"/>
          <w:color w:val="auto"/>
          <w:sz w:val="24"/>
          <w:highlight w:val="none"/>
        </w:rPr>
        <w:t xml:space="preserve">款中提取费用处理相关事务，如</w:t>
      </w:r>
      <w:r>
        <w:rPr>
          <w:rFonts w:hint="eastAsia" w:ascii="宋体" w:hAnsi="宋体"/>
          <w:color w:val="auto"/>
          <w:sz w:val="24"/>
          <w:highlight w:val="none"/>
          <w:lang w:val="en-US" w:eastAsia="zh-CN"/>
        </w:rPr>
        <w:t xml:space="preserve">合同</w:t>
      </w:r>
      <w:r>
        <w:rPr>
          <w:rFonts w:hint="eastAsia" w:ascii="宋体" w:hAnsi="宋体"/>
          <w:color w:val="auto"/>
          <w:sz w:val="24"/>
          <w:highlight w:val="none"/>
        </w:rPr>
        <w:t xml:space="preserve">款不足以处理所发生的问题和责任，则甲方有权单方面终止合同，直至追偿</w:t>
      </w:r>
      <w:r>
        <w:rPr>
          <w:rFonts w:hint="eastAsia" w:ascii="宋体" w:hAnsi="宋体"/>
          <w:color w:val="auto"/>
          <w:sz w:val="24"/>
          <w:highlight w:val="none"/>
          <w:lang w:eastAsia="zh-CN"/>
        </w:rPr>
        <w:t xml:space="preserve">乙方</w:t>
      </w:r>
      <w:r>
        <w:rPr>
          <w:rFonts w:hint="eastAsia" w:ascii="宋体" w:hAnsi="宋体"/>
          <w:color w:val="auto"/>
          <w:sz w:val="24"/>
          <w:highlight w:val="none"/>
        </w:rPr>
        <w:t xml:space="preserve">所造成的一切损失。乙方须根据安全施工的法律、法规规定组织施工，实施安全、监督、管理。</w:t>
      </w:r>
      <w:r>
        <w:rPr>
          <w:color w:val="auto"/>
        </w:rPr>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十七、不可抗力</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17.1如果甲、乙双方因不可抗力而导致合同实施延误或不能履行合同义务，在不可抗力影响的范围内不应该被没收合同履约及维护保证金或已支付的款项，也不应该承担误期赔偿或延期付款赔偿或终止合同的责任。</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17.2本条所述的“不可抗力”系指那些双方不能预见、不能克服并无法避免的事件，但不包括任何一方的违约或疏忽。不可预见的事件包括，战争、严重火灾、洪水、台风、地震及其他双方同意的情况。</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17.3在不可抗力事件发生后，受损方应尽快以书面形式将不可抗力的情况和原因通知对方，除对方书面另行要求外，受损方方应尽实际可能继续履行合同义务，以及寻求采取合理的方案履行因受不可抗力影响的其他事项。如果不可抗力事件影响延续超过规定的项目竣工交付日期，双方应通过友好协商在合理的时间内就进一步实施合同达成协议。</w:t>
      </w:r>
      <w:r>
        <w:rPr>
          <w:color w:val="auto"/>
        </w:rPr>
      </w:r>
      <w:r/>
    </w:p>
    <w:p>
      <w:pPr>
        <w:ind w:firstLine="482"/>
        <w:spacing w:line="500" w:lineRule="exact"/>
        <w:rPr>
          <w:rFonts w:ascii="宋体" w:hAnsi="宋体"/>
          <w:b/>
          <w:bCs/>
          <w:color w:val="auto"/>
          <w:sz w:val="24"/>
          <w:highlight w:val="none"/>
        </w:rPr>
      </w:pPr>
      <w:r>
        <w:rPr>
          <w:rFonts w:hint="eastAsia" w:ascii="宋体" w:hAnsi="宋体"/>
          <w:b/>
          <w:bCs/>
          <w:color w:val="auto"/>
          <w:sz w:val="24"/>
          <w:highlight w:val="none"/>
        </w:rPr>
        <w:t xml:space="preserve">十八、诉讼</w:t>
      </w:r>
      <w:r>
        <w:rPr>
          <w:color w:val="auto"/>
        </w:rPr>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双方在执行合同中所发生的一切争议，应通过协商解决。如协商不成，可向合同签订地法院起诉，合同签订地在此约定为盐城市。</w:t>
      </w:r>
      <w:r>
        <w:rPr>
          <w:color w:val="auto"/>
        </w:rPr>
      </w:r>
      <w:r/>
    </w:p>
    <w:p>
      <w:pPr>
        <w:ind w:firstLine="482"/>
        <w:spacing w:line="500" w:lineRule="exact"/>
        <w:rPr>
          <w:rFonts w:ascii="宋体" w:hAnsi="宋体"/>
          <w:b/>
          <w:color w:val="auto"/>
          <w:sz w:val="24"/>
          <w:highlight w:val="none"/>
        </w:rPr>
      </w:pPr>
      <w:r>
        <w:rPr>
          <w:rFonts w:hint="eastAsia" w:ascii="宋体" w:hAnsi="宋体"/>
          <w:b/>
          <w:color w:val="auto"/>
          <w:sz w:val="24"/>
          <w:highlight w:val="none"/>
        </w:rPr>
        <w:t xml:space="preserve">十九、</w:t>
      </w:r>
      <w:r>
        <w:rPr>
          <w:rFonts w:ascii="宋体" w:hAnsi="宋体"/>
          <w:b/>
          <w:color w:val="auto"/>
          <w:sz w:val="24"/>
          <w:highlight w:val="none"/>
        </w:rPr>
        <w:t xml:space="preserve">合同生效</w:t>
      </w:r>
      <w:r>
        <w:rPr>
          <w:color w:val="auto"/>
        </w:rPr>
      </w:r>
      <w:r/>
    </w:p>
    <w:p>
      <w:pPr>
        <w:ind w:firstLine="480"/>
        <w:spacing w:line="500" w:lineRule="exact"/>
        <w:rPr>
          <w:rFonts w:ascii="宋体" w:hAnsi="宋体"/>
          <w:color w:val="auto"/>
          <w:sz w:val="24"/>
          <w:highlight w:val="none"/>
        </w:rPr>
      </w:pPr>
      <w:r>
        <w:rPr>
          <w:rFonts w:ascii="宋体" w:hAnsi="宋体"/>
          <w:color w:val="auto"/>
          <w:sz w:val="24"/>
          <w:highlight w:val="none"/>
        </w:rPr>
        <w:t xml:space="preserve">本合同一式陆份，合同双方各执叁份。</w:t>
      </w:r>
      <w:r>
        <w:rPr>
          <w:color w:val="auto"/>
        </w:rPr>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合同订立时间：</w:t>
      </w:r>
      <w:r>
        <w:rPr>
          <w:rFonts w:hint="eastAsia" w:ascii="宋体" w:hAnsi="宋体" w:cs="宋体"/>
          <w:color w:val="auto"/>
          <w:sz w:val="24"/>
          <w:highlight w:val="none"/>
          <w:u w:val="single"/>
        </w:rPr>
        <w:t xml:space="preserve">2026</w:t>
      </w:r>
      <w:r>
        <w:rPr>
          <w:rFonts w:hint="eastAsia" w:ascii="宋体" w:hAnsi="宋体" w:cs="宋体"/>
          <w:color w:val="auto"/>
          <w:sz w:val="24"/>
          <w:highlight w:val="none"/>
        </w:rPr>
        <w:t xml:space="preserve"> 年月日</w:t>
      </w:r>
      <w:r>
        <w:rPr>
          <w:color w:val="auto"/>
        </w:rPr>
      </w:r>
      <w:r/>
    </w:p>
    <w:p>
      <w:pPr>
        <w:ind w:firstLine="480"/>
        <w:spacing w:line="480" w:lineRule="exact"/>
        <w:rPr>
          <w:rFonts w:ascii="宋体" w:hAnsi="宋体" w:eastAsia="宋体" w:cs="宋体"/>
          <w:color w:val="auto"/>
          <w:sz w:val="24"/>
          <w:highlight w:val="none"/>
          <w:u w:val="single"/>
        </w:rPr>
      </w:pPr>
      <w:r>
        <w:rPr>
          <w:rFonts w:hint="eastAsia" w:ascii="宋体" w:hAnsi="宋体" w:cs="宋体"/>
          <w:color w:val="auto"/>
          <w:sz w:val="24"/>
          <w:highlight w:val="none"/>
        </w:rPr>
        <w:t xml:space="preserve">合同订立地点：</w:t>
      </w:r>
      <w:r>
        <w:rPr>
          <w:rFonts w:hint="eastAsia" w:ascii="宋体" w:hAnsi="宋体" w:cs="宋体"/>
          <w:color w:val="auto"/>
          <w:sz w:val="24"/>
          <w:highlight w:val="none"/>
          <w:u w:val="single"/>
        </w:rPr>
        <w:t xml:space="preserve">江苏盐城环保科技城管理委员会</w:t>
      </w:r>
      <w:r>
        <w:rPr>
          <w:color w:val="auto"/>
        </w:rPr>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本合同甲、乙双方约定</w:t>
      </w:r>
      <w:r>
        <w:rPr>
          <w:rFonts w:hint="eastAsia" w:ascii="宋体" w:hAnsi="宋体" w:cs="宋体"/>
          <w:color w:val="auto"/>
          <w:sz w:val="24"/>
          <w:highlight w:val="none"/>
          <w:u w:val="single"/>
        </w:rPr>
        <w:t xml:space="preserve"> 签字、盖章后 </w:t>
      </w:r>
      <w:r>
        <w:rPr>
          <w:rFonts w:hint="eastAsia" w:ascii="宋体" w:hAnsi="宋体" w:cs="宋体"/>
          <w:color w:val="auto"/>
          <w:sz w:val="24"/>
          <w:highlight w:val="none"/>
        </w:rPr>
        <w:t xml:space="preserve">生效。</w:t>
      </w:r>
      <w:r>
        <w:rPr>
          <w:color w:val="auto"/>
        </w:rPr>
      </w:r>
      <w:r/>
    </w:p>
    <w:p>
      <w:pPr>
        <w:pStyle w:val="904"/>
        <w:ind w:firstLine="210"/>
        <w:spacing w:line="500" w:lineRule="exact"/>
        <w:rPr>
          <w:color w:val="auto"/>
          <w:highlight w:val="none"/>
        </w:rPr>
      </w:pPr>
      <w:r>
        <w:rPr>
          <w:color w:val="auto"/>
          <w:highlight w:val="none"/>
        </w:rPr>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甲方（盖章）：                               乙方（盖章）：</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单位地址：                                  单位地址：</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法定代表人（签章）：                         法定代表人（签章）：</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委托代理人（签字）：                         委托代理人（签字）：</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电    话：                                  电    话：</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开户银行：                                  开户银行：</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帐    号：                                  帐    号：</w:t>
      </w:r>
      <w:r>
        <w:rPr>
          <w:color w:val="auto"/>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邮政编码：                                  邮政编码：</w:t>
      </w:r>
      <w:r>
        <w:rPr>
          <w:color w:val="auto"/>
        </w:rPr>
      </w:r>
      <w:r/>
    </w:p>
    <w:p>
      <w:pPr>
        <w:ind w:firstLine="480"/>
        <w:spacing w:line="500" w:lineRule="exact"/>
        <w:rPr>
          <w:rFonts w:ascii="宋体" w:hAnsi="宋体" w:eastAsia="宋体" w:cs="宋体"/>
          <w:b/>
          <w:color w:val="auto"/>
          <w:sz w:val="24"/>
          <w:highlight w:val="none"/>
        </w:rPr>
      </w:pPr>
      <w:r>
        <w:rPr>
          <w:rFonts w:hint="eastAsia" w:ascii="宋体" w:hAnsi="宋体"/>
          <w:color w:val="auto"/>
          <w:sz w:val="24"/>
          <w:highlight w:val="none"/>
        </w:rPr>
        <w:t xml:space="preserve">签订日期：                                  签订日期：</w:t>
      </w:r>
      <w:r>
        <w:rPr>
          <w:rFonts w:hint="eastAsia" w:ascii="黑体" w:hAnsi="宋体" w:eastAsia="黑体" w:cs="黑体"/>
          <w:color w:val="auto"/>
          <w:sz w:val="24"/>
          <w:highlight w:val="none"/>
        </w:rPr>
        <w:br w:type="page" w:clear="all"/>
      </w:r>
      <w:r>
        <w:rPr>
          <w:color w:val="auto"/>
        </w:rPr>
      </w:r>
      <w:r/>
    </w:p>
    <w:p>
      <w:pPr>
        <w:pStyle w:val="876"/>
        <w:jc w:val="center"/>
        <w:spacing w:before="120" w:beforeAutospacing="0" w:after="120" w:afterAutospacing="0" w:line="500" w:lineRule="exact"/>
        <w:rPr>
          <w:color w:val="auto"/>
          <w:highlight w:val="none"/>
        </w:rPr>
      </w:pPr>
      <w:r>
        <w:rPr>
          <w:color w:val="auto"/>
        </w:rPr>
      </w:r>
      <w:bookmarkStart w:id="171" w:name="_Toc479757211"/>
      <w:r>
        <w:rPr>
          <w:color w:val="auto"/>
        </w:rPr>
      </w:r>
      <w:bookmarkStart w:id="172" w:name="_Toc120614244"/>
      <w:r>
        <w:rPr>
          <w:color w:val="auto"/>
        </w:rPr>
      </w:r>
      <w:bookmarkStart w:id="173" w:name="_Toc462564139"/>
      <w:r>
        <w:rPr>
          <w:color w:val="auto"/>
        </w:rPr>
      </w:r>
      <w:bookmarkStart w:id="174" w:name="_Toc16938590"/>
      <w:r>
        <w:rPr>
          <w:color w:val="auto"/>
        </w:rPr>
      </w:r>
      <w:bookmarkStart w:id="175" w:name="_Hlt16619350"/>
      <w:r>
        <w:rPr>
          <w:color w:val="auto"/>
        </w:rPr>
      </w:r>
      <w:bookmarkStart w:id="176" w:name="_Toc20823346"/>
      <w:r>
        <w:rPr>
          <w:color w:val="auto"/>
        </w:rPr>
      </w:r>
      <w:bookmarkStart w:id="177" w:name="_Hlt16619369"/>
      <w:r>
        <w:rPr>
          <w:rFonts w:hint="eastAsia" w:ascii="黑体" w:hAnsi="宋体" w:eastAsia="黑体" w:cs="黑体"/>
          <w:color w:val="auto"/>
          <w:sz w:val="44"/>
          <w:szCs w:val="44"/>
          <w:highlight w:val="none"/>
        </w:rPr>
        <w:t xml:space="preserve"> 第</w:t>
      </w:r>
      <w:bookmarkEnd w:id="171"/>
      <w:r>
        <w:rPr>
          <w:rFonts w:hint="eastAsia" w:ascii="黑体" w:hAnsi="宋体" w:eastAsia="黑体" w:cs="黑体"/>
          <w:color w:val="auto"/>
          <w:sz w:val="44"/>
          <w:szCs w:val="44"/>
          <w:highlight w:val="none"/>
        </w:rPr>
        <w:t xml:space="preserve">四章 采购需求</w:t>
      </w:r>
      <w:bookmarkEnd w:id="172"/>
      <w:r>
        <w:rPr>
          <w:color w:val="auto"/>
        </w:rPr>
      </w:r>
      <w:bookmarkEnd w:id="173"/>
      <w:r>
        <w:rPr>
          <w:color w:val="auto"/>
        </w:rPr>
      </w:r>
      <w:bookmarkEnd w:id="174"/>
      <w:r>
        <w:rPr>
          <w:color w:val="auto"/>
        </w:rPr>
      </w:r>
      <w:bookmarkEnd w:id="175"/>
      <w:r>
        <w:rPr>
          <w:color w:val="auto"/>
        </w:rPr>
      </w:r>
      <w:bookmarkEnd w:id="176"/>
      <w:r>
        <w:rPr>
          <w:color w:val="auto"/>
        </w:rPr>
      </w:r>
      <w:r/>
    </w:p>
    <w:p>
      <w:pPr>
        <w:pStyle w:val="876"/>
        <w:ind w:firstLine="480"/>
        <w:jc w:val="both"/>
        <w:spacing w:beforeAutospacing="0" w:afterAutospacing="0" w:line="500" w:lineRule="exact"/>
        <w:rPr>
          <w:rFonts w:ascii="黑体" w:hAnsi="宋体" w:eastAsia="黑体" w:cs="黑体"/>
          <w:color w:val="auto"/>
          <w:sz w:val="44"/>
          <w:szCs w:val="44"/>
          <w:highlight w:val="none"/>
        </w:rPr>
      </w:pPr>
      <w:r>
        <w:rPr>
          <w:color w:val="auto"/>
        </w:rPr>
      </w:r>
      <w:bookmarkStart w:id="178" w:name="_Toc26554093"/>
      <w:r>
        <w:rPr>
          <w:color w:val="auto"/>
        </w:rPr>
      </w:r>
      <w:bookmarkStart w:id="179" w:name="_Toc49090575"/>
      <w:r>
        <w:rPr>
          <w:color w:val="auto"/>
        </w:rPr>
      </w:r>
      <w:bookmarkStart w:id="180" w:name="_Toc120614281"/>
      <w:r>
        <w:rPr>
          <w:rFonts w:hint="eastAsia" w:ascii="宋体" w:hAnsi="宋体" w:eastAsia="宋体" w:cs="宋体"/>
          <w:color w:val="auto"/>
          <w:highlight w:val="none"/>
        </w:rPr>
        <w:t xml:space="preserve">项目属性:服务类项目。</w:t>
      </w:r>
      <w:bookmarkEnd w:id="178"/>
      <w:r>
        <w:rPr>
          <w:color w:val="auto"/>
        </w:rPr>
      </w:r>
      <w:bookmarkEnd w:id="179"/>
      <w:r>
        <w:rPr>
          <w:color w:val="auto"/>
        </w:rPr>
      </w:r>
      <w:r/>
    </w:p>
    <w:p>
      <w:pPr>
        <w:pStyle w:val="905"/>
        <w:ind w:firstLine="482"/>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一、项目概况</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1、项目名称:2026-2028年环科城雨、污水管网管护服务项目。</w:t>
      </w:r>
      <w:r>
        <w:rPr>
          <w:color w:val="auto"/>
        </w:rPr>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2、项目地点：盐城环保科技城辖区内。甲方指定地点。</w:t>
      </w:r>
      <w:r>
        <w:rPr>
          <w:color w:val="auto"/>
        </w:rPr>
      </w:r>
      <w:r/>
    </w:p>
    <w:p>
      <w:pPr>
        <w:pStyle w:val="905"/>
        <w:ind w:firstLine="482"/>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lang w:val="en-US"/>
        </w:rPr>
        <w:t xml:space="preserve">二</w:t>
      </w:r>
      <w:r>
        <w:rPr>
          <w:rFonts w:hint="eastAsia" w:ascii="宋体" w:hAnsi="宋体" w:eastAsia="宋体" w:cs="宋体"/>
          <w:b/>
          <w:bCs/>
          <w:color w:val="auto"/>
          <w:sz w:val="24"/>
          <w:highlight w:val="none"/>
        </w:rPr>
        <w:t xml:space="preserve">、养护范围</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养护范围：2026-2028年环科城雨、污水管网管护服务项目，为盐城环保科技城辖区内雨污水管网提供巡查管护服务，包含管网疏通、污水泵站运行维护等常态化巡查管护（含驻点办公、污水管网检测、管网普查以及CCTV检测报告的编制），应急排水处置、汛期防汛值守等相关工作。具体以采购人提供的</w:t>
      </w:r>
      <w:r>
        <w:rPr>
          <w:rFonts w:hint="eastAsia" w:ascii="宋体" w:hAnsi="宋体" w:eastAsia="宋体" w:cs="宋体"/>
          <w:color w:val="auto"/>
          <w:sz w:val="24"/>
          <w:highlight w:val="none"/>
          <w:lang w:val="en-US" w:eastAsia="zh-CN"/>
        </w:rPr>
        <w:t xml:space="preserve">管护</w:t>
      </w:r>
      <w:r>
        <w:rPr>
          <w:rFonts w:hint="eastAsia" w:ascii="宋体" w:hAnsi="宋体" w:eastAsia="宋体" w:cs="宋体"/>
          <w:color w:val="auto"/>
          <w:sz w:val="24"/>
          <w:highlight w:val="none"/>
        </w:rPr>
        <w:t xml:space="preserve">量清单、施工图纸及采购人现场要求为准，服从采购人管理，采购人保留对上述</w:t>
      </w:r>
      <w:r>
        <w:rPr>
          <w:rFonts w:hint="eastAsia" w:ascii="宋体" w:hAnsi="宋体" w:eastAsia="宋体" w:cs="宋体"/>
          <w:color w:val="auto"/>
          <w:sz w:val="24"/>
          <w:highlight w:val="none"/>
          <w:lang w:val="en-US" w:eastAsia="zh-CN"/>
        </w:rPr>
        <w:t xml:space="preserve">工作</w:t>
      </w:r>
      <w:r>
        <w:rPr>
          <w:rFonts w:hint="eastAsia" w:ascii="宋体" w:hAnsi="宋体" w:eastAsia="宋体" w:cs="宋体"/>
          <w:color w:val="auto"/>
          <w:sz w:val="24"/>
          <w:highlight w:val="none"/>
        </w:rPr>
        <w:t xml:space="preserve">量及范围适当调整的权利。</w:t>
      </w:r>
      <w:r>
        <w:rPr>
          <w:color w:val="auto"/>
        </w:rPr>
      </w:r>
      <w:r/>
    </w:p>
    <w:p>
      <w:pPr>
        <w:pStyle w:val="905"/>
        <w:ind w:firstLine="482"/>
        <w:spacing w:line="500" w:lineRule="exact"/>
        <w:rPr>
          <w:rFonts w:ascii="宋体" w:hAnsi="宋体" w:eastAsia="宋体" w:cs="宋体"/>
          <w:b/>
          <w:color w:val="auto"/>
          <w:sz w:val="24"/>
          <w:highlight w:val="none"/>
        </w:rPr>
      </w:pPr>
      <w:r>
        <w:rPr>
          <w:rFonts w:hint="eastAsia" w:ascii="宋体" w:hAnsi="宋体" w:eastAsia="宋体" w:cs="宋体"/>
          <w:b/>
          <w:color w:val="auto"/>
          <w:sz w:val="24"/>
          <w:highlight w:val="none"/>
          <w:lang w:val="en-US"/>
        </w:rPr>
        <w:t xml:space="preserve">三、</w:t>
      </w:r>
      <w:r>
        <w:rPr>
          <w:rFonts w:hint="eastAsia" w:ascii="宋体" w:hAnsi="宋体" w:eastAsia="宋体" w:cs="宋体"/>
          <w:b/>
          <w:bCs/>
          <w:color w:val="auto"/>
          <w:sz w:val="24"/>
          <w:highlight w:val="none"/>
          <w:lang w:val="en-US"/>
        </w:rPr>
        <w:t xml:space="preserve">养护</w:t>
      </w:r>
      <w:r>
        <w:rPr>
          <w:rFonts w:hint="eastAsia" w:ascii="宋体" w:hAnsi="宋体" w:eastAsia="宋体" w:cs="宋体"/>
          <w:b/>
          <w:color w:val="auto"/>
          <w:sz w:val="24"/>
          <w:highlight w:val="none"/>
          <w:lang w:val="en-US"/>
        </w:rPr>
        <w:t xml:space="preserve">内容</w:t>
      </w:r>
      <w:r>
        <w:rPr>
          <w:color w:val="auto"/>
        </w:rPr>
      </w:r>
      <w:r/>
    </w:p>
    <w:p>
      <w:pPr>
        <w:ind w:firstLine="482"/>
        <w:spacing w:line="500" w:lineRule="exac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（一）全域建档作业</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对所有雨水井、污水井、检查井、雨水口逐一排查、定位编号、登记建档，核实井位坐标、管网走向、管径、埋深、设施完好状态。建立“一井一档”电子化+纸质台账，动态更新巡检、维修、检测、清淤记录，彻底消除管网设施管理盲区。</w:t>
      </w:r>
      <w:r>
        <w:rPr>
          <w:color w:val="auto"/>
        </w:rPr>
      </w:r>
      <w:r/>
    </w:p>
    <w:p>
      <w:pPr>
        <w:ind w:firstLine="482"/>
        <w:spacing w:line="500" w:lineRule="exac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（二）月度常态化巡查管护</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 巡查周期：管护期内每月完成1次全域全覆盖巡查管护，无遗漏、无死角。</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 巡查内容：全面检查井盖完好、平整、牢固情况，维修更换破损、缺失、松动井盖；检查防坠网完好性，及时修复损坏、脱落防坠网；排查管网沿线路面塌陷、污水溢流、积水、管网外露、跑冒滴漏、违章占压、私自接管、偷倒垃圾、排水口堵塞、设施损坏丢失等情况。</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 工作要求：每次巡查完整记录设施运行状态，形成月度巡查台账；一般隐患当场处置，重大隐患第一时间拍照留痕、上报甲方，配合核查整改。</w:t>
      </w:r>
      <w:r>
        <w:rPr>
          <w:color w:val="auto"/>
        </w:rPr>
      </w:r>
      <w:r/>
    </w:p>
    <w:p>
      <w:pPr>
        <w:ind w:firstLine="482"/>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（三）污水水位常态化测量</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结合月度巡查同步开展污水井水位测量工作，对园区主干道、易淤积、易溢流重点井位定期测量井内积水深度、水位数据，记录测量时间、点位坐标、水位参数，建立水位监测台账。通过数据对比分析管网淤积、排水不畅隐患，对水位异常点位纳入重点管护清单，提前干预处置，杜绝污水外溢、管网堵塞问题。</w:t>
      </w:r>
      <w:r>
        <w:rPr>
          <w:color w:val="auto"/>
        </w:rPr>
      </w:r>
      <w:r/>
    </w:p>
    <w:p>
      <w:pPr>
        <w:ind w:firstLine="482"/>
        <w:spacing w:line="500" w:lineRule="exac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（四）年度清掏、检测及泵站养护作业</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 管网清掏疏通：制定管网疏通计划，每年对管网全面疏通两次。结合排水管网运行的实际情况，对管网容易出现淤积可能性大的区域，制定频次差异化疏通方案，确保所有排水管网始终处于通畅状态。</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 管网CCTV检测：全年完成1次全域管网CCTV机器人检测，全面排查管网内部破损、脱节、塌陷、淤积、错接等缺陷，形成完整检测报告及影像资料存档。</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 工作留痕：清淤、检测施工期间，每周向甲方报送当日机器人施工视频，视频需包含作业坐标、时间、施工进度，确保作业可追溯；发现重大管网异常立即上报甲方，配合现场核查处置。</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 泵站维保：污水泵站设备每年开展1次全面保养维修，包含设备检修、润滑调试、故障排查、配件维护等，维保费用全部包含在年度服务费内。</w:t>
      </w:r>
      <w:r>
        <w:rPr>
          <w:color w:val="auto"/>
        </w:rPr>
      </w:r>
      <w:r/>
    </w:p>
    <w:p>
      <w:pPr>
        <w:ind w:firstLine="482"/>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（五）管网应急搭接临时管道</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管道维修时，必须具备能随时搭建临时400以上管道300米及配套口径能力的泵及其他设备，调水排水。</w:t>
      </w:r>
      <w:r>
        <w:rPr>
          <w:color w:val="auto"/>
        </w:rPr>
      </w:r>
      <w:r/>
    </w:p>
    <w:p>
      <w:pPr>
        <w:ind w:firstLine="482"/>
        <w:spacing w:line="500" w:lineRule="exac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（六）专项安全管理规定</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①有限空间作业安全管理</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雨水井、污水井、管网沟槽均属于有限空间作业区域，严格执行“先通风、再检测、后作业”原则。作业前办理审批手续，采用四合一气体检测仪检测气体浓度，达标后方可施工；现场设置警戒警示、配备通风及应急救援物资，安排专人全程监护，严禁无人监护、违规下井作业，全程做好安全记录，杜绝中毒、窒息、坍塌等安全事故。</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②常规施工安全管理</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开挖、机械、清淤等作业必须设置安全围挡、警示牌、警示灯，做好现场交通疏导；机械作业专人指挥，杜绝违规操作；每日开展班前安全交底，定期开展安全培训，全面落实安全文明施工要求。</w:t>
      </w:r>
      <w:r>
        <w:rPr>
          <w:color w:val="auto"/>
        </w:rPr>
      </w:r>
      <w:r/>
    </w:p>
    <w:p>
      <w:pPr>
        <w:ind w:firstLine="482"/>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（七）防汛应急保障体系</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①应急值守机制</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汛期、暴雨预警天气实行24小时2人值班值守及2组突击人员6人或根据情况增加，重点巡查园区低洼路段、易积水区域、管网出水口、泵站运行状态，实时掌握排水情况，随时处置突发积水、溢流问题。</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②设备物资保障</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常备大流量排涝泵2组、污水泵2组、柴油发电机2组、输水管道300米、防汛沙袋500只等应急物资设备，设备全程待命、状态完好，可随时投入防汛排涝作业。</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③窨井盖缺失应急添补</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一年周期内窨井盖缺失应急添补:污水井井盖20只,雨水井（大井盖）70只。</w:t>
      </w:r>
      <w:r>
        <w:rPr>
          <w:color w:val="auto"/>
        </w:rPr>
      </w:r>
      <w:r/>
    </w:p>
    <w:p>
      <w:pPr>
        <w:ind w:firstLine="482"/>
        <w:spacing w:line="500" w:lineRule="exac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（八）管网养护工作</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1.管网巡检工作</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排水管网每周全面巡检一次，工作包括：巡查和清理排水管道、排水沟、井盖等设施，及时发现并上报排水管网跑冒滴漏、违章占压、私自接管、偷倒垃圾、排水口堵塞、设施损坏丢失等情况。</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2.管网常规疏通</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制定管网疏通计划，每年对管网全面疏通两次。结合排水管网运行的实际情况，对管网容易出现淤积可能性大的区域，制定频次差异化疏通方案，确保所有排水管网始终处于通畅状态。</w:t>
      </w:r>
      <w:r>
        <w:rPr>
          <w:color w:val="auto"/>
        </w:rPr>
      </w:r>
      <w:r/>
    </w:p>
    <w:p>
      <w:pPr>
        <w:ind w:firstLine="482"/>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（九）泵站维护工作</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每天安排专业人员对泵站进行</w:t>
      </w:r>
      <w:r>
        <w:rPr>
          <w:rFonts w:hint="eastAsia" w:ascii="宋体" w:hAnsi="宋体" w:eastAsia="宋体" w:cs="宋体"/>
          <w:color w:val="auto"/>
          <w:sz w:val="24"/>
          <w:highlight w:val="none"/>
        </w:rPr>
        <w:t xml:space="preserve">巡检维护记录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主要包括：（1）泵站设备的日常维修、各种泵类、电气设备及辅助设备的维护保养；（2）仪表与自控设备的维护保养等。</w:t>
      </w:r>
      <w:r>
        <w:rPr>
          <w:color w:val="auto"/>
        </w:rPr>
      </w:r>
      <w:r/>
    </w:p>
    <w:p>
      <w:pPr>
        <w:ind w:firstLine="482"/>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（十）管网排查检测</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每年有计划地对排水管网进行排查检测，便于及时发现管网结构性和功能性缺陷问题，尽快组织安排维修，保证管网正常运行。通过封堵气囊、抽水、管道清洗、机器人检测等手段，对管网进行全面排查CCTV检测</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并</w:t>
      </w:r>
      <w:r>
        <w:rPr>
          <w:rFonts w:hint="eastAsia" w:ascii="宋体" w:hAnsi="宋体" w:eastAsia="宋体" w:cs="宋体"/>
          <w:color w:val="auto"/>
          <w:sz w:val="24"/>
          <w:highlight w:val="none"/>
        </w:rPr>
        <w:t xml:space="preserve">出具符合规范要求的检测报告。</w:t>
      </w:r>
      <w:r>
        <w:rPr>
          <w:color w:val="auto"/>
        </w:rPr>
      </w:r>
      <w:r/>
    </w:p>
    <w:p>
      <w:pPr>
        <w:ind w:firstLine="482"/>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（十一）废渣及污泥处置。</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排污口清淤、管网清淤、拆除管堵等产生的废渣和污泥由乙方负责运输到合法处置单位进行处置。</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十二）管网、泵站日常养护中出现的不超过2000元/次/处的小型维修费（含材料、人工等）由乙方承担；2000元（不含2000元）/处/次以上的维修费（含材料、人工等）按定额下浮20%后结算，经甲方确认后另行支付。</w:t>
      </w:r>
      <w:r>
        <w:rPr>
          <w:color w:val="auto"/>
        </w:rPr>
      </w:r>
      <w:r/>
    </w:p>
    <w:p>
      <w:pPr>
        <w:pStyle w:val="865"/>
        <w:rPr>
          <w:color w:val="auto"/>
          <w:highlight w:val="none"/>
        </w:rPr>
      </w:pPr>
      <w:r>
        <w:rPr>
          <w:color w:val="auto"/>
          <w:highlight w:val="none"/>
        </w:rPr>
      </w:r>
      <w:r>
        <w:rPr>
          <w:color w:val="auto"/>
        </w:rPr>
      </w:r>
      <w:r/>
    </w:p>
    <w:p>
      <w:pPr>
        <w:ind w:firstLine="482"/>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四、养护服务的要求</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1、养护服务报价应包含养护包干范围内规定的所有修复工作，维修、更换的材料应按照原设计型号、规格、标号、颜色修复更换。</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2、综合报价必须考虑自然的和人为的破坏、被盗等原因和风险。</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3、本招标范围养护服务的报价应综合考虑目前现状（由投标人自行到现场察看）所有损坏的修复和养护期内的所有达到养护标准的费用。</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4、遇大雨、暴雨,承包商应增派人员机械到现场积极组织疏导雨水避免水浸马路；遇大雪，承包商应确保雨水收水井不被淹没排水顺畅，同时服从采购人调度增派人员机械扫雪。</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日常巡视及定期检查要认真巡查路况、路容，做到及时发现及时报告及时处理，确保路况整齐畅顺，设施的完好和安全，如被采购人发现养护不及时和设施损失（坏）导致安全事故，或被投拆、被新闻媒体曝光，除按招标文件的有关条款处理外业主可另请单位进行紧急处理，费用由承包商承担。</w:t>
      </w:r>
      <w:r>
        <w:rPr>
          <w:color w:val="auto"/>
        </w:rPr>
      </w:r>
      <w:r/>
    </w:p>
    <w:p>
      <w:pPr>
        <w:ind w:firstLine="480"/>
        <w:jc w:val="left"/>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6、人员配备</w:t>
      </w:r>
      <w:r>
        <w:rPr>
          <w:color w:val="auto"/>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6.1项目作业小组配置人员总数不得少于 6 人，人员架构须配备至少 1 名项目负责人、1 名专职安全员；其余作业人员年龄不得超过 55 周岁，人员配置由乙方合理统筹安排。管护服务周期内，乙方每日须安排不少于 1 名工作人员驻守甲方指定驻点，服从甲方日常调度与现场管理。</w:t>
      </w:r>
      <w:r>
        <w:rPr>
          <w:color w:val="auto"/>
        </w:rPr>
      </w:r>
      <w:r/>
    </w:p>
    <w:p>
      <w:pPr>
        <w:ind w:firstLine="480"/>
        <w:jc w:val="left"/>
        <w:spacing w:line="500" w:lineRule="exact"/>
        <w:rPr>
          <w:rFonts w:ascii="宋体" w:hAnsi="宋体" w:eastAsia="宋体" w:cs="宋体"/>
          <w:color w:val="auto"/>
          <w:sz w:val="24"/>
          <w:highlight w:val="none"/>
        </w:rPr>
      </w:pPr>
      <w:r>
        <w:rPr>
          <w:rFonts w:hint="eastAsia" w:ascii="宋体" w:hAnsi="宋体"/>
          <w:color w:val="auto"/>
          <w:sz w:val="24"/>
          <w:highlight w:val="none"/>
        </w:rPr>
        <w:t xml:space="preserve">6.2乙方需设置不少于 2 支现场运行班组，单支班组在岗人员不得少于 3 人。日常管护执行月度全覆盖巡查制度，每次巡查做好书面记录、建立完整管理台账；污水管道清淤疏通工作每年开展 2 次，作业时间分别定于汛期来临前、入冬之前。所有巡查、管道疏通作业全过程留存影像存档资料，上述所有工作落实情况纳入甲方日常考核指标。</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7、设备要求（可多于下述表格中设备数量和类别，但不得少于）</w:t>
      </w:r>
      <w:r>
        <w:rPr>
          <w:color w:val="auto"/>
        </w:rPr>
      </w:r>
      <w:r/>
    </w:p>
    <w:p>
      <w:pPr>
        <w:jc w:val="center"/>
        <w:spacing w:line="480" w:lineRule="auto"/>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环科城污水管网、泵站疏通养护工程管护单位应自备车辆和设备清单</w:t>
      </w:r>
      <w:r>
        <w:rPr>
          <w:color w:val="auto"/>
        </w:rPr>
      </w:r>
      <w:r/>
    </w:p>
    <w:tbl>
      <w:tblPr>
        <w:tblStyle w:val="864"/>
        <w:tblW w:w="9359" w:type="dxa"/>
        <w:jc w:val="center"/>
        <w:tblLayout w:type="fixed"/>
        <w:tblCellMar>
          <w:left w:w="108" w:type="dxa"/>
          <w:top w:w="0" w:type="dxa"/>
          <w:right w:w="108" w:type="dxa"/>
          <w:bottom w:w="0" w:type="dxa"/>
        </w:tblCellMar>
        <w:tblLook w:val="04A0" w:firstRow="1" w:lastRow="0" w:firstColumn="1" w:lastColumn="0" w:noHBand="0" w:noVBand="1"/>
      </w:tblPr>
      <w:tblGrid>
        <w:gridCol w:w="1363"/>
        <w:gridCol w:w="2530"/>
        <w:gridCol w:w="1094"/>
        <w:gridCol w:w="1094"/>
        <w:gridCol w:w="3278"/>
      </w:tblGrid>
      <w:tr>
        <w:trPr>
          <w:jc w:val="center"/>
          <w:trHeight w:val="602"/>
        </w:trPr>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序号</w:t>
            </w:r>
            <w:r>
              <w:rPr>
                <w:color w:val="auto"/>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设备名称</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单位</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数量</w:t>
            </w:r>
            <w:r>
              <w:rPr>
                <w:color w:val="auto"/>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备注</w:t>
            </w:r>
            <w:r>
              <w:rPr>
                <w:color w:val="auto"/>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管道疏通车</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辆</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吸污车</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辆</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工程车</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辆</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CCTV检测机器人</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QV潜望镜</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柴油发电机</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功率不少于20KW</w:t>
            </w:r>
            <w:r>
              <w:rPr>
                <w:color w:val="auto"/>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污水泵</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功率不少于7.5KW,口径不少于100</w:t>
            </w:r>
            <w:r>
              <w:rPr>
                <w:color w:val="auto"/>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气体检测仪</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四合一气体检测</w:t>
            </w:r>
            <w:r>
              <w:rPr>
                <w:color w:val="auto"/>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大泵（柴油机）</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台</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调水量＞400m³/h，并根据实际需求配备管道长度</w:t>
            </w:r>
            <w:r>
              <w:rPr>
                <w:color w:val="auto"/>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潜水服</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件</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rPr>
                <w:color w:val="auto"/>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w:t>
            </w:r>
            <w:r>
              <w:rPr>
                <w:color w:val="auto"/>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常用型号400、600气囊</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对</w:t>
            </w:r>
            <w:r>
              <w:rPr>
                <w:color w:val="auto"/>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rPr>
                <w:color w:val="auto"/>
              </w:rPr>
            </w:r>
            <w:r/>
          </w:p>
        </w:tc>
      </w:tr>
    </w:tbl>
    <w:p>
      <w:pPr>
        <w:jc w:val="left"/>
        <w:rPr>
          <w:bCs/>
          <w:color w:val="auto"/>
          <w:sz w:val="24"/>
          <w:highlight w:val="none"/>
        </w:rPr>
      </w:pPr>
      <w:r>
        <w:rPr>
          <w:bCs/>
          <w:color w:val="auto"/>
          <w:sz w:val="24"/>
          <w:highlight w:val="none"/>
        </w:rPr>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我单位承诺：</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如我单位中标，确保在中标结果公示发布之日起7日内（中标通知书发出前）提供上述车辆及设备的自有证明材料（车辆类须提供加盖单位公章的车辆行驶证复印件，设备类须提供加盖单位公章的购买发票复印件，否则招标人有权取消我单位中标候选人资格。</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2、我单位须具有固定办公场所和存放车辆设备的场地，我单位确保在中标结果公示发布之日起7日内（中标通知书发出前）提供房产证原件或租赁合同原件，否则招标人有权取消我单位中标候选人资格。</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我单位确保在中标结果公示发布之日起7日内（中标通知书发出前）提供拟投入项目组成人员相关证书复印件，至少配备2名具有应急管理部门（安全监督部门）颁发的特种作业操作证（操作项目：低压电工作业），2名具有应急管理部门（安全监督部门）或其他机构颁发的有限空间作业相关证书的人员，否则招标人有权取消我单位中标候选人资格。</w:t>
      </w:r>
      <w:r>
        <w:rPr>
          <w:color w:val="auto"/>
        </w:rPr>
      </w:r>
      <w:r/>
    </w:p>
    <w:p>
      <w:pPr>
        <w:ind w:firstLine="480"/>
        <w:jc w:val="righ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投标人：（盖章）</w:t>
      </w:r>
      <w:r>
        <w:rPr>
          <w:color w:val="auto"/>
        </w:rPr>
      </w:r>
      <w:r/>
    </w:p>
    <w:p>
      <w:pPr>
        <w:ind w:firstLine="480"/>
        <w:jc w:val="righ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法定代表人或其委托代理人（签字或盖章）：</w:t>
      </w:r>
      <w:r>
        <w:rPr>
          <w:color w:val="auto"/>
        </w:rPr>
      </w:r>
      <w:r/>
    </w:p>
    <w:p>
      <w:pPr>
        <w:ind w:firstLine="480"/>
        <w:jc w:val="righ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color w:val="auto"/>
        </w:rPr>
      </w:r>
      <w:r/>
    </w:p>
    <w:p>
      <w:pPr>
        <w:ind w:firstLine="480"/>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8、其他要求：</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（1）乙方所用人员必须按照中华人民共和国《民法典》的规定执行，如遇到工资纠纷问题由服务方自行解决。</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（2）本次采购不接受联合报价及分包、转包。</w:t>
      </w:r>
      <w:r>
        <w:rPr>
          <w:color w:val="auto"/>
        </w:rPr>
      </w:r>
      <w:r/>
    </w:p>
    <w:p>
      <w:pPr>
        <w:ind w:firstLine="482"/>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9、本项目中标人要服从采购人和项目所在地相关管理部门的现场调度及管理，拒绝服从，采购人有权单方终止合同，并处付款总额的百分之十违约金。</w:t>
      </w:r>
      <w:r>
        <w:rPr>
          <w:color w:val="auto"/>
        </w:rPr>
      </w:r>
      <w:r/>
    </w:p>
    <w:p>
      <w:pPr>
        <w:pStyle w:val="909"/>
        <w:ind w:left="0" w:firstLine="482"/>
        <w:jc w:val="both"/>
        <w:spacing w:line="500" w:lineRule="exact"/>
        <w:rPr>
          <w:rFonts w:ascii="宋体" w:hAnsi="宋体" w:eastAsia="宋体" w:cs="宋体"/>
          <w:b/>
          <w:color w:val="auto"/>
          <w:highlight w:val="none"/>
        </w:rPr>
      </w:pPr>
      <w:r>
        <w:rPr>
          <w:rFonts w:hint="eastAsia" w:ascii="宋体" w:hAnsi="宋体" w:eastAsia="宋体" w:cs="宋体"/>
          <w:b/>
          <w:color w:val="auto"/>
          <w:highlight w:val="none"/>
          <w:lang w:eastAsia="zh-CN"/>
        </w:rPr>
        <w:t xml:space="preserve">五、考核办法</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招标人针对中标人合同执行情况每季度实施定期考核及次不定期现场考核（现场作业情况及检查管道、井座内淤泥垃圾清理情况），考核扣分累加计算季度考核分。具体检查地点由采购方确定，服务商应对考核工作予以积极配合。</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2）考核标准和评分细则</w:t>
      </w:r>
      <w:r>
        <w:rPr>
          <w:color w:val="auto"/>
        </w:rPr>
      </w:r>
      <w:r/>
    </w:p>
    <w:tbl>
      <w:tblPr>
        <w:tblStyle w:val="864"/>
        <w:tblW w:w="9674" w:type="dxa"/>
        <w:jc w:val="center"/>
        <w:tblLayout w:type="fixed"/>
        <w:tblCellMar>
          <w:left w:w="108" w:type="dxa"/>
          <w:top w:w="0" w:type="dxa"/>
          <w:right w:w="108" w:type="dxa"/>
          <w:bottom w:w="0" w:type="dxa"/>
        </w:tblCellMar>
        <w:tblLook w:val="04A0" w:firstRow="1" w:lastRow="0" w:firstColumn="1" w:lastColumn="0" w:noHBand="0" w:noVBand="1"/>
      </w:tblPr>
      <w:tblGrid>
        <w:gridCol w:w="471"/>
        <w:gridCol w:w="789"/>
        <w:gridCol w:w="651"/>
        <w:gridCol w:w="91"/>
        <w:gridCol w:w="2670"/>
        <w:gridCol w:w="792"/>
        <w:gridCol w:w="3259"/>
        <w:gridCol w:w="951"/>
      </w:tblGrid>
      <w:tr>
        <w:trPr>
          <w:jc w:val="center"/>
          <w:trHeight w:val="536"/>
        </w:trPr>
        <w:tc>
          <w:tcPr>
            <w:shd w:val="clear" w:color="000000" w:fill="ffffff"/>
            <w:tcBorders>
              <w:top w:val="single" w:color="000000" w:sz="2" w:space="0"/>
              <w:left w:val="single" w:color="000000" w:sz="2" w:space="0"/>
              <w:bottom w:val="single" w:color="000000" w:sz="2" w:space="0"/>
              <w:right w:val="single" w:color="000000" w:sz="2" w:space="0"/>
            </w:tcBorders>
            <w:tcW w:w="471" w:type="dxa"/>
            <w:vAlign w:val="center"/>
            <w:textDirection w:val="lrTb"/>
            <w:noWrap/>
          </w:tcPr>
          <w:p>
            <w:pPr>
              <w:jc w:val="center"/>
              <w:rPr>
                <w:rFonts w:ascii="宋体"/>
                <w:color w:val="auto"/>
                <w:sz w:val="18"/>
                <w:szCs w:val="18"/>
                <w:highlight w:val="none"/>
              </w:rPr>
            </w:pPr>
            <w:r>
              <w:rPr>
                <w:rFonts w:hint="eastAsia" w:ascii="宋体" w:cs="宋体"/>
                <w:color w:val="auto"/>
                <w:sz w:val="18"/>
                <w:szCs w:val="18"/>
                <w:highlight w:val="none"/>
                <w:lang w:val="zh-CN"/>
              </w:rPr>
              <w:t xml:space="preserve">序号</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tcPr>
          <w:p>
            <w:pPr>
              <w:jc w:val="center"/>
              <w:rPr>
                <w:rFonts w:ascii="宋体"/>
                <w:color w:val="auto"/>
                <w:sz w:val="18"/>
                <w:szCs w:val="18"/>
                <w:highlight w:val="none"/>
              </w:rPr>
            </w:pPr>
            <w:r>
              <w:rPr>
                <w:rFonts w:hint="eastAsia" w:ascii="宋体" w:cs="宋体"/>
                <w:color w:val="auto"/>
                <w:sz w:val="18"/>
                <w:szCs w:val="18"/>
                <w:highlight w:val="none"/>
                <w:lang w:val="zh-CN"/>
              </w:rPr>
              <w:t xml:space="preserve">考核项目</w:t>
            </w:r>
            <w:r>
              <w:rPr>
                <w:color w:val="auto"/>
              </w:rPr>
            </w:r>
            <w:r/>
          </w:p>
        </w:tc>
        <w:tc>
          <w:tcPr>
            <w:gridSpan w:val="3"/>
            <w:shd w:val="clear" w:color="000000" w:fill="ffffff"/>
            <w:tcBorders>
              <w:top w:val="single" w:color="000000" w:sz="2" w:space="0"/>
              <w:left w:val="single" w:color="000000" w:sz="2" w:space="0"/>
              <w:bottom w:val="single" w:color="000000" w:sz="2" w:space="0"/>
              <w:right w:val="single" w:color="000000" w:sz="2" w:space="0"/>
            </w:tcBorders>
            <w:tcW w:w="3411" w:type="dxa"/>
            <w:vAlign w:val="center"/>
            <w:textDirection w:val="lrTb"/>
            <w:noWrap/>
          </w:tcPr>
          <w:p>
            <w:pPr>
              <w:jc w:val="center"/>
              <w:rPr>
                <w:rFonts w:ascii="宋体"/>
                <w:color w:val="auto"/>
                <w:sz w:val="18"/>
                <w:szCs w:val="18"/>
                <w:highlight w:val="none"/>
              </w:rPr>
            </w:pPr>
            <w:r>
              <w:rPr>
                <w:rFonts w:hint="eastAsia" w:ascii="宋体" w:cs="宋体"/>
                <w:color w:val="auto"/>
                <w:sz w:val="18"/>
                <w:szCs w:val="18"/>
                <w:highlight w:val="none"/>
                <w:lang w:val="zh-CN"/>
              </w:rPr>
              <w:t xml:space="preserve">具体内容</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olor w:val="auto"/>
                <w:sz w:val="18"/>
                <w:szCs w:val="18"/>
                <w:highlight w:val="none"/>
              </w:rPr>
            </w:pPr>
            <w:r>
              <w:rPr>
                <w:rFonts w:hint="eastAsia" w:ascii="宋体" w:cs="宋体"/>
                <w:color w:val="auto"/>
                <w:sz w:val="18"/>
                <w:szCs w:val="18"/>
                <w:highlight w:val="none"/>
                <w:lang w:val="zh-CN"/>
              </w:rPr>
              <w:t xml:space="preserve">基本分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jc w:val="center"/>
              <w:rPr>
                <w:rFonts w:ascii="宋体"/>
                <w:color w:val="auto"/>
                <w:sz w:val="18"/>
                <w:szCs w:val="18"/>
                <w:highlight w:val="none"/>
              </w:rPr>
            </w:pPr>
            <w:r>
              <w:rPr>
                <w:rFonts w:hint="eastAsia" w:ascii="宋体" w:cs="宋体"/>
                <w:color w:val="auto"/>
                <w:sz w:val="18"/>
                <w:szCs w:val="18"/>
                <w:highlight w:val="none"/>
                <w:lang w:val="zh-CN"/>
              </w:rPr>
              <w:t xml:space="preserve">评分标准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olor w:val="auto"/>
                <w:sz w:val="18"/>
                <w:szCs w:val="18"/>
                <w:highlight w:val="none"/>
              </w:rPr>
            </w:pPr>
            <w:r>
              <w:rPr>
                <w:rFonts w:hint="eastAsia" w:ascii="宋体" w:cs="宋体"/>
                <w:color w:val="auto"/>
                <w:sz w:val="18"/>
                <w:szCs w:val="18"/>
                <w:highlight w:val="none"/>
                <w:lang w:val="zh-CN"/>
              </w:rPr>
              <w:t xml:space="preserve">评分</w:t>
            </w:r>
            <w:r>
              <w:rPr>
                <w:color w:val="auto"/>
              </w:rPr>
            </w:r>
            <w:r/>
          </w:p>
        </w:tc>
      </w:tr>
      <w:tr>
        <w:trPr>
          <w:jc w:val="center"/>
          <w:trHeight w:val="1"/>
        </w:trPr>
        <w:tc>
          <w:tcPr>
            <w:shd w:val="clear" w:color="000000" w:fill="ffffff"/>
            <w:tcBorders>
              <w:top w:val="single" w:color="000000" w:sz="2" w:space="0"/>
              <w:left w:val="single" w:color="000000" w:sz="2" w:space="0"/>
              <w:right w:val="single" w:color="000000" w:sz="2" w:space="0"/>
            </w:tcBorders>
            <w:tcW w:w="471" w:type="dxa"/>
            <w:vAlign w:val="center"/>
            <w:vMerge w:val="restart"/>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1</w:t>
            </w:r>
            <w:r>
              <w:rPr>
                <w:color w:val="auto"/>
              </w:rPr>
            </w:r>
            <w:r/>
          </w:p>
        </w:tc>
        <w:tc>
          <w:tcPr>
            <w:shd w:val="clear" w:color="000000" w:fill="ffffff"/>
            <w:tcBorders>
              <w:top w:val="single" w:color="000000" w:sz="2" w:space="0"/>
              <w:left w:val="single" w:color="000000" w:sz="2" w:space="0"/>
              <w:right w:val="single" w:color="000000" w:sz="2" w:space="0"/>
            </w:tcBorders>
            <w:tcW w:w="789" w:type="dxa"/>
            <w:vAlign w:val="center"/>
            <w:vMerge w:val="restart"/>
            <w:textDirection w:val="lrTb"/>
            <w:noWrap/>
          </w:tcPr>
          <w:p>
            <w:pPr>
              <w:jc w:val="center"/>
              <w:rPr>
                <w:rFonts w:ascii="宋体"/>
                <w:color w:val="auto"/>
                <w:sz w:val="18"/>
                <w:szCs w:val="18"/>
                <w:highlight w:val="none"/>
              </w:rPr>
            </w:pPr>
            <w:r>
              <w:rPr>
                <w:rFonts w:hint="eastAsia" w:ascii="宋体" w:cs="宋体"/>
                <w:color w:val="auto"/>
                <w:sz w:val="18"/>
                <w:szCs w:val="18"/>
                <w:highlight w:val="none"/>
                <w:lang w:val="zh-CN"/>
              </w:rPr>
              <w:t xml:space="preserve">制度管理及计划报表、台账资料上报</w:t>
            </w:r>
            <w:r>
              <w:rPr>
                <w:color w:val="auto"/>
              </w:rPr>
            </w:r>
            <w:r/>
          </w:p>
          <w:p>
            <w:pPr>
              <w:jc w:val="center"/>
              <w:rPr>
                <w:rFonts w:ascii="宋体"/>
                <w:color w:val="auto"/>
                <w:sz w:val="18"/>
                <w:szCs w:val="18"/>
                <w:highlight w:val="none"/>
              </w:rPr>
            </w:pPr>
            <w:r>
              <w:rPr>
                <w:rFonts w:ascii="宋体"/>
                <w:color w:val="auto"/>
                <w:sz w:val="18"/>
                <w:szCs w:val="18"/>
                <w:highlight w:val="none"/>
                <w:lang w:val="zh-CN"/>
              </w:rPr>
            </w:r>
            <w:r>
              <w:rPr>
                <w:color w:val="auto"/>
              </w:rPr>
            </w:r>
            <w:r/>
          </w:p>
          <w:p>
            <w:pPr>
              <w:jc w:val="center"/>
              <w:rPr>
                <w:rFonts w:ascii="宋体"/>
                <w:color w:val="auto"/>
                <w:sz w:val="18"/>
                <w:szCs w:val="18"/>
                <w:highlight w:val="none"/>
              </w:rPr>
            </w:pPr>
            <w:r>
              <w:rPr>
                <w:rFonts w:ascii="宋体" w:cs="宋体"/>
                <w:color w:val="auto"/>
                <w:sz w:val="18"/>
                <w:szCs w:val="18"/>
                <w:highlight w:val="none"/>
                <w:lang w:val="zh-CN"/>
              </w:rPr>
              <w:t xml:space="preserve">20</w:t>
            </w:r>
            <w:r>
              <w:rPr>
                <w:rFonts w:hint="eastAsia" w:ascii="宋体" w:cs="宋体"/>
                <w:color w:val="auto"/>
                <w:sz w:val="18"/>
                <w:szCs w:val="18"/>
                <w:highlight w:val="none"/>
                <w:lang w:val="zh-CN"/>
              </w:rPr>
              <w:t xml:space="preserve">分</w:t>
            </w:r>
            <w:r>
              <w:rPr>
                <w:color w:val="auto"/>
              </w:rPr>
            </w:r>
            <w:r/>
          </w:p>
        </w:tc>
        <w:tc>
          <w:tcPr>
            <w:gridSpan w:val="3"/>
            <w:shd w:val="clear" w:color="000000" w:fill="ffffff"/>
            <w:tcBorders>
              <w:top w:val="single" w:color="000000" w:sz="2" w:space="0"/>
              <w:left w:val="single" w:color="000000" w:sz="2" w:space="0"/>
              <w:bottom w:val="single" w:color="000000" w:sz="2" w:space="0"/>
              <w:right w:val="single" w:color="000000" w:sz="2" w:space="0"/>
            </w:tcBorders>
            <w:tcW w:w="3411" w:type="dxa"/>
            <w:vAlign w:val="center"/>
            <w:textDirection w:val="lrTb"/>
            <w:noWrap/>
          </w:tcPr>
          <w:p>
            <w:pPr>
              <w:jc w:val="left"/>
              <w:rPr>
                <w:rFonts w:ascii="宋体"/>
                <w:color w:val="auto"/>
                <w:sz w:val="18"/>
                <w:szCs w:val="18"/>
                <w:highlight w:val="none"/>
              </w:rPr>
            </w:pPr>
            <w:r>
              <w:rPr>
                <w:rFonts w:hint="eastAsia" w:ascii="宋体" w:cs="宋体"/>
                <w:color w:val="auto"/>
                <w:sz w:val="18"/>
                <w:szCs w:val="18"/>
                <w:highlight w:val="none"/>
                <w:lang w:val="zh-CN"/>
              </w:rPr>
              <w:t xml:space="preserve">每季度第三个月</w:t>
            </w:r>
            <w:r>
              <w:rPr>
                <w:rFonts w:ascii="宋体" w:cs="宋体"/>
                <w:color w:val="auto"/>
                <w:sz w:val="18"/>
                <w:szCs w:val="18"/>
                <w:highlight w:val="none"/>
                <w:lang w:val="zh-CN"/>
              </w:rPr>
              <w:t xml:space="preserve">25</w:t>
            </w:r>
            <w:r>
              <w:rPr>
                <w:rFonts w:hint="eastAsia" w:ascii="宋体" w:cs="宋体"/>
                <w:color w:val="auto"/>
                <w:sz w:val="18"/>
                <w:szCs w:val="18"/>
                <w:highlight w:val="none"/>
                <w:lang w:val="zh-CN"/>
              </w:rPr>
              <w:t xml:space="preserve">日前上报本季度完成养护设施量统计汇总表（包括管道和检查井设施的巡视、清疏及日常养护等），年度养护计划按采购方要求时间上报</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4</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textDirection w:val="lrTb"/>
            <w:noWrap/>
          </w:tcPr>
          <w:p>
            <w:pPr>
              <w:rPr>
                <w:rFonts w:ascii="宋体"/>
                <w:color w:val="auto"/>
                <w:sz w:val="18"/>
                <w:szCs w:val="18"/>
                <w:highlight w:val="none"/>
              </w:rPr>
            </w:pPr>
            <w:r>
              <w:rPr>
                <w:rFonts w:ascii="宋体"/>
                <w:color w:val="auto"/>
                <w:sz w:val="18"/>
                <w:szCs w:val="18"/>
                <w:highlight w:val="none"/>
                <w:lang w:val="zh-CN"/>
              </w:rPr>
            </w:r>
            <w:r>
              <w:rPr>
                <w:color w:val="auto"/>
              </w:rPr>
            </w:r>
            <w:r/>
          </w:p>
          <w:p>
            <w:pPr>
              <w:rPr>
                <w:rFonts w:ascii="宋体"/>
                <w:color w:val="auto"/>
                <w:sz w:val="18"/>
                <w:szCs w:val="18"/>
                <w:highlight w:val="none"/>
              </w:rPr>
            </w:pPr>
            <w:r>
              <w:rPr>
                <w:rFonts w:ascii="宋体" w:cs="宋体"/>
                <w:color w:val="auto"/>
                <w:sz w:val="18"/>
                <w:szCs w:val="18"/>
                <w:highlight w:val="none"/>
              </w:rPr>
              <w:t xml:space="preserve">1)</w:t>
            </w:r>
            <w:r>
              <w:rPr>
                <w:rFonts w:hint="eastAsia" w:ascii="宋体" w:cs="宋体"/>
                <w:color w:val="auto"/>
                <w:sz w:val="18"/>
                <w:szCs w:val="18"/>
                <w:highlight w:val="none"/>
                <w:lang w:val="zh-CN"/>
              </w:rPr>
              <w:t xml:space="preserve">未按时上报</w:t>
            </w:r>
            <w:r>
              <w:rPr>
                <w:color w:val="auto"/>
              </w:rPr>
            </w:r>
            <w:r/>
          </w:p>
          <w:p>
            <w:pPr>
              <w:rPr>
                <w:rFonts w:ascii="宋体"/>
                <w:color w:val="auto"/>
                <w:sz w:val="18"/>
                <w:szCs w:val="18"/>
                <w:highlight w:val="none"/>
              </w:rPr>
            </w:pPr>
            <w:r>
              <w:rPr>
                <w:rFonts w:ascii="宋体" w:cs="宋体"/>
                <w:color w:val="auto"/>
                <w:sz w:val="18"/>
                <w:szCs w:val="18"/>
                <w:highlight w:val="none"/>
              </w:rPr>
              <w:t xml:space="preserve">2)</w:t>
            </w:r>
            <w:r>
              <w:rPr>
                <w:rFonts w:hint="eastAsia" w:ascii="宋体" w:cs="宋体"/>
                <w:color w:val="auto"/>
                <w:sz w:val="18"/>
                <w:szCs w:val="18"/>
                <w:highlight w:val="none"/>
                <w:lang w:val="zh-CN"/>
              </w:rPr>
              <w:t xml:space="preserve">数据不全、不规范及不准确</w:t>
            </w:r>
            <w:r>
              <w:rPr>
                <w:color w:val="auto"/>
              </w:rPr>
            </w:r>
            <w:r/>
          </w:p>
          <w:p>
            <w:pPr>
              <w:rPr>
                <w:rFonts w:ascii="宋体"/>
                <w:color w:val="auto"/>
                <w:sz w:val="18"/>
                <w:szCs w:val="18"/>
                <w:highlight w:val="none"/>
              </w:rPr>
            </w:pPr>
            <w:r>
              <w:rPr>
                <w:rFonts w:ascii="宋体" w:cs="宋体"/>
                <w:color w:val="auto"/>
                <w:sz w:val="18"/>
                <w:szCs w:val="18"/>
                <w:highlight w:val="none"/>
              </w:rPr>
              <w:t xml:space="preserve">3)</w:t>
            </w:r>
            <w:r>
              <w:rPr>
                <w:rFonts w:hint="eastAsia" w:ascii="宋体" w:cs="宋体"/>
                <w:color w:val="auto"/>
                <w:sz w:val="18"/>
                <w:szCs w:val="18"/>
                <w:highlight w:val="none"/>
                <w:lang w:val="zh-CN"/>
              </w:rPr>
              <w:t xml:space="preserve">次月初例会前不上报</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p>
            <w:pPr>
              <w:jc w:val="center"/>
              <w:rPr>
                <w:rFonts w:ascii="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p>
            <w:pPr>
              <w:jc w:val="center"/>
              <w:rPr>
                <w:rFonts w:ascii="宋体"/>
                <w:color w:val="auto"/>
                <w:sz w:val="18"/>
                <w:szCs w:val="18"/>
                <w:highlight w:val="none"/>
              </w:rPr>
            </w:pPr>
            <w:r>
              <w:rPr>
                <w:rFonts w:ascii="宋体" w:cs="宋体"/>
                <w:color w:val="auto"/>
                <w:sz w:val="18"/>
                <w:szCs w:val="18"/>
                <w:highlight w:val="none"/>
                <w:lang w:val="zh-CN"/>
              </w:rPr>
              <w:t xml:space="preserve">-4</w:t>
            </w:r>
            <w:r>
              <w:rPr>
                <w:rFonts w:hint="eastAsia" w:ascii="宋体" w:cs="宋体"/>
                <w:color w:val="auto"/>
                <w:sz w:val="18"/>
                <w:szCs w:val="18"/>
                <w:highlight w:val="none"/>
                <w:lang w:val="zh-CN"/>
              </w:rPr>
              <w:t xml:space="preserve">分</w:t>
            </w:r>
            <w:r>
              <w:rPr>
                <w:color w:val="auto"/>
              </w:rPr>
            </w:r>
            <w:r/>
          </w:p>
        </w:tc>
      </w:tr>
      <w:tr>
        <w:trPr>
          <w:jc w:val="center"/>
          <w:trHeight w:val="1"/>
        </w:trPr>
        <w:tc>
          <w:tcPr>
            <w:shd w:val="clear" w:color="000000" w:fill="ffffff"/>
            <w:tcBorders>
              <w:left w:val="single" w:color="000000" w:sz="2" w:space="0"/>
              <w:right w:val="single" w:color="000000" w:sz="2" w:space="0"/>
            </w:tcBorders>
            <w:tcW w:w="471"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left w:val="single" w:color="000000" w:sz="2" w:space="0"/>
              <w:right w:val="single" w:color="000000" w:sz="2" w:space="0"/>
            </w:tcBorders>
            <w:tcW w:w="789"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gridSpan w:val="3"/>
            <w:shd w:val="clear" w:color="000000" w:fill="ffffff"/>
            <w:tcBorders>
              <w:top w:val="single" w:color="000000" w:sz="2" w:space="0"/>
              <w:left w:val="single" w:color="000000" w:sz="2" w:space="0"/>
              <w:bottom w:val="single" w:color="000000" w:sz="2" w:space="0"/>
              <w:right w:val="single" w:color="000000" w:sz="2" w:space="0"/>
            </w:tcBorders>
            <w:tcW w:w="3411" w:type="dxa"/>
            <w:vAlign w:val="center"/>
            <w:textDirection w:val="lrTb"/>
            <w:noWrap/>
          </w:tcPr>
          <w:p>
            <w:pPr>
              <w:jc w:val="left"/>
              <w:rPr>
                <w:rFonts w:ascii="宋体"/>
                <w:color w:val="auto"/>
                <w:sz w:val="18"/>
                <w:szCs w:val="18"/>
                <w:highlight w:val="none"/>
              </w:rPr>
            </w:pPr>
            <w:r>
              <w:rPr>
                <w:rFonts w:hint="eastAsia" w:ascii="宋体" w:cs="宋体"/>
                <w:color w:val="auto"/>
                <w:sz w:val="18"/>
                <w:szCs w:val="18"/>
                <w:highlight w:val="none"/>
                <w:lang w:val="zh-CN"/>
              </w:rPr>
              <w:t xml:space="preserve">每季度第三个月</w:t>
            </w:r>
            <w:r>
              <w:rPr>
                <w:rFonts w:ascii="宋体" w:cs="宋体"/>
                <w:color w:val="auto"/>
                <w:sz w:val="18"/>
                <w:szCs w:val="18"/>
                <w:highlight w:val="none"/>
                <w:lang w:val="zh-CN"/>
              </w:rPr>
              <w:t xml:space="preserve">25</w:t>
            </w:r>
            <w:r>
              <w:rPr>
                <w:rFonts w:hint="eastAsia" w:ascii="宋体" w:cs="宋体"/>
                <w:color w:val="auto"/>
                <w:sz w:val="18"/>
                <w:szCs w:val="18"/>
                <w:highlight w:val="none"/>
                <w:lang w:val="zh-CN"/>
              </w:rPr>
              <w:t xml:space="preserve">日前上报下季度养护计划和本季度完成清疏记录表及养护台账等资料（含管道疏通台帐、井室清掏台帐、巡查台帐、临时封堵排水管道台帐等）</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4</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textDirection w:val="lrTb"/>
            <w:noWrap/>
          </w:tcPr>
          <w:p>
            <w:pPr>
              <w:rPr>
                <w:rFonts w:ascii="宋体"/>
                <w:color w:val="auto"/>
                <w:sz w:val="18"/>
                <w:szCs w:val="18"/>
                <w:highlight w:val="none"/>
              </w:rPr>
            </w:pPr>
            <w:r>
              <w:rPr>
                <w:rFonts w:ascii="宋体"/>
                <w:color w:val="auto"/>
                <w:sz w:val="18"/>
                <w:szCs w:val="18"/>
                <w:highlight w:val="none"/>
                <w:lang w:val="zh-CN"/>
              </w:rPr>
            </w:r>
            <w:r>
              <w:rPr>
                <w:color w:val="auto"/>
              </w:rPr>
            </w:r>
            <w:r/>
          </w:p>
          <w:p>
            <w:pPr>
              <w:rPr>
                <w:rFonts w:ascii="宋体"/>
                <w:color w:val="auto"/>
                <w:sz w:val="18"/>
                <w:szCs w:val="18"/>
                <w:highlight w:val="none"/>
              </w:rPr>
            </w:pPr>
            <w:r>
              <w:rPr>
                <w:rFonts w:ascii="宋体" w:cs="宋体"/>
                <w:color w:val="auto"/>
                <w:sz w:val="18"/>
                <w:szCs w:val="18"/>
                <w:highlight w:val="none"/>
              </w:rPr>
              <w:t xml:space="preserve">1)</w:t>
            </w:r>
            <w:r>
              <w:rPr>
                <w:rFonts w:hint="eastAsia" w:ascii="宋体" w:cs="宋体"/>
                <w:color w:val="auto"/>
                <w:sz w:val="18"/>
                <w:szCs w:val="18"/>
                <w:highlight w:val="none"/>
                <w:lang w:val="zh-CN"/>
              </w:rPr>
              <w:t xml:space="preserve">未按时上报</w:t>
            </w:r>
            <w:r>
              <w:rPr>
                <w:color w:val="auto"/>
              </w:rPr>
            </w:r>
            <w:r/>
          </w:p>
          <w:p>
            <w:pPr>
              <w:rPr>
                <w:rFonts w:ascii="宋体"/>
                <w:color w:val="auto"/>
                <w:sz w:val="18"/>
                <w:szCs w:val="18"/>
                <w:highlight w:val="none"/>
              </w:rPr>
            </w:pPr>
            <w:r>
              <w:rPr>
                <w:rFonts w:ascii="宋体" w:cs="宋体"/>
                <w:color w:val="auto"/>
                <w:sz w:val="18"/>
                <w:szCs w:val="18"/>
                <w:highlight w:val="none"/>
              </w:rPr>
              <w:t xml:space="preserve">2)</w:t>
            </w:r>
            <w:r>
              <w:rPr>
                <w:rFonts w:hint="eastAsia" w:ascii="宋体" w:cs="宋体"/>
                <w:color w:val="auto"/>
                <w:sz w:val="18"/>
                <w:szCs w:val="18"/>
                <w:highlight w:val="none"/>
                <w:lang w:val="zh-CN"/>
              </w:rPr>
              <w:t xml:space="preserve">不全、不规范及不准确</w:t>
            </w:r>
            <w:r>
              <w:rPr>
                <w:color w:val="auto"/>
              </w:rPr>
            </w:r>
            <w:r/>
          </w:p>
          <w:p>
            <w:pPr>
              <w:rPr>
                <w:rFonts w:ascii="宋体"/>
                <w:color w:val="auto"/>
                <w:sz w:val="18"/>
                <w:szCs w:val="18"/>
                <w:highlight w:val="none"/>
              </w:rPr>
            </w:pPr>
            <w:r>
              <w:rPr>
                <w:rFonts w:ascii="宋体" w:cs="宋体"/>
                <w:color w:val="auto"/>
                <w:sz w:val="18"/>
                <w:szCs w:val="18"/>
                <w:highlight w:val="none"/>
              </w:rPr>
              <w:t xml:space="preserve">3)</w:t>
            </w:r>
            <w:r>
              <w:rPr>
                <w:rFonts w:hint="eastAsia" w:ascii="宋体" w:cs="宋体"/>
                <w:color w:val="auto"/>
                <w:sz w:val="18"/>
                <w:szCs w:val="18"/>
                <w:highlight w:val="none"/>
                <w:lang w:val="zh-CN"/>
              </w:rPr>
              <w:t xml:space="preserve">逾期一月不上报</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p>
            <w:pPr>
              <w:jc w:val="center"/>
              <w:rPr>
                <w:rFonts w:ascii="宋体"/>
                <w:color w:val="auto"/>
                <w:sz w:val="18"/>
                <w:szCs w:val="18"/>
                <w:highlight w:val="none"/>
              </w:rPr>
            </w:pPr>
            <w:r>
              <w:rPr>
                <w:rFonts w:ascii="宋体" w:cs="宋体"/>
                <w:color w:val="auto"/>
                <w:sz w:val="18"/>
                <w:szCs w:val="18"/>
                <w:highlight w:val="none"/>
                <w:lang w:val="zh-CN"/>
              </w:rPr>
              <w:t xml:space="preserve">-3</w:t>
            </w:r>
            <w:r>
              <w:rPr>
                <w:rFonts w:hint="eastAsia" w:ascii="宋体" w:cs="宋体"/>
                <w:color w:val="auto"/>
                <w:sz w:val="18"/>
                <w:szCs w:val="18"/>
                <w:highlight w:val="none"/>
                <w:lang w:val="zh-CN"/>
              </w:rPr>
              <w:t xml:space="preserve">分</w:t>
            </w:r>
            <w:r>
              <w:rPr>
                <w:color w:val="auto"/>
              </w:rPr>
            </w:r>
            <w:r/>
          </w:p>
          <w:p>
            <w:pPr>
              <w:jc w:val="center"/>
              <w:rPr>
                <w:rFonts w:ascii="宋体"/>
                <w:color w:val="auto"/>
                <w:sz w:val="18"/>
                <w:szCs w:val="18"/>
                <w:highlight w:val="none"/>
              </w:rPr>
            </w:pPr>
            <w:r>
              <w:rPr>
                <w:rFonts w:ascii="宋体" w:cs="宋体"/>
                <w:color w:val="auto"/>
                <w:sz w:val="18"/>
                <w:szCs w:val="18"/>
                <w:highlight w:val="none"/>
                <w:lang w:val="zh-CN"/>
              </w:rPr>
              <w:t xml:space="preserve">-4</w:t>
            </w:r>
            <w:r>
              <w:rPr>
                <w:rFonts w:hint="eastAsia" w:ascii="宋体" w:cs="宋体"/>
                <w:color w:val="auto"/>
                <w:sz w:val="18"/>
                <w:szCs w:val="18"/>
                <w:highlight w:val="none"/>
                <w:lang w:val="zh-CN"/>
              </w:rPr>
              <w:t xml:space="preserve">分</w:t>
            </w:r>
            <w:r>
              <w:rPr>
                <w:color w:val="auto"/>
              </w:rPr>
            </w:r>
            <w:r/>
          </w:p>
        </w:tc>
      </w:tr>
      <w:tr>
        <w:trPr>
          <w:jc w:val="center"/>
          <w:trHeight w:val="1"/>
        </w:trPr>
        <w:tc>
          <w:tcPr>
            <w:shd w:val="clear" w:color="000000" w:fill="ffffff"/>
            <w:tcBorders>
              <w:left w:val="single" w:color="000000" w:sz="2" w:space="0"/>
              <w:right w:val="single" w:color="000000" w:sz="2" w:space="0"/>
            </w:tcBorders>
            <w:tcW w:w="471"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left w:val="single" w:color="000000" w:sz="2" w:space="0"/>
              <w:right w:val="single" w:color="000000" w:sz="2" w:space="0"/>
            </w:tcBorders>
            <w:tcW w:w="789"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gridSpan w:val="3"/>
            <w:shd w:val="clear" w:color="000000" w:fill="ffffff"/>
            <w:tcBorders>
              <w:top w:val="single" w:color="000000" w:sz="2" w:space="0"/>
              <w:left w:val="single" w:color="000000" w:sz="2" w:space="0"/>
              <w:bottom w:val="single" w:color="000000" w:sz="2" w:space="0"/>
              <w:right w:val="single" w:color="000000" w:sz="2" w:space="0"/>
            </w:tcBorders>
            <w:tcW w:w="3411" w:type="dxa"/>
            <w:vAlign w:val="center"/>
            <w:textDirection w:val="lrTb"/>
            <w:noWrap/>
          </w:tcPr>
          <w:p>
            <w:pPr>
              <w:jc w:val="left"/>
              <w:rPr>
                <w:rFonts w:ascii="宋体"/>
                <w:color w:val="auto"/>
                <w:sz w:val="18"/>
                <w:szCs w:val="18"/>
                <w:highlight w:val="none"/>
              </w:rPr>
            </w:pPr>
            <w:r>
              <w:rPr>
                <w:rFonts w:hint="eastAsia" w:ascii="宋体" w:cs="宋体"/>
                <w:color w:val="auto"/>
                <w:sz w:val="18"/>
                <w:szCs w:val="18"/>
                <w:highlight w:val="none"/>
                <w:lang w:val="zh-CN"/>
              </w:rPr>
              <w:t xml:space="preserve">根据养护作业具体内容制定齐全的规章制度及设置合理的组织机构</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4</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jc w:val="left"/>
              <w:rPr>
                <w:rFonts w:ascii="宋体"/>
                <w:color w:val="auto"/>
                <w:sz w:val="18"/>
                <w:szCs w:val="18"/>
                <w:highlight w:val="none"/>
              </w:rPr>
            </w:pPr>
            <w:r>
              <w:rPr>
                <w:rFonts w:ascii="宋体" w:cs="宋体"/>
                <w:color w:val="auto"/>
                <w:sz w:val="18"/>
                <w:szCs w:val="18"/>
                <w:highlight w:val="none"/>
              </w:rPr>
              <w:t xml:space="preserve">1)</w:t>
            </w:r>
            <w:r>
              <w:rPr>
                <w:rFonts w:hint="eastAsia" w:ascii="宋体" w:cs="宋体"/>
                <w:color w:val="auto"/>
                <w:sz w:val="18"/>
                <w:szCs w:val="18"/>
                <w:highlight w:val="none"/>
                <w:lang w:val="zh-CN"/>
              </w:rPr>
              <w:t xml:space="preserve">不全、不规范及不合理</w:t>
            </w:r>
            <w:r>
              <w:rPr>
                <w:color w:val="auto"/>
              </w:rPr>
            </w:r>
            <w:r/>
          </w:p>
          <w:p>
            <w:pPr>
              <w:jc w:val="left"/>
              <w:rPr>
                <w:rFonts w:ascii="宋体"/>
                <w:color w:val="auto"/>
                <w:sz w:val="18"/>
                <w:szCs w:val="18"/>
                <w:highlight w:val="none"/>
              </w:rPr>
            </w:pPr>
            <w:r>
              <w:rPr>
                <w:rFonts w:ascii="宋体" w:cs="宋体"/>
                <w:color w:val="auto"/>
                <w:sz w:val="18"/>
                <w:szCs w:val="18"/>
                <w:highlight w:val="none"/>
              </w:rPr>
              <w:t xml:space="preserve">2)</w:t>
            </w:r>
            <w:r>
              <w:rPr>
                <w:rFonts w:hint="eastAsia" w:ascii="宋体" w:cs="宋体"/>
                <w:color w:val="auto"/>
                <w:sz w:val="18"/>
                <w:szCs w:val="18"/>
                <w:highlight w:val="none"/>
                <w:lang w:val="zh-CN"/>
              </w:rPr>
              <w:t xml:space="preserve">未制定</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p>
            <w:pPr>
              <w:jc w:val="center"/>
              <w:rPr>
                <w:rFonts w:ascii="宋体"/>
                <w:color w:val="auto"/>
                <w:sz w:val="18"/>
                <w:szCs w:val="18"/>
                <w:highlight w:val="none"/>
              </w:rPr>
            </w:pPr>
            <w:r>
              <w:rPr>
                <w:rFonts w:ascii="宋体" w:cs="宋体"/>
                <w:color w:val="auto"/>
                <w:sz w:val="18"/>
                <w:szCs w:val="18"/>
                <w:highlight w:val="none"/>
                <w:lang w:val="zh-CN"/>
              </w:rPr>
              <w:t xml:space="preserve">-4</w:t>
            </w:r>
            <w:r>
              <w:rPr>
                <w:rFonts w:hint="eastAsia" w:ascii="宋体" w:cs="宋体"/>
                <w:color w:val="auto"/>
                <w:sz w:val="18"/>
                <w:szCs w:val="18"/>
                <w:highlight w:val="none"/>
                <w:lang w:val="zh-CN"/>
              </w:rPr>
              <w:t xml:space="preserve">分</w:t>
            </w:r>
            <w:r>
              <w:rPr>
                <w:color w:val="auto"/>
              </w:rPr>
            </w:r>
            <w:r/>
          </w:p>
        </w:tc>
      </w:tr>
      <w:tr>
        <w:trPr>
          <w:jc w:val="center"/>
          <w:trHeight w:val="1"/>
        </w:trPr>
        <w:tc>
          <w:tcPr>
            <w:shd w:val="clear" w:color="000000" w:fill="ffffff"/>
            <w:tcBorders>
              <w:left w:val="single" w:color="000000" w:sz="2" w:space="0"/>
              <w:right w:val="single" w:color="000000" w:sz="2" w:space="0"/>
            </w:tcBorders>
            <w:tcW w:w="471"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left w:val="single" w:color="000000" w:sz="2" w:space="0"/>
              <w:right w:val="single" w:color="000000" w:sz="2" w:space="0"/>
            </w:tcBorders>
            <w:tcW w:w="789"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gridSpan w:val="3"/>
            <w:shd w:val="clear" w:color="000000" w:fill="ffffff"/>
            <w:tcBorders>
              <w:top w:val="single" w:color="000000" w:sz="2" w:space="0"/>
              <w:left w:val="single" w:color="000000" w:sz="2" w:space="0"/>
              <w:bottom w:val="single" w:color="000000" w:sz="2" w:space="0"/>
              <w:right w:val="single" w:color="000000" w:sz="2" w:space="0"/>
            </w:tcBorders>
            <w:tcW w:w="3411" w:type="dxa"/>
            <w:vAlign w:val="center"/>
            <w:textDirection w:val="lrTb"/>
            <w:noWrap/>
          </w:tcPr>
          <w:p>
            <w:pPr>
              <w:jc w:val="left"/>
              <w:rPr>
                <w:rFonts w:ascii="宋体"/>
                <w:color w:val="auto"/>
                <w:sz w:val="18"/>
                <w:szCs w:val="18"/>
                <w:highlight w:val="none"/>
              </w:rPr>
            </w:pPr>
            <w:r>
              <w:rPr>
                <w:rFonts w:hint="eastAsia" w:ascii="宋体" w:cs="宋体"/>
                <w:color w:val="auto"/>
                <w:sz w:val="18"/>
                <w:szCs w:val="18"/>
                <w:highlight w:val="none"/>
                <w:lang w:val="zh-CN"/>
              </w:rPr>
              <w:t xml:space="preserve">按照采购方要求及养护计划配置齐全及落实相应的养护作业人员、车辆设备、工具及有毒气体检测仪器等</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4</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textDirection w:val="lrTb"/>
            <w:noWrap/>
          </w:tcPr>
          <w:p>
            <w:pPr>
              <w:tabs>
                <w:tab w:val="left" w:pos="840" w:leader="none"/>
              </w:tabs>
              <w:rPr>
                <w:rFonts w:ascii="宋体"/>
                <w:color w:val="auto"/>
                <w:sz w:val="18"/>
                <w:szCs w:val="18"/>
                <w:highlight w:val="none"/>
              </w:rPr>
            </w:pPr>
            <w:r>
              <w:rPr>
                <w:rFonts w:ascii="宋体" w:cs="宋体"/>
                <w:color w:val="auto"/>
                <w:sz w:val="18"/>
                <w:szCs w:val="18"/>
                <w:highlight w:val="none"/>
              </w:rPr>
              <w:t xml:space="preserve">1)</w:t>
            </w:r>
            <w:r>
              <w:rPr>
                <w:rFonts w:hint="eastAsia" w:ascii="宋体" w:cs="宋体"/>
                <w:color w:val="auto"/>
                <w:sz w:val="18"/>
                <w:szCs w:val="18"/>
                <w:highlight w:val="none"/>
                <w:lang w:val="zh-CN"/>
              </w:rPr>
              <w:t xml:space="preserve">与要求或上报的计划中配置不相符</w:t>
            </w:r>
            <w:r>
              <w:rPr>
                <w:color w:val="auto"/>
              </w:rPr>
            </w:r>
            <w:r/>
          </w:p>
          <w:p>
            <w:pPr>
              <w:tabs>
                <w:tab w:val="left" w:pos="840" w:leader="none"/>
              </w:tabs>
              <w:rPr>
                <w:rFonts w:ascii="宋体"/>
                <w:color w:val="auto"/>
                <w:sz w:val="18"/>
                <w:szCs w:val="18"/>
                <w:highlight w:val="none"/>
              </w:rPr>
            </w:pPr>
            <w:r>
              <w:rPr>
                <w:rFonts w:ascii="宋体" w:cs="宋体"/>
                <w:color w:val="auto"/>
                <w:sz w:val="18"/>
                <w:szCs w:val="18"/>
                <w:highlight w:val="none"/>
              </w:rPr>
              <w:t xml:space="preserve">2)</w:t>
            </w:r>
            <w:r>
              <w:rPr>
                <w:rFonts w:hint="eastAsia" w:ascii="宋体" w:cs="宋体"/>
                <w:color w:val="auto"/>
                <w:sz w:val="18"/>
                <w:szCs w:val="18"/>
                <w:highlight w:val="none"/>
                <w:lang w:val="zh-CN"/>
              </w:rPr>
              <w:t xml:space="preserve">作业人员的相关证件不齐</w:t>
            </w:r>
            <w:r>
              <w:rPr>
                <w:color w:val="auto"/>
              </w:rPr>
            </w:r>
            <w:r/>
          </w:p>
          <w:p>
            <w:pPr>
              <w:tabs>
                <w:tab w:val="left" w:pos="840" w:leader="none"/>
              </w:tabs>
              <w:rPr>
                <w:rFonts w:ascii="宋体"/>
                <w:color w:val="auto"/>
                <w:sz w:val="18"/>
                <w:szCs w:val="18"/>
                <w:highlight w:val="none"/>
              </w:rPr>
            </w:pPr>
            <w:r>
              <w:rPr>
                <w:rFonts w:ascii="宋体" w:cs="宋体"/>
                <w:color w:val="auto"/>
                <w:sz w:val="18"/>
                <w:szCs w:val="18"/>
                <w:highlight w:val="none"/>
              </w:rPr>
              <w:t xml:space="preserve">3)</w:t>
            </w:r>
            <w:r>
              <w:rPr>
                <w:rFonts w:hint="eastAsia" w:ascii="宋体" w:cs="宋体"/>
                <w:color w:val="auto"/>
                <w:sz w:val="18"/>
                <w:szCs w:val="18"/>
                <w:highlight w:val="none"/>
                <w:lang w:val="zh-CN"/>
              </w:rPr>
              <w:t xml:space="preserve">养护车辆设备工具及仪器不齐</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p>
            <w:pPr>
              <w:ind w:firstLine="180"/>
              <w:rPr>
                <w:rFonts w:ascii="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p>
            <w:pPr>
              <w:jc w:val="center"/>
              <w:rPr>
                <w:rFonts w:ascii="宋体"/>
                <w:color w:val="auto"/>
                <w:sz w:val="18"/>
                <w:szCs w:val="18"/>
                <w:highlight w:val="none"/>
              </w:rPr>
            </w:pPr>
            <w:r>
              <w:rPr>
                <w:rFonts w:ascii="宋体" w:cs="宋体"/>
                <w:color w:val="auto"/>
                <w:sz w:val="18"/>
                <w:szCs w:val="18"/>
                <w:highlight w:val="none"/>
                <w:lang w:val="zh-CN"/>
              </w:rPr>
              <w:t xml:space="preserve">-3</w:t>
            </w:r>
            <w:r>
              <w:rPr>
                <w:rFonts w:hint="eastAsia" w:ascii="宋体" w:cs="宋体"/>
                <w:color w:val="auto"/>
                <w:sz w:val="18"/>
                <w:szCs w:val="18"/>
                <w:highlight w:val="none"/>
                <w:lang w:val="zh-CN"/>
              </w:rPr>
              <w:t xml:space="preserve">分</w:t>
            </w:r>
            <w:r>
              <w:rPr>
                <w:color w:val="auto"/>
              </w:rPr>
            </w:r>
            <w:r/>
          </w:p>
        </w:tc>
      </w:tr>
      <w:tr>
        <w:trPr>
          <w:jc w:val="center"/>
          <w:trHeight w:val="1"/>
        </w:trPr>
        <w:tc>
          <w:tcPr>
            <w:shd w:val="clear" w:color="000000" w:fill="ffffff"/>
            <w:tcBorders>
              <w:left w:val="single" w:color="000000" w:sz="2" w:space="0"/>
              <w:bottom w:val="single" w:color="000000" w:sz="2" w:space="0"/>
              <w:right w:val="single" w:color="000000" w:sz="2" w:space="0"/>
            </w:tcBorders>
            <w:tcW w:w="471"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left w:val="single" w:color="000000" w:sz="2" w:space="0"/>
              <w:bottom w:val="single" w:color="000000" w:sz="2" w:space="0"/>
              <w:right w:val="single" w:color="000000" w:sz="2" w:space="0"/>
            </w:tcBorders>
            <w:tcW w:w="789"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gridSpan w:val="3"/>
            <w:shd w:val="clear" w:color="000000" w:fill="ffffff"/>
            <w:tcBorders>
              <w:top w:val="single" w:color="000000" w:sz="2" w:space="0"/>
              <w:left w:val="single" w:color="000000" w:sz="2" w:space="0"/>
              <w:bottom w:val="single" w:color="000000" w:sz="2" w:space="0"/>
              <w:right w:val="single" w:color="000000" w:sz="2" w:space="0"/>
            </w:tcBorders>
            <w:tcW w:w="3411" w:type="dxa"/>
            <w:vAlign w:val="center"/>
            <w:textDirection w:val="lrTb"/>
            <w:noWrap/>
          </w:tcPr>
          <w:p>
            <w:pPr>
              <w:jc w:val="left"/>
              <w:rPr>
                <w:rFonts w:ascii="宋体" w:cs="宋体"/>
                <w:color w:val="auto"/>
                <w:sz w:val="18"/>
                <w:szCs w:val="18"/>
                <w:highlight w:val="none"/>
              </w:rPr>
            </w:pPr>
            <w:r>
              <w:rPr>
                <w:rFonts w:hint="eastAsia" w:ascii="宋体" w:cs="宋体"/>
                <w:color w:val="auto"/>
                <w:sz w:val="18"/>
                <w:szCs w:val="18"/>
                <w:highlight w:val="none"/>
                <w:lang w:val="zh-CN"/>
              </w:rPr>
              <w:t xml:space="preserve">因排水口混流，养护单位未及时上报并未查明原因导致考核扣分或通报批评</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4</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jc w:val="left"/>
              <w:tabs>
                <w:tab w:val="left" w:pos="840" w:leader="none"/>
              </w:tabs>
              <w:rPr>
                <w:rFonts w:ascii="宋体" w:cs="宋体"/>
                <w:color w:val="auto"/>
                <w:sz w:val="18"/>
                <w:szCs w:val="18"/>
                <w:highlight w:val="none"/>
              </w:rPr>
            </w:pPr>
            <w:r>
              <w:rPr>
                <w:rFonts w:hint="eastAsia" w:ascii="宋体" w:cs="宋体"/>
                <w:color w:val="auto"/>
                <w:sz w:val="18"/>
                <w:szCs w:val="18"/>
                <w:highlight w:val="none"/>
              </w:rPr>
              <w:t xml:space="preserve">有一个点</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w:t>
            </w: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分</w:t>
            </w:r>
            <w:r>
              <w:rPr>
                <w:color w:val="auto"/>
              </w:rPr>
            </w:r>
            <w:r/>
          </w:p>
        </w:tc>
      </w:tr>
      <w:tr>
        <w:trPr>
          <w:jc w:val="center"/>
          <w:trHeight w:val="1048"/>
        </w:trPr>
        <w:tc>
          <w:tcPr>
            <w:shd w:val="clear" w:color="000000" w:fill="ffffff"/>
            <w:tcBorders>
              <w:top w:val="single" w:color="000000" w:sz="2" w:space="0"/>
              <w:left w:val="single" w:color="000000" w:sz="2" w:space="0"/>
              <w:bottom w:val="single" w:color="000000" w:sz="2" w:space="0"/>
              <w:right w:val="single" w:color="000000" w:sz="2" w:space="0"/>
            </w:tcBorders>
            <w:tcW w:w="471" w:type="dxa"/>
            <w:vAlign w:val="center"/>
            <w:vMerge w:val="restart"/>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2</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vMerge w:val="restart"/>
            <w:textDirection w:val="lrTb"/>
            <w:noWrap/>
          </w:tcPr>
          <w:p>
            <w:pPr>
              <w:jc w:val="center"/>
              <w:rPr>
                <w:rFonts w:ascii="宋体"/>
                <w:color w:val="auto"/>
                <w:sz w:val="18"/>
                <w:szCs w:val="18"/>
                <w:highlight w:val="none"/>
              </w:rPr>
            </w:pPr>
            <w:r>
              <w:rPr>
                <w:rFonts w:hint="eastAsia" w:ascii="宋体" w:cs="宋体"/>
                <w:color w:val="auto"/>
                <w:sz w:val="18"/>
                <w:szCs w:val="18"/>
                <w:highlight w:val="none"/>
                <w:lang w:val="zh-CN"/>
              </w:rPr>
              <w:t xml:space="preserve">养护工作质量要求</w:t>
            </w:r>
            <w:r>
              <w:rPr>
                <w:color w:val="auto"/>
              </w:rPr>
            </w:r>
            <w:r/>
          </w:p>
          <w:p>
            <w:pPr>
              <w:jc w:val="center"/>
              <w:rPr>
                <w:rFonts w:ascii="宋体"/>
                <w:color w:val="auto"/>
                <w:sz w:val="18"/>
                <w:szCs w:val="18"/>
                <w:highlight w:val="none"/>
              </w:rPr>
            </w:pPr>
            <w:r>
              <w:rPr>
                <w:rFonts w:ascii="宋体"/>
                <w:color w:val="auto"/>
                <w:sz w:val="18"/>
                <w:szCs w:val="18"/>
                <w:highlight w:val="none"/>
                <w:lang w:val="zh-CN"/>
              </w:rPr>
            </w:r>
            <w:r>
              <w:rPr>
                <w:color w:val="auto"/>
              </w:rPr>
            </w:r>
            <w:r/>
          </w:p>
          <w:p>
            <w:pPr>
              <w:jc w:val="center"/>
              <w:rPr>
                <w:rFonts w:ascii="宋体"/>
                <w:color w:val="auto"/>
                <w:sz w:val="18"/>
                <w:szCs w:val="18"/>
                <w:highlight w:val="none"/>
              </w:rPr>
            </w:pPr>
            <w:r>
              <w:rPr>
                <w:rFonts w:ascii="宋体" w:cs="宋体"/>
                <w:color w:val="auto"/>
                <w:sz w:val="18"/>
                <w:szCs w:val="18"/>
                <w:highlight w:val="none"/>
                <w:lang w:val="zh-CN"/>
              </w:rPr>
              <w:t xml:space="preserve">30</w:t>
            </w:r>
            <w:r>
              <w:rPr>
                <w:rFonts w:hint="eastAsia" w:ascii="宋体" w:cs="宋体"/>
                <w:color w:val="auto"/>
                <w:sz w:val="18"/>
                <w:szCs w:val="18"/>
                <w:highlight w:val="none"/>
                <w:lang w:val="zh-CN"/>
              </w:rPr>
              <w:t xml:space="preserve">分</w:t>
            </w:r>
            <w:r>
              <w:rPr>
                <w:color w:val="auto"/>
              </w:rPr>
            </w:r>
            <w:r/>
          </w:p>
        </w:tc>
        <w:tc>
          <w:tcPr>
            <w:gridSpan w:val="3"/>
            <w:shd w:val="clear" w:color="000000" w:fill="ffffff"/>
            <w:tcBorders>
              <w:top w:val="single" w:color="000000" w:sz="2" w:space="0"/>
              <w:left w:val="single" w:color="000000" w:sz="2" w:space="0"/>
              <w:bottom w:val="single" w:color="000000" w:sz="2" w:space="0"/>
              <w:right w:val="single" w:color="000000" w:sz="2" w:space="0"/>
            </w:tcBorders>
            <w:tcW w:w="3411" w:type="dxa"/>
            <w:vAlign w:val="center"/>
            <w:textDirection w:val="lrTb"/>
            <w:noWrap/>
          </w:tcPr>
          <w:p>
            <w:pPr>
              <w:jc w:val="left"/>
              <w:rPr>
                <w:rFonts w:ascii="宋体"/>
                <w:color w:val="auto"/>
                <w:sz w:val="18"/>
                <w:szCs w:val="18"/>
                <w:highlight w:val="none"/>
              </w:rPr>
            </w:pPr>
            <w:r>
              <w:rPr>
                <w:rFonts w:hint="eastAsia" w:ascii="宋体" w:cs="宋体"/>
                <w:color w:val="auto"/>
                <w:sz w:val="18"/>
                <w:szCs w:val="18"/>
                <w:highlight w:val="none"/>
                <w:lang w:val="zh-CN"/>
              </w:rPr>
              <w:t xml:space="preserve">管道及检查井不允许有破损，一有发现应立即按程序进行上报并</w:t>
            </w:r>
            <w:r>
              <w:rPr>
                <w:rFonts w:hint="eastAsia" w:ascii="宋体" w:cs="宋体"/>
                <w:color w:val="auto"/>
                <w:sz w:val="18"/>
                <w:szCs w:val="18"/>
                <w:highlight w:val="none"/>
              </w:rPr>
              <w:t xml:space="preserve">查明原因</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rPr>
              <w:t xml:space="preserve">0</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rPr>
                <w:rFonts w:ascii="宋体"/>
                <w:color w:val="auto"/>
                <w:sz w:val="18"/>
                <w:szCs w:val="18"/>
                <w:highlight w:val="none"/>
              </w:rPr>
            </w:pPr>
            <w:r>
              <w:rPr>
                <w:rFonts w:hint="eastAsia" w:ascii="宋体" w:cs="宋体"/>
                <w:color w:val="auto"/>
                <w:sz w:val="18"/>
                <w:szCs w:val="18"/>
                <w:highlight w:val="none"/>
              </w:rPr>
              <w:t xml:space="preserve">1）</w:t>
            </w:r>
            <w:r>
              <w:rPr>
                <w:rFonts w:hint="eastAsia" w:ascii="宋体" w:cs="宋体"/>
                <w:color w:val="auto"/>
                <w:sz w:val="18"/>
                <w:szCs w:val="18"/>
                <w:highlight w:val="none"/>
                <w:lang w:val="zh-CN"/>
              </w:rPr>
              <w:t xml:space="preserve">管道及检查井内有破损，不及时</w:t>
            </w:r>
            <w:r>
              <w:rPr>
                <w:rFonts w:hint="eastAsia" w:ascii="宋体" w:cs="宋体"/>
                <w:color w:val="auto"/>
                <w:sz w:val="18"/>
                <w:szCs w:val="18"/>
                <w:highlight w:val="none"/>
              </w:rPr>
              <w:t xml:space="preserve">上报</w:t>
            </w:r>
            <w:r>
              <w:rPr>
                <w:rFonts w:hint="eastAsia" w:ascii="宋体" w:cs="宋体"/>
                <w:color w:val="auto"/>
                <w:sz w:val="18"/>
                <w:szCs w:val="18"/>
                <w:highlight w:val="none"/>
                <w:lang w:val="zh-CN"/>
              </w:rPr>
              <w:t xml:space="preserve">，每处</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w:t>
            </w:r>
            <w:r>
              <w:rPr>
                <w:rFonts w:hint="eastAsia" w:ascii="宋体" w:cs="宋体"/>
                <w:color w:val="auto"/>
                <w:sz w:val="18"/>
                <w:szCs w:val="18"/>
                <w:highlight w:val="none"/>
              </w:rPr>
              <w:t xml:space="preserve">2</w:t>
            </w:r>
            <w:r>
              <w:rPr>
                <w:rFonts w:hint="eastAsia" w:ascii="宋体" w:cs="宋体"/>
                <w:color w:val="auto"/>
                <w:sz w:val="18"/>
                <w:szCs w:val="18"/>
                <w:highlight w:val="none"/>
                <w:lang w:val="zh-CN"/>
              </w:rPr>
              <w:t xml:space="preserve">分</w:t>
            </w:r>
            <w:r>
              <w:rPr>
                <w:color w:val="auto"/>
              </w:rPr>
            </w:r>
            <w:r/>
          </w:p>
          <w:p>
            <w:pPr>
              <w:jc w:val="center"/>
              <w:rPr>
                <w:rFonts w:ascii="宋体"/>
                <w:color w:val="auto"/>
                <w:sz w:val="18"/>
                <w:szCs w:val="18"/>
                <w:highlight w:val="none"/>
              </w:rPr>
            </w:pPr>
            <w:r>
              <w:rPr>
                <w:rFonts w:ascii="宋体"/>
                <w:color w:val="auto"/>
                <w:sz w:val="18"/>
                <w:szCs w:val="18"/>
                <w:highlight w:val="none"/>
                <w:lang w:val="zh-CN"/>
              </w:rPr>
            </w:r>
            <w:r>
              <w:rPr>
                <w:color w:val="auto"/>
              </w:rPr>
            </w:r>
            <w:r/>
          </w:p>
        </w:tc>
      </w:tr>
      <w:tr>
        <w:trPr>
          <w:jc w:val="center"/>
          <w:trHeight w:val="1048"/>
        </w:trPr>
        <w:tc>
          <w:tcPr>
            <w:shd w:val="clear" w:color="000000" w:fill="ffffff"/>
            <w:tcBorders>
              <w:top w:val="single" w:color="000000" w:sz="2" w:space="0"/>
              <w:left w:val="single" w:color="000000" w:sz="2" w:space="0"/>
              <w:bottom w:val="single" w:color="000000" w:sz="2" w:space="0"/>
              <w:right w:val="single" w:color="000000" w:sz="2" w:space="0"/>
            </w:tcBorders>
            <w:tcW w:w="471"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gridSpan w:val="3"/>
            <w:shd w:val="clear" w:color="000000" w:fill="ffffff"/>
            <w:tcBorders>
              <w:top w:val="single" w:color="000000" w:sz="2" w:space="0"/>
              <w:left w:val="single" w:color="000000" w:sz="2" w:space="0"/>
              <w:bottom w:val="single" w:color="000000" w:sz="2" w:space="0"/>
              <w:right w:val="single" w:color="000000" w:sz="2" w:space="0"/>
            </w:tcBorders>
            <w:tcW w:w="3411" w:type="dxa"/>
            <w:vAlign w:val="center"/>
            <w:textDirection w:val="lrTb"/>
            <w:noWrap/>
          </w:tcPr>
          <w:p>
            <w:pPr>
              <w:jc w:val="left"/>
              <w:rPr>
                <w:rFonts w:ascii="宋体"/>
                <w:color w:val="auto"/>
                <w:sz w:val="18"/>
                <w:szCs w:val="18"/>
                <w:highlight w:val="none"/>
              </w:rPr>
            </w:pPr>
            <w:r>
              <w:rPr>
                <w:rFonts w:hint="eastAsia" w:ascii="宋体" w:cs="宋体"/>
                <w:color w:val="auto"/>
                <w:sz w:val="18"/>
                <w:szCs w:val="18"/>
                <w:highlight w:val="none"/>
                <w:lang w:val="zh-CN"/>
              </w:rPr>
              <w:t xml:space="preserve">管道及检查井内不得留有石块等阻碍排水的杂物，其允许积泥深度应符合规定要求</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olor w:val="auto"/>
                <w:sz w:val="18"/>
                <w:szCs w:val="18"/>
                <w:highlight w:val="none"/>
              </w:rPr>
            </w:pPr>
            <w:r>
              <w:rPr>
                <w:rFonts w:hint="eastAsia" w:ascii="宋体" w:cs="宋体"/>
                <w:color w:val="auto"/>
                <w:sz w:val="18"/>
                <w:szCs w:val="18"/>
                <w:highlight w:val="none"/>
              </w:rPr>
              <w:t xml:space="preserve">5</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rPr>
                <w:rFonts w:ascii="宋体"/>
                <w:color w:val="auto"/>
                <w:sz w:val="18"/>
                <w:szCs w:val="18"/>
                <w:highlight w:val="none"/>
              </w:rPr>
            </w:pPr>
            <w:r>
              <w:rPr>
                <w:rFonts w:ascii="宋体" w:cs="宋体"/>
                <w:color w:val="auto"/>
                <w:sz w:val="18"/>
                <w:szCs w:val="18"/>
                <w:highlight w:val="none"/>
              </w:rPr>
              <w:t xml:space="preserve">1</w:t>
            </w:r>
            <w:r>
              <w:rPr>
                <w:rFonts w:hint="eastAsia" w:ascii="宋体" w:cs="宋体"/>
                <w:color w:val="auto"/>
                <w:sz w:val="18"/>
                <w:szCs w:val="18"/>
                <w:highlight w:val="none"/>
              </w:rPr>
              <w:t xml:space="preserve">）</w:t>
            </w:r>
            <w:r>
              <w:rPr>
                <w:rFonts w:hint="eastAsia" w:ascii="宋体" w:cs="宋体"/>
                <w:color w:val="auto"/>
                <w:sz w:val="18"/>
                <w:szCs w:val="18"/>
                <w:highlight w:val="none"/>
                <w:lang w:val="zh-CN"/>
              </w:rPr>
              <w:t xml:space="preserve">出现污水冒溢现象（突发事件除外），每次</w:t>
            </w:r>
            <w:r>
              <w:rPr>
                <w:color w:val="auto"/>
              </w:rPr>
            </w:r>
            <w:r/>
          </w:p>
          <w:p>
            <w:pPr>
              <w:rPr>
                <w:rFonts w:ascii="宋体"/>
                <w:color w:val="auto"/>
                <w:sz w:val="18"/>
                <w:szCs w:val="18"/>
                <w:highlight w:val="none"/>
              </w:rPr>
            </w:pPr>
            <w:r>
              <w:rPr>
                <w:rFonts w:ascii="宋体" w:cs="宋体"/>
                <w:color w:val="auto"/>
                <w:sz w:val="18"/>
                <w:szCs w:val="18"/>
                <w:highlight w:val="none"/>
              </w:rPr>
              <w:t xml:space="preserve">2</w:t>
            </w:r>
            <w:r>
              <w:rPr>
                <w:rFonts w:hint="eastAsia" w:ascii="宋体" w:cs="宋体"/>
                <w:color w:val="auto"/>
                <w:sz w:val="18"/>
                <w:szCs w:val="18"/>
                <w:highlight w:val="none"/>
              </w:rPr>
              <w:t xml:space="preserve">）</w:t>
            </w:r>
            <w:r>
              <w:rPr>
                <w:rFonts w:hint="eastAsia" w:ascii="宋体" w:cs="宋体"/>
                <w:color w:val="auto"/>
                <w:sz w:val="18"/>
                <w:szCs w:val="18"/>
                <w:highlight w:val="none"/>
                <w:lang w:val="zh-CN"/>
              </w:rPr>
              <w:t xml:space="preserve">积泥超出规定范围，每处</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-3</w:t>
            </w:r>
            <w:r>
              <w:rPr>
                <w:rFonts w:hint="eastAsia" w:ascii="宋体" w:cs="宋体"/>
                <w:color w:val="auto"/>
                <w:sz w:val="18"/>
                <w:szCs w:val="18"/>
                <w:highlight w:val="none"/>
                <w:lang w:val="zh-CN"/>
              </w:rPr>
              <w:t xml:space="preserve">分</w:t>
            </w:r>
            <w:r>
              <w:rPr>
                <w:color w:val="auto"/>
              </w:rPr>
            </w:r>
            <w:r/>
          </w:p>
          <w:p>
            <w:pPr>
              <w:jc w:val="center"/>
              <w:rPr>
                <w:rFonts w:ascii="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471"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gridSpan w:val="3"/>
            <w:shd w:val="clear" w:color="000000" w:fill="ffffff"/>
            <w:tcBorders>
              <w:top w:val="single" w:color="000000" w:sz="2" w:space="0"/>
              <w:left w:val="single" w:color="000000" w:sz="2" w:space="0"/>
              <w:bottom w:val="single" w:color="000000" w:sz="2" w:space="0"/>
              <w:right w:val="single" w:color="000000" w:sz="2" w:space="0"/>
            </w:tcBorders>
            <w:tcW w:w="3411" w:type="dxa"/>
            <w:vAlign w:val="center"/>
            <w:textDirection w:val="lrTb"/>
            <w:noWrap/>
          </w:tcPr>
          <w:p>
            <w:pPr>
              <w:jc w:val="left"/>
              <w:rPr>
                <w:rFonts w:ascii="宋体"/>
                <w:b/>
                <w:bCs/>
                <w:color w:val="auto"/>
                <w:sz w:val="18"/>
                <w:szCs w:val="18"/>
                <w:highlight w:val="none"/>
              </w:rPr>
            </w:pPr>
            <w:r>
              <w:rPr>
                <w:rFonts w:hint="eastAsia" w:ascii="宋体" w:cs="宋体"/>
                <w:color w:val="auto"/>
                <w:sz w:val="18"/>
                <w:szCs w:val="18"/>
                <w:highlight w:val="none"/>
              </w:rPr>
              <w:t xml:space="preserve">登记</w:t>
            </w:r>
            <w:r>
              <w:rPr>
                <w:rFonts w:hint="eastAsia" w:ascii="宋体" w:cs="宋体"/>
                <w:color w:val="auto"/>
                <w:sz w:val="18"/>
                <w:szCs w:val="18"/>
                <w:highlight w:val="none"/>
                <w:lang w:val="zh-CN"/>
              </w:rPr>
              <w:t xml:space="preserve">检查井井盖、内井盖及安全防坠网完好情况</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5</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rPr>
                <w:rFonts w:ascii="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w:t>
            </w:r>
            <w:r>
              <w:rPr>
                <w:rFonts w:hint="eastAsia" w:ascii="宋体" w:cs="宋体"/>
                <w:color w:val="auto"/>
                <w:sz w:val="18"/>
                <w:szCs w:val="18"/>
                <w:highlight w:val="none"/>
              </w:rPr>
              <w:t xml:space="preserve">未能完全登记</w:t>
            </w:r>
            <w:r>
              <w:rPr>
                <w:rFonts w:hint="eastAsia" w:ascii="宋体" w:cs="宋体"/>
                <w:color w:val="auto"/>
                <w:sz w:val="18"/>
                <w:szCs w:val="18"/>
                <w:highlight w:val="none"/>
                <w:lang w:val="zh-CN"/>
              </w:rPr>
              <w:t xml:space="preserve">检查井井盖、内井盖及安全防坠网完好情况每处</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ind w:firstLine="180"/>
              <w:rPr>
                <w:rFonts w:ascii="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分</w:t>
            </w:r>
            <w:r>
              <w:rPr>
                <w:color w:val="auto"/>
              </w:rPr>
            </w:r>
            <w:r/>
          </w:p>
          <w:p>
            <w:pPr>
              <w:jc w:val="center"/>
              <w:rPr>
                <w:rFonts w:ascii="宋体"/>
                <w:color w:val="auto"/>
                <w:sz w:val="18"/>
                <w:szCs w:val="18"/>
                <w:highlight w:val="none"/>
              </w:rPr>
            </w:pPr>
            <w:r>
              <w:rPr>
                <w:rFonts w:ascii="宋体"/>
                <w:color w:val="auto"/>
                <w:sz w:val="18"/>
                <w:szCs w:val="18"/>
                <w:highlight w:val="none"/>
                <w:lang w:val="zh-CN"/>
              </w:rPr>
            </w:r>
            <w:r>
              <w:rPr>
                <w:color w:val="auto"/>
              </w:rPr>
            </w:r>
            <w:r/>
          </w:p>
        </w:tc>
      </w:tr>
      <w:tr>
        <w:trPr>
          <w:jc w:val="center"/>
          <w:trHeight w:val="2502"/>
        </w:trPr>
        <w:tc>
          <w:tcPr>
            <w:shd w:val="clear" w:color="000000" w:fill="ffffff"/>
            <w:tcBorders>
              <w:top w:val="single" w:color="000000" w:sz="2" w:space="0"/>
              <w:left w:val="single" w:color="000000" w:sz="2" w:space="0"/>
              <w:bottom w:val="single" w:color="000000" w:sz="2" w:space="0"/>
              <w:right w:val="single" w:color="000000" w:sz="2" w:space="0"/>
            </w:tcBorders>
            <w:tcW w:w="471"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gridSpan w:val="3"/>
            <w:shd w:val="clear" w:color="000000" w:fill="ffffff"/>
            <w:tcBorders>
              <w:top w:val="single" w:color="000000" w:sz="2" w:space="0"/>
              <w:left w:val="single" w:color="000000" w:sz="2" w:space="0"/>
              <w:bottom w:val="single" w:color="000000" w:sz="2" w:space="0"/>
              <w:right w:val="single" w:color="000000" w:sz="2" w:space="0"/>
            </w:tcBorders>
            <w:tcW w:w="3411" w:type="dxa"/>
            <w:vAlign w:val="center"/>
            <w:textDirection w:val="lrTb"/>
            <w:noWrap/>
          </w:tcPr>
          <w:p>
            <w:pPr>
              <w:rPr>
                <w:rFonts w:ascii="宋体"/>
                <w:color w:val="auto"/>
                <w:sz w:val="18"/>
                <w:szCs w:val="18"/>
                <w:highlight w:val="none"/>
              </w:rPr>
            </w:pPr>
            <w:r>
              <w:rPr>
                <w:rFonts w:hint="eastAsia" w:ascii="宋体" w:cs="宋体"/>
                <w:color w:val="auto"/>
                <w:sz w:val="18"/>
                <w:szCs w:val="18"/>
                <w:highlight w:val="none"/>
                <w:lang w:val="zh-CN"/>
              </w:rPr>
              <w:t xml:space="preserve">坚持</w:t>
            </w:r>
            <w:r>
              <w:rPr>
                <w:rFonts w:ascii="宋体"/>
                <w:color w:val="auto"/>
                <w:sz w:val="18"/>
                <w:szCs w:val="18"/>
                <w:highlight w:val="none"/>
                <w:lang w:val="zh-CN"/>
              </w:rPr>
              <w:t xml:space="preserve">“</w:t>
            </w:r>
            <w:r>
              <w:rPr>
                <w:rFonts w:hint="eastAsia" w:ascii="宋体" w:cs="宋体"/>
                <w:color w:val="auto"/>
                <w:sz w:val="18"/>
                <w:szCs w:val="18"/>
                <w:highlight w:val="none"/>
                <w:lang w:val="zh-CN"/>
              </w:rPr>
              <w:t xml:space="preserve">固定</w:t>
            </w:r>
            <w:r>
              <w:rPr>
                <w:rFonts w:ascii="宋体"/>
                <w:color w:val="auto"/>
                <w:sz w:val="18"/>
                <w:szCs w:val="18"/>
                <w:highlight w:val="none"/>
                <w:lang w:val="zh-CN"/>
              </w:rPr>
              <w:t xml:space="preserve">”</w:t>
            </w:r>
            <w:r>
              <w:rPr>
                <w:rFonts w:hint="eastAsia" w:ascii="宋体" w:cs="宋体"/>
                <w:color w:val="auto"/>
                <w:sz w:val="18"/>
                <w:szCs w:val="18"/>
                <w:highlight w:val="none"/>
                <w:lang w:val="zh-CN"/>
              </w:rPr>
              <w:t xml:space="preserve">原则，定期巡查，主要路段维护管线（主要路段由采购方确定）要求每2周落实不低于一次的巡检工作</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olor w:val="auto"/>
                <w:sz w:val="18"/>
                <w:szCs w:val="18"/>
                <w:highlight w:val="none"/>
              </w:rPr>
            </w:pPr>
            <w:r>
              <w:rPr>
                <w:rFonts w:hint="eastAsia" w:ascii="宋体" w:cs="宋体"/>
                <w:color w:val="auto"/>
                <w:sz w:val="18"/>
                <w:szCs w:val="18"/>
                <w:highlight w:val="none"/>
              </w:rPr>
              <w:t xml:space="preserve">6</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rPr>
                <w:rFonts w:ascii="宋体"/>
                <w:color w:val="auto"/>
                <w:sz w:val="18"/>
                <w:szCs w:val="18"/>
                <w:highlight w:val="none"/>
              </w:rPr>
            </w:pPr>
            <w:r>
              <w:rPr>
                <w:rFonts w:ascii="宋体" w:cs="宋体"/>
                <w:color w:val="auto"/>
                <w:sz w:val="18"/>
                <w:szCs w:val="18"/>
                <w:highlight w:val="none"/>
              </w:rPr>
              <w:t xml:space="preserve">1</w:t>
            </w:r>
            <w:r>
              <w:rPr>
                <w:rFonts w:hint="eastAsia" w:ascii="宋体" w:cs="宋体"/>
                <w:color w:val="auto"/>
                <w:sz w:val="18"/>
                <w:szCs w:val="18"/>
                <w:highlight w:val="none"/>
              </w:rPr>
              <w:t xml:space="preserve">）分区域巡查，</w:t>
            </w:r>
            <w:r>
              <w:rPr>
                <w:rFonts w:hint="eastAsia" w:ascii="宋体" w:cs="宋体"/>
                <w:color w:val="auto"/>
                <w:sz w:val="18"/>
                <w:szCs w:val="18"/>
                <w:highlight w:val="none"/>
                <w:lang w:val="zh-CN"/>
              </w:rPr>
              <w:t xml:space="preserve">每个养护区域固定</w:t>
            </w:r>
            <w:r>
              <w:rPr>
                <w:rFonts w:hint="eastAsia" w:ascii="宋体" w:cs="宋体"/>
                <w:color w:val="auto"/>
                <w:sz w:val="18"/>
                <w:szCs w:val="18"/>
                <w:highlight w:val="none"/>
              </w:rPr>
              <w:t xml:space="preserve">1-2</w:t>
            </w:r>
            <w:r>
              <w:rPr>
                <w:rFonts w:hint="eastAsia" w:ascii="宋体" w:cs="宋体"/>
                <w:color w:val="auto"/>
                <w:sz w:val="18"/>
                <w:szCs w:val="18"/>
                <w:highlight w:val="none"/>
                <w:lang w:val="zh-CN"/>
              </w:rPr>
              <w:t xml:space="preserve">人的巡查人员及固定车辆设备等，每缺少一项</w:t>
            </w:r>
            <w:r>
              <w:rPr>
                <w:color w:val="auto"/>
              </w:rPr>
            </w:r>
            <w:r/>
          </w:p>
          <w:p>
            <w:pPr>
              <w:rPr>
                <w:rFonts w:ascii="宋体"/>
                <w:color w:val="auto"/>
                <w:sz w:val="18"/>
                <w:szCs w:val="18"/>
                <w:highlight w:val="none"/>
              </w:rPr>
            </w:pPr>
            <w:r>
              <w:rPr>
                <w:rFonts w:ascii="宋体" w:cs="宋体"/>
                <w:color w:val="auto"/>
                <w:sz w:val="18"/>
                <w:szCs w:val="18"/>
                <w:highlight w:val="none"/>
              </w:rPr>
              <w:t xml:space="preserve">2</w:t>
            </w:r>
            <w:r>
              <w:rPr>
                <w:rFonts w:hint="eastAsia" w:ascii="宋体" w:cs="宋体"/>
                <w:color w:val="auto"/>
                <w:sz w:val="18"/>
                <w:szCs w:val="18"/>
                <w:highlight w:val="none"/>
              </w:rPr>
              <w:t xml:space="preserve">）</w:t>
            </w:r>
            <w:r>
              <w:rPr>
                <w:rFonts w:hint="eastAsia" w:ascii="宋体" w:cs="宋体"/>
                <w:color w:val="auto"/>
                <w:sz w:val="18"/>
                <w:szCs w:val="18"/>
                <w:highlight w:val="none"/>
                <w:lang w:val="zh-CN"/>
              </w:rPr>
              <w:t xml:space="preserve">主要路段维护管线要求每周落实不低于一次的巡检工作，低于要求每发现一次</w:t>
            </w:r>
            <w:r>
              <w:rPr>
                <w:color w:val="auto"/>
              </w:rPr>
            </w:r>
            <w:r/>
          </w:p>
          <w:p>
            <w:pPr>
              <w:rPr>
                <w:rFonts w:ascii="宋体"/>
                <w:color w:val="auto"/>
                <w:spacing w:val="-4"/>
                <w:sz w:val="18"/>
                <w:szCs w:val="18"/>
                <w:highlight w:val="none"/>
              </w:rPr>
            </w:pPr>
            <w:r>
              <w:rPr>
                <w:rFonts w:ascii="宋体" w:cs="宋体"/>
                <w:color w:val="auto"/>
                <w:spacing w:val="-4"/>
                <w:sz w:val="18"/>
                <w:szCs w:val="18"/>
                <w:highlight w:val="none"/>
              </w:rPr>
              <w:t xml:space="preserve">3</w:t>
            </w:r>
            <w:r>
              <w:rPr>
                <w:rFonts w:hint="eastAsia" w:ascii="宋体" w:cs="宋体"/>
                <w:color w:val="auto"/>
                <w:spacing w:val="-4"/>
                <w:sz w:val="18"/>
                <w:szCs w:val="18"/>
                <w:highlight w:val="none"/>
              </w:rPr>
              <w:t xml:space="preserve">）</w:t>
            </w:r>
            <w:r>
              <w:rPr>
                <w:rFonts w:hint="eastAsia" w:ascii="宋体" w:cs="宋体"/>
                <w:color w:val="auto"/>
                <w:spacing w:val="-4"/>
                <w:sz w:val="18"/>
                <w:szCs w:val="18"/>
                <w:highlight w:val="none"/>
                <w:lang w:val="zh-CN"/>
              </w:rPr>
              <w:t xml:space="preserve">巡查发现损坏排水设施及乱排放的行为未能及时制止并向采购方汇报，每发现一次</w:t>
            </w:r>
            <w:r>
              <w:rPr>
                <w:color w:val="auto"/>
              </w:rPr>
            </w:r>
            <w:r/>
          </w:p>
          <w:p>
            <w:pPr>
              <w:rPr>
                <w:rFonts w:ascii="宋体"/>
                <w:color w:val="auto"/>
                <w:sz w:val="18"/>
                <w:szCs w:val="18"/>
                <w:highlight w:val="none"/>
              </w:rPr>
            </w:pPr>
            <w:r>
              <w:rPr>
                <w:rFonts w:ascii="宋体" w:cs="宋体"/>
                <w:color w:val="auto"/>
                <w:sz w:val="18"/>
                <w:szCs w:val="18"/>
                <w:highlight w:val="none"/>
              </w:rPr>
              <w:t xml:space="preserve">4</w:t>
            </w:r>
            <w:r>
              <w:rPr>
                <w:rFonts w:hint="eastAsia" w:ascii="宋体" w:cs="宋体"/>
                <w:color w:val="auto"/>
                <w:sz w:val="18"/>
                <w:szCs w:val="18"/>
                <w:highlight w:val="none"/>
              </w:rPr>
              <w:t xml:space="preserve">）</w:t>
            </w:r>
            <w:r>
              <w:rPr>
                <w:rFonts w:hint="eastAsia" w:ascii="宋体" w:cs="宋体"/>
                <w:color w:val="auto"/>
                <w:sz w:val="18"/>
                <w:szCs w:val="18"/>
                <w:highlight w:val="none"/>
                <w:lang w:val="zh-CN"/>
              </w:rPr>
              <w:t xml:space="preserve">当周巡查计划路段中对已有堵塞管道未进行备案并未及时疏通，经发现，每次</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p>
            <w:pPr>
              <w:jc w:val="center"/>
              <w:rPr>
                <w:rFonts w:ascii="宋体"/>
                <w:color w:val="auto"/>
                <w:sz w:val="18"/>
                <w:szCs w:val="18"/>
                <w:highlight w:val="none"/>
              </w:rPr>
            </w:pPr>
            <w:r>
              <w:rPr>
                <w:rFonts w:ascii="宋体"/>
                <w:color w:val="auto"/>
                <w:sz w:val="18"/>
                <w:szCs w:val="18"/>
                <w:highlight w:val="none"/>
                <w:lang w:val="zh-CN"/>
              </w:rPr>
            </w:r>
            <w:r>
              <w:rPr>
                <w:color w:val="auto"/>
              </w:rPr>
            </w:r>
            <w:r/>
          </w:p>
          <w:p>
            <w:pPr>
              <w:jc w:val="center"/>
              <w:rPr>
                <w:rFonts w:ascii="宋体"/>
                <w:color w:val="auto"/>
                <w:sz w:val="18"/>
                <w:szCs w:val="18"/>
                <w:highlight w:val="none"/>
              </w:rPr>
            </w:pPr>
            <w:r>
              <w:rPr>
                <w:rFonts w:ascii="宋体"/>
                <w:color w:val="auto"/>
                <w:sz w:val="18"/>
                <w:szCs w:val="18"/>
                <w:highlight w:val="none"/>
                <w:lang w:val="zh-CN"/>
              </w:rPr>
            </w:r>
            <w:r>
              <w:rPr>
                <w:color w:val="auto"/>
              </w:rPr>
            </w:r>
            <w:r/>
          </w:p>
          <w:p>
            <w:pPr>
              <w:jc w:val="center"/>
              <w:rPr>
                <w:rFonts w:ascii="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p>
            <w:pPr>
              <w:jc w:val="center"/>
              <w:rPr>
                <w:rFonts w:ascii="宋体"/>
                <w:color w:val="auto"/>
                <w:sz w:val="18"/>
                <w:szCs w:val="18"/>
                <w:highlight w:val="none"/>
              </w:rPr>
            </w:pPr>
            <w:r>
              <w:rPr>
                <w:rFonts w:ascii="宋体"/>
                <w:color w:val="auto"/>
                <w:sz w:val="18"/>
                <w:szCs w:val="18"/>
                <w:highlight w:val="none"/>
                <w:lang w:val="zh-CN"/>
              </w:rPr>
            </w:r>
            <w:r>
              <w:rPr>
                <w:color w:val="auto"/>
              </w:rPr>
            </w:r>
            <w:r/>
          </w:p>
          <w:p>
            <w:pPr>
              <w:jc w:val="center"/>
              <w:rPr>
                <w:rFonts w:ascii="宋体"/>
                <w:color w:val="auto"/>
                <w:sz w:val="18"/>
                <w:szCs w:val="18"/>
                <w:highlight w:val="none"/>
              </w:rPr>
            </w:pPr>
            <w:r>
              <w:rPr>
                <w:rFonts w:ascii="宋体"/>
                <w:color w:val="auto"/>
                <w:sz w:val="18"/>
                <w:szCs w:val="18"/>
                <w:highlight w:val="none"/>
                <w:lang w:val="zh-CN"/>
              </w:rPr>
            </w:r>
            <w:r>
              <w:rPr>
                <w:color w:val="auto"/>
              </w:rPr>
            </w:r>
            <w:r/>
          </w:p>
          <w:p>
            <w:pPr>
              <w:jc w:val="center"/>
              <w:rPr>
                <w:rFonts w:ascii="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p>
            <w:pPr>
              <w:jc w:val="center"/>
              <w:rPr>
                <w:rFonts w:ascii="宋体"/>
                <w:color w:val="auto"/>
                <w:sz w:val="18"/>
                <w:szCs w:val="18"/>
                <w:highlight w:val="none"/>
              </w:rPr>
            </w:pPr>
            <w:r>
              <w:rPr>
                <w:rFonts w:ascii="宋体"/>
                <w:color w:val="auto"/>
                <w:sz w:val="18"/>
                <w:szCs w:val="18"/>
                <w:highlight w:val="none"/>
                <w:lang w:val="zh-CN"/>
              </w:rPr>
            </w:r>
            <w:r>
              <w:rPr>
                <w:color w:val="auto"/>
              </w:rPr>
            </w:r>
            <w:r/>
          </w:p>
          <w:p>
            <w:pPr>
              <w:jc w:val="center"/>
              <w:rPr>
                <w:rFonts w:ascii="宋体"/>
                <w:color w:val="auto"/>
                <w:sz w:val="18"/>
                <w:szCs w:val="18"/>
                <w:highlight w:val="none"/>
              </w:rPr>
            </w:pPr>
            <w:r>
              <w:rPr>
                <w:rFonts w:ascii="宋体"/>
                <w:color w:val="auto"/>
                <w:sz w:val="18"/>
                <w:szCs w:val="18"/>
                <w:highlight w:val="none"/>
                <w:lang w:val="zh-CN"/>
              </w:rPr>
            </w:r>
            <w:r>
              <w:rPr>
                <w:color w:val="auto"/>
              </w:rPr>
            </w:r>
            <w:r/>
          </w:p>
          <w:p>
            <w:pPr>
              <w:jc w:val="center"/>
              <w:rPr>
                <w:rFonts w:ascii="宋体"/>
                <w:color w:val="auto"/>
                <w:sz w:val="18"/>
                <w:szCs w:val="18"/>
                <w:highlight w:val="none"/>
              </w:rPr>
            </w:pPr>
            <w:r>
              <w:rPr>
                <w:rFonts w:ascii="宋体" w:cs="宋体"/>
                <w:color w:val="auto"/>
                <w:sz w:val="18"/>
                <w:szCs w:val="18"/>
                <w:highlight w:val="none"/>
                <w:lang w:val="zh-CN"/>
              </w:rPr>
              <w:t xml:space="preserve">-3</w:t>
            </w:r>
            <w:r>
              <w:rPr>
                <w:rFonts w:hint="eastAsia" w:ascii="宋体" w:cs="宋体"/>
                <w:color w:val="auto"/>
                <w:sz w:val="18"/>
                <w:szCs w:val="18"/>
                <w:highlight w:val="none"/>
                <w:lang w:val="zh-CN"/>
              </w:rPr>
              <w:t xml:space="preserve">分</w:t>
            </w:r>
            <w:r>
              <w:rPr>
                <w:color w:val="auto"/>
              </w:rPr>
            </w:r>
            <w:r/>
          </w:p>
        </w:tc>
      </w:tr>
      <w:tr>
        <w:trPr>
          <w:jc w:val="center"/>
          <w:trHeight w:val="1551"/>
        </w:trPr>
        <w:tc>
          <w:tcPr>
            <w:shd w:val="clear" w:color="000000" w:fill="ffffff"/>
            <w:tcBorders>
              <w:top w:val="single" w:color="000000" w:sz="2" w:space="0"/>
              <w:left w:val="single" w:color="000000" w:sz="2" w:space="0"/>
              <w:bottom w:val="single" w:color="000000" w:sz="2" w:space="0"/>
              <w:right w:val="single" w:color="000000" w:sz="2" w:space="0"/>
            </w:tcBorders>
            <w:tcW w:w="471"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gridSpan w:val="3"/>
            <w:shd w:val="clear" w:color="000000" w:fill="ffffff"/>
            <w:tcBorders>
              <w:top w:val="single" w:color="000000" w:sz="2" w:space="0"/>
              <w:left w:val="single" w:color="000000" w:sz="2" w:space="0"/>
              <w:bottom w:val="single" w:color="000000" w:sz="2" w:space="0"/>
              <w:right w:val="single" w:color="000000" w:sz="2" w:space="0"/>
            </w:tcBorders>
            <w:tcW w:w="3411" w:type="dxa"/>
            <w:vAlign w:val="center"/>
            <w:textDirection w:val="lrTb"/>
            <w:noWrap/>
          </w:tcPr>
          <w:p>
            <w:pPr>
              <w:jc w:val="left"/>
              <w:rPr>
                <w:rFonts w:ascii="宋体"/>
                <w:color w:val="auto"/>
                <w:sz w:val="18"/>
                <w:szCs w:val="18"/>
                <w:highlight w:val="none"/>
              </w:rPr>
            </w:pPr>
            <w:r>
              <w:rPr>
                <w:rFonts w:hint="eastAsia" w:ascii="宋体" w:cs="宋体"/>
                <w:color w:val="auto"/>
                <w:sz w:val="18"/>
                <w:szCs w:val="18"/>
                <w:highlight w:val="none"/>
                <w:lang w:val="zh-CN"/>
              </w:rPr>
              <w:t xml:space="preserve">文明作业，保持周边环境整洁，污泥运输与处置妥当</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4</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textDirection w:val="lrTb"/>
            <w:noWrap/>
          </w:tcPr>
          <w:p>
            <w:pPr>
              <w:tabs>
                <w:tab w:val="left" w:pos="360" w:leader="none"/>
              </w:tabs>
              <w:rPr>
                <w:rFonts w:ascii="宋体"/>
                <w:color w:val="auto"/>
                <w:sz w:val="18"/>
                <w:szCs w:val="18"/>
                <w:highlight w:val="none"/>
              </w:rPr>
            </w:pPr>
            <w:r>
              <w:rPr>
                <w:rFonts w:ascii="宋体" w:cs="宋体"/>
                <w:color w:val="auto"/>
                <w:sz w:val="18"/>
                <w:szCs w:val="18"/>
                <w:highlight w:val="none"/>
              </w:rPr>
              <w:t xml:space="preserve">1</w:t>
            </w:r>
            <w:r>
              <w:rPr>
                <w:rFonts w:hint="eastAsia" w:ascii="宋体" w:cs="宋体"/>
                <w:color w:val="auto"/>
                <w:sz w:val="18"/>
                <w:szCs w:val="18"/>
                <w:highlight w:val="none"/>
              </w:rPr>
              <w:t xml:space="preserve">）</w:t>
            </w:r>
            <w:r>
              <w:rPr>
                <w:rFonts w:hint="eastAsia" w:ascii="宋体" w:cs="宋体"/>
                <w:color w:val="auto"/>
                <w:sz w:val="18"/>
                <w:szCs w:val="18"/>
                <w:highlight w:val="none"/>
                <w:lang w:val="zh-CN"/>
              </w:rPr>
              <w:t xml:space="preserve">被发现作业结束，影响周边环境整洁，每处</w:t>
            </w:r>
            <w:r>
              <w:rPr>
                <w:color w:val="auto"/>
              </w:rPr>
            </w:r>
            <w:r/>
          </w:p>
          <w:p>
            <w:pPr>
              <w:tabs>
                <w:tab w:val="left" w:pos="360" w:leader="none"/>
              </w:tabs>
              <w:rPr>
                <w:rFonts w:ascii="宋体"/>
                <w:color w:val="auto"/>
                <w:sz w:val="18"/>
                <w:szCs w:val="18"/>
                <w:highlight w:val="none"/>
              </w:rPr>
            </w:pPr>
            <w:r>
              <w:rPr>
                <w:rFonts w:ascii="宋体" w:cs="宋体"/>
                <w:color w:val="auto"/>
                <w:sz w:val="18"/>
                <w:szCs w:val="18"/>
                <w:highlight w:val="none"/>
              </w:rPr>
              <w:t xml:space="preserve">2</w:t>
            </w:r>
            <w:r>
              <w:rPr>
                <w:rFonts w:hint="eastAsia" w:ascii="宋体" w:cs="宋体"/>
                <w:color w:val="auto"/>
                <w:sz w:val="18"/>
                <w:szCs w:val="18"/>
                <w:highlight w:val="none"/>
              </w:rPr>
              <w:t xml:space="preserve">）</w:t>
            </w:r>
            <w:r>
              <w:rPr>
                <w:rFonts w:hint="eastAsia" w:ascii="宋体" w:cs="宋体"/>
                <w:color w:val="auto"/>
                <w:sz w:val="18"/>
                <w:szCs w:val="18"/>
                <w:highlight w:val="none"/>
                <w:lang w:val="zh-CN"/>
              </w:rPr>
              <w:t xml:space="preserve">污泥运输过程中，污泥落地，沿途洒落，每处</w:t>
            </w:r>
            <w:r>
              <w:rPr>
                <w:color w:val="auto"/>
              </w:rPr>
            </w:r>
            <w:r/>
          </w:p>
          <w:p>
            <w:pPr>
              <w:tabs>
                <w:tab w:val="left" w:pos="360" w:leader="none"/>
              </w:tabs>
              <w:rPr>
                <w:rFonts w:ascii="宋体"/>
                <w:color w:val="auto"/>
                <w:sz w:val="18"/>
                <w:szCs w:val="18"/>
                <w:highlight w:val="none"/>
              </w:rPr>
            </w:pPr>
            <w:r>
              <w:rPr>
                <w:rFonts w:ascii="宋体" w:cs="宋体"/>
                <w:color w:val="auto"/>
                <w:sz w:val="18"/>
                <w:szCs w:val="18"/>
                <w:highlight w:val="none"/>
              </w:rPr>
              <w:t xml:space="preserve">3</w:t>
            </w:r>
            <w:r>
              <w:rPr>
                <w:rFonts w:hint="eastAsia" w:ascii="宋体" w:cs="宋体"/>
                <w:color w:val="auto"/>
                <w:sz w:val="18"/>
                <w:szCs w:val="18"/>
                <w:highlight w:val="none"/>
              </w:rPr>
              <w:t xml:space="preserve">）</w:t>
            </w:r>
            <w:r>
              <w:rPr>
                <w:rFonts w:hint="eastAsia" w:ascii="宋体" w:cs="宋体"/>
                <w:color w:val="auto"/>
                <w:sz w:val="18"/>
                <w:szCs w:val="18"/>
                <w:highlight w:val="none"/>
                <w:lang w:val="zh-CN"/>
              </w:rPr>
              <w:t xml:space="preserve">污泥处置妥善，未出现乱到现象，未对环境造成污染，每处</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分</w:t>
            </w:r>
            <w:r>
              <w:rPr>
                <w:color w:val="auto"/>
              </w:rPr>
            </w:r>
            <w:r/>
          </w:p>
          <w:p>
            <w:pPr>
              <w:jc w:val="center"/>
              <w:rPr>
                <w:rFonts w:ascii="宋体"/>
                <w:color w:val="auto"/>
                <w:sz w:val="18"/>
                <w:szCs w:val="18"/>
                <w:highlight w:val="none"/>
              </w:rPr>
            </w:pPr>
            <w:r>
              <w:rPr>
                <w:rFonts w:ascii="宋体"/>
                <w:color w:val="auto"/>
                <w:sz w:val="18"/>
                <w:szCs w:val="18"/>
                <w:highlight w:val="none"/>
                <w:lang w:val="zh-CN"/>
              </w:rPr>
            </w:r>
            <w:r>
              <w:rPr>
                <w:color w:val="auto"/>
              </w:rPr>
            </w:r>
            <w:r/>
          </w:p>
          <w:p>
            <w:pPr>
              <w:jc w:val="center"/>
              <w:rPr>
                <w:rFonts w:ascii="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分</w:t>
            </w:r>
            <w:r>
              <w:rPr>
                <w:color w:val="auto"/>
              </w:rPr>
            </w:r>
            <w:r/>
          </w:p>
          <w:p>
            <w:pPr>
              <w:jc w:val="center"/>
              <w:rPr>
                <w:rFonts w:ascii="宋体"/>
                <w:color w:val="auto"/>
                <w:sz w:val="18"/>
                <w:szCs w:val="18"/>
                <w:highlight w:val="none"/>
              </w:rPr>
            </w:pPr>
            <w:r>
              <w:rPr>
                <w:rFonts w:ascii="宋体"/>
                <w:color w:val="auto"/>
                <w:sz w:val="18"/>
                <w:szCs w:val="18"/>
                <w:highlight w:val="none"/>
                <w:lang w:val="zh-CN"/>
              </w:rPr>
            </w:r>
            <w:r>
              <w:rPr>
                <w:color w:val="auto"/>
              </w:rPr>
            </w:r>
            <w:r/>
          </w:p>
          <w:p>
            <w:pPr>
              <w:jc w:val="center"/>
              <w:rPr>
                <w:rFonts w:ascii="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tc>
      </w:tr>
      <w:tr>
        <w:trPr>
          <w:jc w:val="center"/>
          <w:trHeight w:val="289"/>
        </w:trPr>
        <w:tc>
          <w:tcPr>
            <w:shd w:val="clear" w:color="000000" w:fill="ffffff"/>
            <w:tcBorders>
              <w:top w:val="single" w:color="000000" w:sz="2" w:space="0"/>
              <w:left w:val="single" w:color="000000" w:sz="2" w:space="0"/>
              <w:bottom w:val="single" w:color="000000" w:sz="2" w:space="0"/>
              <w:right w:val="single" w:color="000000" w:sz="2" w:space="0"/>
            </w:tcBorders>
            <w:tcW w:w="471" w:type="dxa"/>
            <w:vAlign w:val="center"/>
            <w:vMerge w:val="restart"/>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3</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vMerge w:val="restart"/>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安全作业要求</w:t>
            </w:r>
            <w:r>
              <w:rPr>
                <w:color w:val="auto"/>
              </w:rPr>
            </w:r>
            <w:r/>
          </w:p>
          <w:p>
            <w:pPr>
              <w:jc w:val="center"/>
              <w:rPr>
                <w:rFonts w:ascii="宋体" w:cs="宋体"/>
                <w:color w:val="auto"/>
                <w:sz w:val="18"/>
                <w:szCs w:val="18"/>
                <w:highlight w:val="none"/>
              </w:rPr>
            </w:pPr>
            <w:r>
              <w:rPr>
                <w:rFonts w:ascii="宋体" w:cs="宋体"/>
                <w:color w:val="auto"/>
                <w:sz w:val="18"/>
                <w:szCs w:val="18"/>
                <w:highlight w:val="none"/>
                <w:lang w:val="zh-CN"/>
              </w:rPr>
            </w:r>
            <w:r>
              <w:rPr>
                <w:color w:val="auto"/>
              </w:rPr>
            </w:r>
            <w:r/>
          </w:p>
          <w:p>
            <w:pPr>
              <w:jc w:val="center"/>
              <w:rPr>
                <w:rFonts w:ascii="宋体"/>
                <w:color w:val="auto"/>
                <w:sz w:val="18"/>
                <w:szCs w:val="18"/>
                <w:highlight w:val="none"/>
              </w:rPr>
            </w:pPr>
            <w:r>
              <w:rPr>
                <w:rFonts w:ascii="宋体" w:cs="宋体"/>
                <w:color w:val="auto"/>
                <w:sz w:val="18"/>
                <w:szCs w:val="18"/>
                <w:highlight w:val="none"/>
                <w:lang w:val="zh-CN"/>
              </w:rPr>
              <w:t xml:space="preserve">30</w:t>
            </w:r>
            <w:r>
              <w:rPr>
                <w:rFonts w:hint="eastAsia" w:ascii="宋体" w:cs="宋体"/>
                <w:color w:val="auto"/>
                <w:sz w:val="18"/>
                <w:szCs w:val="18"/>
                <w:highlight w:val="none"/>
                <w:lang w:val="zh-CN"/>
              </w:rPr>
              <w:t xml:space="preserve">分</w:t>
            </w:r>
            <w:r>
              <w:rPr>
                <w:color w:val="auto"/>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742" w:type="dxa"/>
            <w:vAlign w:val="center"/>
            <w:vMerge w:val="restart"/>
            <w:textDirection w:val="lrTb"/>
            <w:noWrap/>
          </w:tcPr>
          <w:p>
            <w:pPr>
              <w:jc w:val="center"/>
              <w:rPr>
                <w:rFonts w:ascii="宋体"/>
                <w:color w:val="auto"/>
                <w:sz w:val="18"/>
                <w:szCs w:val="18"/>
                <w:highlight w:val="none"/>
              </w:rPr>
            </w:pPr>
            <w:r>
              <w:rPr>
                <w:rFonts w:hint="eastAsia" w:ascii="宋体" w:cs="宋体"/>
                <w:color w:val="auto"/>
                <w:sz w:val="18"/>
                <w:szCs w:val="18"/>
                <w:highlight w:val="none"/>
                <w:lang w:val="zh-CN"/>
              </w:rPr>
              <w:t xml:space="preserve">地面作业</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2669" w:type="dxa"/>
            <w:vAlign w:val="center"/>
            <w:textDirection w:val="lrTb"/>
            <w:noWrap/>
          </w:tcPr>
          <w:p>
            <w:pPr>
              <w:rPr>
                <w:rFonts w:ascii="宋体"/>
                <w:color w:val="auto"/>
                <w:sz w:val="18"/>
                <w:szCs w:val="18"/>
                <w:highlight w:val="none"/>
              </w:rPr>
            </w:pPr>
            <w:r>
              <w:rPr>
                <w:rFonts w:hint="eastAsia" w:ascii="宋体" w:cs="宋体"/>
                <w:color w:val="auto"/>
                <w:sz w:val="18"/>
                <w:szCs w:val="18"/>
                <w:highlight w:val="none"/>
                <w:lang w:val="zh-CN"/>
              </w:rPr>
              <w:t xml:space="preserve">井盖开启后，须设置安全护栏或防护装置</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3</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textDirection w:val="lrTb"/>
            <w:noWrap/>
          </w:tcPr>
          <w:p>
            <w:pPr>
              <w:rPr>
                <w:rFonts w:ascii="宋体"/>
                <w:color w:val="auto"/>
                <w:sz w:val="18"/>
                <w:szCs w:val="18"/>
                <w:highlight w:val="none"/>
              </w:rPr>
            </w:pPr>
            <w:r>
              <w:rPr>
                <w:rFonts w:ascii="宋体" w:cs="宋体"/>
                <w:color w:val="auto"/>
                <w:sz w:val="18"/>
                <w:szCs w:val="18"/>
                <w:highlight w:val="none"/>
              </w:rPr>
              <w:t xml:space="preserve">1</w:t>
            </w:r>
            <w:r>
              <w:rPr>
                <w:rFonts w:hint="eastAsia" w:ascii="宋体" w:cs="宋体"/>
                <w:color w:val="auto"/>
                <w:sz w:val="18"/>
                <w:szCs w:val="18"/>
                <w:highlight w:val="none"/>
              </w:rPr>
              <w:t xml:space="preserve">）</w:t>
            </w:r>
            <w:r>
              <w:rPr>
                <w:rFonts w:hint="eastAsia" w:ascii="宋体" w:cs="宋体"/>
                <w:color w:val="auto"/>
                <w:sz w:val="18"/>
                <w:szCs w:val="18"/>
                <w:highlight w:val="none"/>
                <w:lang w:val="zh-CN"/>
              </w:rPr>
              <w:t xml:space="preserve">被发现采取的安全措施不规范，每处</w:t>
            </w:r>
            <w:r>
              <w:rPr>
                <w:color w:val="auto"/>
              </w:rPr>
            </w:r>
            <w:r/>
          </w:p>
          <w:p>
            <w:pPr>
              <w:rPr>
                <w:rFonts w:ascii="宋体"/>
                <w:color w:val="auto"/>
                <w:sz w:val="18"/>
                <w:szCs w:val="18"/>
                <w:highlight w:val="none"/>
              </w:rPr>
            </w:pPr>
            <w:r>
              <w:rPr>
                <w:rFonts w:ascii="宋体" w:cs="宋体"/>
                <w:color w:val="auto"/>
                <w:sz w:val="18"/>
                <w:szCs w:val="18"/>
                <w:highlight w:val="none"/>
              </w:rPr>
              <w:t xml:space="preserve">2</w:t>
            </w:r>
            <w:r>
              <w:rPr>
                <w:rFonts w:hint="eastAsia" w:ascii="宋体" w:cs="宋体"/>
                <w:color w:val="auto"/>
                <w:sz w:val="18"/>
                <w:szCs w:val="18"/>
                <w:highlight w:val="none"/>
              </w:rPr>
              <w:t xml:space="preserve">）</w:t>
            </w:r>
            <w:r>
              <w:rPr>
                <w:rFonts w:hint="eastAsia" w:ascii="宋体" w:cs="宋体"/>
                <w:color w:val="auto"/>
                <w:sz w:val="18"/>
                <w:szCs w:val="18"/>
                <w:highlight w:val="none"/>
                <w:lang w:val="zh-CN"/>
              </w:rPr>
              <w:t xml:space="preserve">被发现未采取安全措施，每处</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分</w:t>
            </w:r>
            <w:r>
              <w:rPr>
                <w:color w:val="auto"/>
              </w:rPr>
            </w:r>
            <w:r/>
          </w:p>
          <w:p>
            <w:pPr>
              <w:jc w:val="center"/>
              <w:rPr>
                <w:rFonts w:ascii="宋体"/>
                <w:color w:val="auto"/>
                <w:sz w:val="18"/>
                <w:szCs w:val="18"/>
                <w:highlight w:val="none"/>
              </w:rPr>
            </w:pPr>
            <w:r>
              <w:rPr>
                <w:rFonts w:ascii="宋体"/>
                <w:color w:val="auto"/>
                <w:sz w:val="18"/>
                <w:szCs w:val="18"/>
                <w:highlight w:val="none"/>
                <w:lang w:val="zh-CN"/>
              </w:rPr>
            </w:r>
            <w:r>
              <w:rPr>
                <w:color w:val="auto"/>
              </w:rPr>
            </w:r>
            <w:r/>
          </w:p>
          <w:p>
            <w:pPr>
              <w:jc w:val="center"/>
              <w:rPr>
                <w:rFonts w:ascii="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471"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742"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669" w:type="dxa"/>
            <w:textDirection w:val="lrTb"/>
            <w:noWrap/>
          </w:tcPr>
          <w:p>
            <w:pPr>
              <w:rPr>
                <w:rFonts w:ascii="宋体"/>
                <w:color w:val="auto"/>
                <w:sz w:val="18"/>
                <w:szCs w:val="18"/>
                <w:highlight w:val="none"/>
              </w:rPr>
            </w:pPr>
            <w:r>
              <w:rPr>
                <w:rFonts w:hint="eastAsia" w:ascii="宋体" w:cs="宋体"/>
                <w:color w:val="auto"/>
                <w:sz w:val="18"/>
                <w:szCs w:val="18"/>
                <w:highlight w:val="none"/>
                <w:lang w:val="zh-CN"/>
              </w:rPr>
              <w:t xml:space="preserve">作业现场严禁明火</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rPr>
                <w:rFonts w:ascii="宋体"/>
                <w:color w:val="auto"/>
                <w:sz w:val="18"/>
                <w:szCs w:val="18"/>
                <w:highlight w:val="none"/>
              </w:rPr>
            </w:pPr>
            <w:r>
              <w:rPr>
                <w:rFonts w:ascii="宋体" w:cs="宋体"/>
                <w:color w:val="auto"/>
                <w:sz w:val="18"/>
                <w:szCs w:val="18"/>
                <w:highlight w:val="none"/>
              </w:rPr>
              <w:t xml:space="preserve">1</w:t>
            </w:r>
            <w:r>
              <w:rPr>
                <w:rFonts w:hint="eastAsia" w:ascii="宋体" w:cs="宋体"/>
                <w:color w:val="auto"/>
                <w:sz w:val="18"/>
                <w:szCs w:val="18"/>
                <w:highlight w:val="none"/>
              </w:rPr>
              <w:t xml:space="preserve">）</w:t>
            </w:r>
            <w:r>
              <w:rPr>
                <w:rFonts w:hint="eastAsia" w:ascii="宋体" w:cs="宋体"/>
                <w:color w:val="auto"/>
                <w:sz w:val="18"/>
                <w:szCs w:val="18"/>
                <w:highlight w:val="none"/>
                <w:lang w:val="zh-CN"/>
              </w:rPr>
              <w:t xml:space="preserve">发现明火，每处</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分</w:t>
            </w:r>
            <w:r>
              <w:rPr>
                <w:color w:val="auto"/>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471"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742"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669" w:type="dxa"/>
            <w:vAlign w:val="center"/>
            <w:textDirection w:val="lrTb"/>
            <w:noWrap/>
          </w:tcPr>
          <w:p>
            <w:pPr>
              <w:jc w:val="left"/>
              <w:rPr>
                <w:rFonts w:ascii="宋体"/>
                <w:color w:val="auto"/>
                <w:sz w:val="18"/>
                <w:szCs w:val="18"/>
                <w:highlight w:val="none"/>
              </w:rPr>
            </w:pPr>
            <w:r>
              <w:rPr>
                <w:rFonts w:hint="eastAsia" w:ascii="宋体" w:cs="宋体"/>
                <w:color w:val="auto"/>
                <w:sz w:val="18"/>
                <w:szCs w:val="18"/>
                <w:highlight w:val="none"/>
                <w:lang w:val="zh-CN"/>
              </w:rPr>
              <w:t xml:space="preserve">在交通繁忙地点作业时，应指派专人维护现场秩序</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rPr>
                <w:rFonts w:ascii="宋体"/>
                <w:color w:val="auto"/>
                <w:sz w:val="18"/>
                <w:szCs w:val="18"/>
                <w:highlight w:val="none"/>
              </w:rPr>
            </w:pPr>
            <w:r>
              <w:rPr>
                <w:rFonts w:ascii="宋体" w:cs="宋体"/>
                <w:color w:val="auto"/>
                <w:sz w:val="18"/>
                <w:szCs w:val="18"/>
                <w:highlight w:val="none"/>
              </w:rPr>
              <w:t xml:space="preserve">1</w:t>
            </w:r>
            <w:r>
              <w:rPr>
                <w:rFonts w:hint="eastAsia" w:ascii="宋体" w:cs="宋体"/>
                <w:color w:val="auto"/>
                <w:sz w:val="18"/>
                <w:szCs w:val="18"/>
                <w:highlight w:val="none"/>
              </w:rPr>
              <w:t xml:space="preserve">）</w:t>
            </w:r>
            <w:r>
              <w:rPr>
                <w:rFonts w:hint="eastAsia" w:ascii="宋体" w:cs="宋体"/>
                <w:color w:val="auto"/>
                <w:sz w:val="18"/>
                <w:szCs w:val="18"/>
                <w:highlight w:val="none"/>
                <w:lang w:val="zh-CN"/>
              </w:rPr>
              <w:t xml:space="preserve">未指派专人，每处</w:t>
            </w:r>
            <w:r>
              <w:rPr>
                <w:color w:val="auto"/>
              </w:rPr>
            </w:r>
            <w:r/>
          </w:p>
          <w:p>
            <w:pPr>
              <w:rPr>
                <w:rFonts w:ascii="宋体"/>
                <w:color w:val="auto"/>
                <w:sz w:val="18"/>
                <w:szCs w:val="18"/>
                <w:highlight w:val="none"/>
              </w:rPr>
            </w:pPr>
            <w:r>
              <w:rPr>
                <w:rFonts w:ascii="宋体" w:cs="宋体"/>
                <w:color w:val="auto"/>
                <w:spacing w:val="-8"/>
                <w:sz w:val="18"/>
                <w:szCs w:val="18"/>
                <w:highlight w:val="none"/>
              </w:rPr>
              <w:t xml:space="preserve">2</w:t>
            </w:r>
            <w:r>
              <w:rPr>
                <w:rFonts w:hint="eastAsia" w:ascii="宋体" w:cs="宋体"/>
                <w:color w:val="auto"/>
                <w:spacing w:val="-8"/>
                <w:sz w:val="18"/>
                <w:szCs w:val="18"/>
                <w:highlight w:val="none"/>
              </w:rPr>
              <w:t xml:space="preserve">）</w:t>
            </w:r>
            <w:r>
              <w:rPr>
                <w:rFonts w:hint="eastAsia" w:ascii="宋体" w:cs="宋体"/>
                <w:color w:val="auto"/>
                <w:spacing w:val="-8"/>
                <w:sz w:val="18"/>
                <w:szCs w:val="18"/>
                <w:highlight w:val="none"/>
                <w:lang w:val="zh-CN"/>
              </w:rPr>
              <w:t xml:space="preserve">擅离职守，懈怠工作，每处</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分</w:t>
            </w:r>
            <w:r>
              <w:rPr>
                <w:color w:val="auto"/>
              </w:rPr>
            </w:r>
            <w:r/>
          </w:p>
          <w:p>
            <w:pPr>
              <w:jc w:val="center"/>
              <w:rPr>
                <w:rFonts w:ascii="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分</w:t>
            </w:r>
            <w:r>
              <w:rPr>
                <w:color w:val="auto"/>
              </w:rPr>
            </w:r>
            <w:r/>
          </w:p>
        </w:tc>
      </w:tr>
      <w:tr>
        <w:trPr>
          <w:jc w:val="center"/>
          <w:trHeight w:val="844"/>
        </w:trPr>
        <w:tc>
          <w:tcPr>
            <w:shd w:val="clear" w:color="000000" w:fill="ffffff"/>
            <w:tcBorders>
              <w:top w:val="single" w:color="000000" w:sz="2" w:space="0"/>
              <w:left w:val="single" w:color="000000" w:sz="2" w:space="0"/>
              <w:bottom w:val="single" w:color="000000" w:sz="2" w:space="0"/>
              <w:right w:val="single" w:color="000000" w:sz="2" w:space="0"/>
            </w:tcBorders>
            <w:tcW w:w="471"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742"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669" w:type="dxa"/>
            <w:vAlign w:val="center"/>
            <w:textDirection w:val="lrTb"/>
            <w:noWrap/>
          </w:tcPr>
          <w:p>
            <w:pPr>
              <w:rPr>
                <w:rFonts w:ascii="宋体"/>
                <w:color w:val="auto"/>
                <w:sz w:val="18"/>
                <w:szCs w:val="18"/>
                <w:highlight w:val="none"/>
              </w:rPr>
            </w:pPr>
            <w:r>
              <w:rPr>
                <w:rFonts w:hint="eastAsia" w:ascii="宋体" w:cs="宋体"/>
                <w:color w:val="auto"/>
                <w:sz w:val="18"/>
                <w:szCs w:val="18"/>
                <w:highlight w:val="none"/>
                <w:lang w:val="zh-CN"/>
              </w:rPr>
              <w:t xml:space="preserve">作业人员从事维护作业时，必须戴安全帽和手套，穿防护服和防护鞋。</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3</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rPr>
                <w:rFonts w:ascii="宋体"/>
                <w:color w:val="auto"/>
                <w:sz w:val="18"/>
                <w:szCs w:val="18"/>
                <w:highlight w:val="none"/>
              </w:rPr>
            </w:pPr>
            <w:r>
              <w:rPr>
                <w:rFonts w:ascii="宋体" w:cs="宋体"/>
                <w:color w:val="auto"/>
                <w:sz w:val="18"/>
                <w:szCs w:val="18"/>
                <w:highlight w:val="none"/>
              </w:rPr>
              <w:t xml:space="preserve">1</w:t>
            </w:r>
            <w:r>
              <w:rPr>
                <w:rFonts w:hint="eastAsia" w:ascii="宋体" w:cs="宋体"/>
                <w:color w:val="auto"/>
                <w:sz w:val="18"/>
                <w:szCs w:val="18"/>
                <w:highlight w:val="none"/>
              </w:rPr>
              <w:t xml:space="preserve">）</w:t>
            </w:r>
            <w:r>
              <w:rPr>
                <w:rFonts w:hint="eastAsia" w:ascii="宋体" w:cs="宋体"/>
                <w:color w:val="auto"/>
                <w:sz w:val="18"/>
                <w:szCs w:val="18"/>
                <w:highlight w:val="none"/>
                <w:lang w:val="zh-CN"/>
              </w:rPr>
              <w:t xml:space="preserve">被发现未采取相应防护安全措施，每次</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分</w:t>
            </w:r>
            <w:r>
              <w:rPr>
                <w:color w:val="auto"/>
              </w:rPr>
            </w:r>
            <w:r/>
          </w:p>
        </w:tc>
      </w:tr>
      <w:tr>
        <w:trPr>
          <w:jc w:val="center"/>
          <w:trHeight w:val="844"/>
        </w:trPr>
        <w:tc>
          <w:tcPr>
            <w:shd w:val="clear" w:color="000000" w:fill="ffffff"/>
            <w:tcBorders>
              <w:top w:val="single" w:color="000000" w:sz="2" w:space="0"/>
              <w:left w:val="single" w:color="000000" w:sz="2" w:space="0"/>
              <w:bottom w:val="single" w:color="000000" w:sz="2" w:space="0"/>
              <w:right w:val="single" w:color="000000" w:sz="2" w:space="0"/>
            </w:tcBorders>
            <w:tcW w:w="471"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742"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669" w:type="dxa"/>
            <w:textDirection w:val="lrTb"/>
            <w:noWrap/>
          </w:tcPr>
          <w:p>
            <w:pPr>
              <w:rPr>
                <w:rFonts w:ascii="宋体"/>
                <w:color w:val="auto"/>
                <w:sz w:val="18"/>
                <w:szCs w:val="18"/>
                <w:highlight w:val="none"/>
              </w:rPr>
            </w:pPr>
            <w:r>
              <w:rPr>
                <w:rFonts w:hint="eastAsia" w:ascii="宋体" w:cs="宋体"/>
                <w:color w:val="auto"/>
                <w:sz w:val="18"/>
                <w:szCs w:val="18"/>
                <w:highlight w:val="none"/>
                <w:lang w:val="zh-CN"/>
              </w:rPr>
              <w:t xml:space="preserve">在地面上掏挖井内污泥或维修检查时，应戴口罩，必要时还应采取防毒措施。</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3</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rPr>
                <w:rFonts w:ascii="宋体"/>
                <w:color w:val="auto"/>
                <w:sz w:val="18"/>
                <w:szCs w:val="18"/>
                <w:highlight w:val="none"/>
              </w:rPr>
            </w:pPr>
            <w:r>
              <w:rPr>
                <w:rFonts w:ascii="宋体" w:cs="宋体"/>
                <w:color w:val="auto"/>
                <w:sz w:val="18"/>
                <w:szCs w:val="18"/>
                <w:highlight w:val="none"/>
              </w:rPr>
              <w:t xml:space="preserve">1</w:t>
            </w:r>
            <w:r>
              <w:rPr>
                <w:rFonts w:hint="eastAsia" w:ascii="宋体" w:cs="宋体"/>
                <w:color w:val="auto"/>
                <w:sz w:val="18"/>
                <w:szCs w:val="18"/>
                <w:highlight w:val="none"/>
              </w:rPr>
              <w:t xml:space="preserve">）</w:t>
            </w:r>
            <w:r>
              <w:rPr>
                <w:rFonts w:hint="eastAsia" w:ascii="宋体" w:cs="宋体"/>
                <w:color w:val="auto"/>
                <w:sz w:val="18"/>
                <w:szCs w:val="18"/>
                <w:highlight w:val="none"/>
                <w:lang w:val="zh-CN"/>
              </w:rPr>
              <w:t xml:space="preserve">被发现未采取相应防护安全措施，每次</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分</w:t>
            </w:r>
            <w:r>
              <w:rPr>
                <w:color w:val="auto"/>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471"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742" w:type="dxa"/>
            <w:vAlign w:val="center"/>
            <w:vMerge w:val="restart"/>
            <w:textDirection w:val="lrTb"/>
            <w:noWrap/>
          </w:tcPr>
          <w:p>
            <w:pPr>
              <w:jc w:val="center"/>
              <w:rPr>
                <w:rFonts w:ascii="宋体"/>
                <w:color w:val="auto"/>
                <w:sz w:val="18"/>
                <w:szCs w:val="18"/>
                <w:highlight w:val="none"/>
              </w:rPr>
            </w:pPr>
            <w:r>
              <w:rPr>
                <w:rFonts w:hint="eastAsia" w:ascii="宋体" w:cs="宋体"/>
                <w:color w:val="auto"/>
                <w:sz w:val="18"/>
                <w:szCs w:val="18"/>
                <w:highlight w:val="none"/>
                <w:lang w:val="zh-CN"/>
              </w:rPr>
              <w:t xml:space="preserve">井下作业</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2669" w:type="dxa"/>
            <w:vAlign w:val="center"/>
            <w:textDirection w:val="lrTb"/>
            <w:noWrap/>
          </w:tcPr>
          <w:p>
            <w:pPr>
              <w:rPr>
                <w:rFonts w:ascii="宋体"/>
                <w:color w:val="auto"/>
                <w:sz w:val="18"/>
                <w:szCs w:val="18"/>
                <w:highlight w:val="none"/>
              </w:rPr>
            </w:pPr>
            <w:r>
              <w:rPr>
                <w:rFonts w:hint="eastAsia" w:ascii="宋体" w:cs="宋体"/>
                <w:color w:val="auto"/>
                <w:sz w:val="18"/>
                <w:szCs w:val="18"/>
                <w:highlight w:val="none"/>
                <w:lang w:val="zh-CN"/>
              </w:rPr>
              <w:t xml:space="preserve">下井作业前，应履行报批程序，同意后由有资质的专业人员才能下井作业</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5</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textDirection w:val="lrTb"/>
            <w:noWrap/>
          </w:tcPr>
          <w:p>
            <w:pPr>
              <w:rPr>
                <w:rFonts w:ascii="宋体"/>
                <w:color w:val="auto"/>
                <w:sz w:val="18"/>
                <w:szCs w:val="18"/>
                <w:highlight w:val="none"/>
              </w:rPr>
            </w:pPr>
            <w:r>
              <w:rPr>
                <w:rFonts w:ascii="宋体" w:cs="宋体"/>
                <w:color w:val="auto"/>
                <w:sz w:val="18"/>
                <w:szCs w:val="18"/>
                <w:highlight w:val="none"/>
              </w:rPr>
              <w:t xml:space="preserve">1</w:t>
            </w:r>
            <w:r>
              <w:rPr>
                <w:rFonts w:hint="eastAsia" w:ascii="宋体" w:cs="宋体"/>
                <w:color w:val="auto"/>
                <w:sz w:val="18"/>
                <w:szCs w:val="18"/>
                <w:highlight w:val="none"/>
              </w:rPr>
              <w:t xml:space="preserve">）</w:t>
            </w:r>
            <w:r>
              <w:rPr>
                <w:rFonts w:hint="eastAsia" w:ascii="宋体" w:cs="宋体"/>
                <w:color w:val="auto"/>
                <w:sz w:val="18"/>
                <w:szCs w:val="18"/>
                <w:highlight w:val="none"/>
                <w:lang w:val="zh-CN"/>
              </w:rPr>
              <w:t xml:space="preserve">被发现未报批直接下井作业，每次</w:t>
            </w:r>
            <w:r>
              <w:rPr>
                <w:color w:val="auto"/>
              </w:rPr>
            </w:r>
            <w:r/>
          </w:p>
          <w:p>
            <w:pPr>
              <w:rPr>
                <w:rFonts w:ascii="宋体"/>
                <w:color w:val="auto"/>
                <w:sz w:val="18"/>
                <w:szCs w:val="18"/>
                <w:highlight w:val="none"/>
              </w:rPr>
            </w:pPr>
            <w:r>
              <w:rPr>
                <w:rFonts w:ascii="宋体" w:cs="宋体"/>
                <w:color w:val="auto"/>
                <w:sz w:val="18"/>
                <w:szCs w:val="18"/>
                <w:highlight w:val="none"/>
              </w:rPr>
              <w:t xml:space="preserve">2</w:t>
            </w:r>
            <w:r>
              <w:rPr>
                <w:rFonts w:hint="eastAsia" w:ascii="宋体" w:cs="宋体"/>
                <w:color w:val="auto"/>
                <w:sz w:val="18"/>
                <w:szCs w:val="18"/>
                <w:highlight w:val="none"/>
              </w:rPr>
              <w:t xml:space="preserve">）</w:t>
            </w:r>
            <w:r>
              <w:rPr>
                <w:rFonts w:hint="eastAsia" w:ascii="宋体" w:cs="宋体"/>
                <w:color w:val="auto"/>
                <w:sz w:val="18"/>
                <w:szCs w:val="18"/>
                <w:highlight w:val="none"/>
                <w:lang w:val="zh-CN"/>
              </w:rPr>
              <w:t xml:space="preserve">被发现未报批直接下井作业，且由非专业人员进行，每次</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-3</w:t>
            </w:r>
            <w:r>
              <w:rPr>
                <w:rFonts w:hint="eastAsia" w:ascii="宋体" w:cs="宋体"/>
                <w:color w:val="auto"/>
                <w:sz w:val="18"/>
                <w:szCs w:val="18"/>
                <w:highlight w:val="none"/>
                <w:lang w:val="zh-CN"/>
              </w:rPr>
              <w:t xml:space="preserve">分</w:t>
            </w:r>
            <w:r>
              <w:rPr>
                <w:color w:val="auto"/>
              </w:rPr>
            </w:r>
            <w:r/>
          </w:p>
          <w:p>
            <w:pPr>
              <w:jc w:val="center"/>
              <w:rPr>
                <w:rFonts w:ascii="宋体"/>
                <w:color w:val="auto"/>
                <w:sz w:val="18"/>
                <w:szCs w:val="18"/>
                <w:highlight w:val="none"/>
              </w:rPr>
            </w:pPr>
            <w:r>
              <w:rPr>
                <w:rFonts w:ascii="宋体"/>
                <w:color w:val="auto"/>
                <w:sz w:val="18"/>
                <w:szCs w:val="18"/>
                <w:highlight w:val="none"/>
                <w:lang w:val="zh-CN"/>
              </w:rPr>
            </w:r>
            <w:r>
              <w:rPr>
                <w:color w:val="auto"/>
              </w:rPr>
            </w:r>
            <w:r/>
          </w:p>
          <w:p>
            <w:pPr>
              <w:jc w:val="center"/>
              <w:rPr>
                <w:rFonts w:ascii="宋体"/>
                <w:color w:val="auto"/>
                <w:sz w:val="18"/>
                <w:szCs w:val="18"/>
                <w:highlight w:val="none"/>
              </w:rPr>
            </w:pPr>
            <w:r>
              <w:rPr>
                <w:rFonts w:ascii="宋体" w:cs="宋体"/>
                <w:color w:val="auto"/>
                <w:sz w:val="18"/>
                <w:szCs w:val="18"/>
                <w:highlight w:val="none"/>
                <w:lang w:val="zh-CN"/>
              </w:rPr>
              <w:t xml:space="preserve">-5</w:t>
            </w:r>
            <w:r>
              <w:rPr>
                <w:rFonts w:hint="eastAsia" w:ascii="宋体" w:cs="宋体"/>
                <w:color w:val="auto"/>
                <w:sz w:val="18"/>
                <w:szCs w:val="18"/>
                <w:highlight w:val="none"/>
                <w:lang w:val="zh-CN"/>
              </w:rPr>
              <w:t xml:space="preserve">分</w:t>
            </w:r>
            <w:r>
              <w:rPr>
                <w:color w:val="auto"/>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471"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742" w:type="dxa"/>
            <w:vAlign w:val="center"/>
            <w:vMerge w:val="continue"/>
            <w:textDirection w:val="lrTb"/>
            <w:noWrap/>
          </w:tcPr>
          <w:p>
            <w:pPr>
              <w:jc w:val="center"/>
              <w:rPr>
                <w:rFonts w:ascii="宋体"/>
                <w:sz w:val="18"/>
                <w:szCs w:val="18"/>
                <w:highlight w:val="none"/>
                <w:lang w:val="zh-CN"/>
              </w:rPr>
            </w:pPr>
            <w:r>
              <w:rPr>
                <w:rFonts w:ascii="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669" w:type="dxa"/>
            <w:textDirection w:val="lrTb"/>
            <w:noWrap/>
          </w:tcPr>
          <w:p>
            <w:pPr>
              <w:rPr>
                <w:rFonts w:ascii="宋体"/>
                <w:color w:val="auto"/>
                <w:sz w:val="18"/>
                <w:szCs w:val="18"/>
                <w:highlight w:val="none"/>
              </w:rPr>
            </w:pPr>
            <w:r>
              <w:rPr>
                <w:rFonts w:hint="eastAsia" w:ascii="宋体" w:cs="宋体"/>
                <w:color w:val="auto"/>
                <w:sz w:val="18"/>
                <w:szCs w:val="18"/>
                <w:highlight w:val="none"/>
                <w:lang w:val="zh-CN"/>
              </w:rPr>
              <w:t xml:space="preserve">专业作业人员下井时，必须配备悬托式安全带，其性能必须符合国家标准。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rPr>
                <w:rFonts w:ascii="宋体"/>
                <w:color w:val="auto"/>
                <w:sz w:val="18"/>
                <w:szCs w:val="18"/>
                <w:highlight w:val="none"/>
              </w:rPr>
            </w:pPr>
            <w:r>
              <w:rPr>
                <w:rFonts w:ascii="宋体" w:cs="宋体"/>
                <w:color w:val="auto"/>
                <w:sz w:val="18"/>
                <w:szCs w:val="18"/>
                <w:highlight w:val="none"/>
              </w:rPr>
              <w:t xml:space="preserve">1</w:t>
            </w:r>
            <w:r>
              <w:rPr>
                <w:rFonts w:hint="eastAsia" w:ascii="宋体" w:cs="宋体"/>
                <w:color w:val="auto"/>
                <w:sz w:val="18"/>
                <w:szCs w:val="18"/>
                <w:highlight w:val="none"/>
              </w:rPr>
              <w:t xml:space="preserve">）</w:t>
            </w:r>
            <w:r>
              <w:rPr>
                <w:rFonts w:hint="eastAsia" w:ascii="宋体" w:cs="宋体"/>
                <w:color w:val="auto"/>
                <w:sz w:val="18"/>
                <w:szCs w:val="18"/>
                <w:highlight w:val="none"/>
                <w:lang w:val="zh-CN"/>
              </w:rPr>
              <w:t xml:space="preserve">被发现未采取保护安全措施，每次</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分</w:t>
            </w:r>
            <w:r>
              <w:rPr>
                <w:color w:val="auto"/>
              </w:rPr>
            </w:r>
            <w:r/>
          </w:p>
        </w:tc>
      </w:tr>
      <w:tr>
        <w:trPr>
          <w:jc w:val="center"/>
          <w:trHeight w:val="1712"/>
        </w:trPr>
        <w:tc>
          <w:tcPr>
            <w:shd w:val="clear" w:color="000000" w:fill="ffffff"/>
            <w:tcBorders>
              <w:top w:val="single" w:color="000000" w:sz="2" w:space="0"/>
              <w:left w:val="single" w:color="000000" w:sz="2" w:space="0"/>
              <w:bottom w:val="single" w:color="000000" w:sz="2" w:space="0"/>
              <w:right w:val="single" w:color="000000" w:sz="2" w:space="0"/>
            </w:tcBorders>
            <w:tcW w:w="471" w:type="dxa"/>
            <w:vAlign w:val="center"/>
            <w:vMerge w:val="continue"/>
            <w:textDirection w:val="lrTb"/>
            <w:noWrap/>
          </w:tcPr>
          <w:p>
            <w:pPr>
              <w:jc w:val="center"/>
              <w:rPr>
                <w:rFonts w:ascii="宋体" w:cs="宋体"/>
                <w:sz w:val="18"/>
                <w:szCs w:val="18"/>
                <w:highlight w:val="none"/>
                <w:lang w:val="zh-CN"/>
              </w:rPr>
            </w:pPr>
            <w:r>
              <w:rPr>
                <w:rFonts w:ascii="宋体" w:cs="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vMerge w:val="continue"/>
            <w:textDirection w:val="lrTb"/>
            <w:noWrap/>
          </w:tcPr>
          <w:p>
            <w:pPr>
              <w:jc w:val="center"/>
              <w:rPr>
                <w:rFonts w:ascii="宋体" w:cs="宋体"/>
                <w:sz w:val="18"/>
                <w:szCs w:val="18"/>
                <w:highlight w:val="none"/>
                <w:lang w:val="zh-CN"/>
              </w:rPr>
            </w:pPr>
            <w:r>
              <w:rPr>
                <w:rFonts w:ascii="宋体" w:cs="宋体"/>
                <w:sz w:val="18"/>
                <w:szCs w:val="18"/>
                <w:highlight w:val="none"/>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742" w:type="dxa"/>
            <w:vAlign w:val="center"/>
            <w:vMerge w:val="continue"/>
            <w:textDirection w:val="lrTb"/>
            <w:noWrap/>
          </w:tcPr>
          <w:p>
            <w:pPr>
              <w:jc w:val="center"/>
              <w:rPr>
                <w:rFonts w:ascii="宋体" w:cs="宋体"/>
                <w:sz w:val="18"/>
                <w:szCs w:val="18"/>
                <w:highlight w:val="none"/>
                <w:lang w:val="zh-CN"/>
              </w:rPr>
            </w:pPr>
            <w:r>
              <w:rPr>
                <w:rFonts w:ascii="宋体" w:cs="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669" w:type="dxa"/>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专业人员下井作业时，需持气体</w:t>
            </w:r>
            <w:r>
              <w:rPr>
                <w:rFonts w:hint="eastAsia" w:ascii="宋体" w:cs="宋体"/>
                <w:color w:val="auto"/>
                <w:sz w:val="18"/>
                <w:szCs w:val="18"/>
                <w:highlight w:val="none"/>
              </w:rPr>
              <w:t xml:space="preserve">检测</w:t>
            </w:r>
            <w:r>
              <w:rPr>
                <w:rFonts w:hint="eastAsia" w:ascii="宋体" w:cs="宋体"/>
                <w:color w:val="auto"/>
                <w:sz w:val="18"/>
                <w:szCs w:val="18"/>
                <w:highlight w:val="none"/>
                <w:lang w:val="zh-CN"/>
              </w:rPr>
              <w:t xml:space="preserve">仪先行检测确保安全，井上应有两人监护。若进入管道，还应在井内增加监护人员作中间联络，监护人员不得擅离职守。</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rPr>
                <w:rFonts w:ascii="宋体" w:cs="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）被发现未配备监护人员，每次</w:t>
            </w:r>
            <w:r>
              <w:rPr>
                <w:color w:val="auto"/>
              </w:rPr>
            </w:r>
            <w:r/>
          </w:p>
          <w:p>
            <w:pPr>
              <w:rPr>
                <w:rFonts w:ascii="宋体" w:cs="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）被发现监护人员擅离职守，每次</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分</w:t>
            </w:r>
            <w:r>
              <w:rPr>
                <w:color w:val="auto"/>
              </w:rPr>
            </w:r>
            <w:r/>
          </w:p>
          <w:p>
            <w:pPr>
              <w:jc w:val="center"/>
              <w:rPr>
                <w:rFonts w:ascii="宋体" w:cs="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分</w:t>
            </w:r>
            <w:r>
              <w:rPr>
                <w:color w:val="auto"/>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471" w:type="dxa"/>
            <w:vAlign w:val="center"/>
            <w:vMerge w:val="continue"/>
            <w:textDirection w:val="lrTb"/>
            <w:noWrap/>
          </w:tcPr>
          <w:p>
            <w:pPr>
              <w:jc w:val="center"/>
              <w:rPr>
                <w:rFonts w:ascii="宋体" w:cs="宋体"/>
                <w:sz w:val="18"/>
                <w:szCs w:val="18"/>
                <w:highlight w:val="none"/>
                <w:lang w:val="zh-CN"/>
              </w:rPr>
            </w:pPr>
            <w:r>
              <w:rPr>
                <w:rFonts w:ascii="宋体" w:cs="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vMerge w:val="continue"/>
            <w:textDirection w:val="lrTb"/>
            <w:noWrap/>
          </w:tcPr>
          <w:p>
            <w:pPr>
              <w:jc w:val="center"/>
              <w:rPr>
                <w:rFonts w:ascii="宋体" w:cs="宋体"/>
                <w:sz w:val="18"/>
                <w:szCs w:val="18"/>
                <w:highlight w:val="none"/>
                <w:lang w:val="zh-CN"/>
              </w:rPr>
            </w:pPr>
            <w:r>
              <w:rPr>
                <w:rFonts w:ascii="宋体" w:cs="宋体"/>
                <w:sz w:val="18"/>
                <w:szCs w:val="18"/>
                <w:highlight w:val="none"/>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742" w:type="dxa"/>
            <w:vAlign w:val="center"/>
            <w:vMerge w:val="restart"/>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安全教育及培训</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2669" w:type="dxa"/>
            <w:vAlign w:val="center"/>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工人上岗前安全教育，每月应至少召开一次全体养护人员参加的安全生产会议，并有相应的台账记录。</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4</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rPr>
                <w:rFonts w:ascii="宋体" w:cs="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）台账内容不全不规范，每次</w:t>
            </w:r>
            <w:r>
              <w:rPr>
                <w:color w:val="auto"/>
              </w:rPr>
            </w:r>
            <w:r/>
          </w:p>
          <w:p>
            <w:pPr>
              <w:rPr>
                <w:rFonts w:ascii="宋体" w:cs="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）发现无台账，每次</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分</w:t>
            </w:r>
            <w:r>
              <w:rPr>
                <w:color w:val="auto"/>
              </w:rPr>
            </w:r>
            <w:r/>
          </w:p>
          <w:p>
            <w:pPr>
              <w:jc w:val="center"/>
              <w:rPr>
                <w:rFonts w:ascii="宋体" w:cs="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tc>
      </w:tr>
      <w:tr>
        <w:trPr>
          <w:jc w:val="center"/>
          <w:trHeight w:val="497"/>
        </w:trPr>
        <w:tc>
          <w:tcPr>
            <w:shd w:val="clear" w:color="000000" w:fill="ffffff"/>
            <w:tcBorders>
              <w:top w:val="single" w:color="000000" w:sz="2" w:space="0"/>
              <w:left w:val="single" w:color="000000" w:sz="2" w:space="0"/>
              <w:bottom w:val="single" w:color="000000" w:sz="2" w:space="0"/>
              <w:right w:val="single" w:color="000000" w:sz="2" w:space="0"/>
            </w:tcBorders>
            <w:tcW w:w="471" w:type="dxa"/>
            <w:vAlign w:val="center"/>
            <w:vMerge w:val="continue"/>
            <w:textDirection w:val="lrTb"/>
            <w:noWrap/>
          </w:tcPr>
          <w:p>
            <w:pPr>
              <w:jc w:val="center"/>
              <w:rPr>
                <w:rFonts w:ascii="宋体" w:cs="宋体"/>
                <w:sz w:val="18"/>
                <w:szCs w:val="18"/>
                <w:highlight w:val="none"/>
                <w:lang w:val="zh-CN"/>
              </w:rPr>
            </w:pPr>
            <w:r>
              <w:rPr>
                <w:rFonts w:ascii="宋体" w:cs="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vMerge w:val="continue"/>
            <w:textDirection w:val="lrTb"/>
            <w:noWrap/>
          </w:tcPr>
          <w:p>
            <w:pPr>
              <w:jc w:val="center"/>
              <w:rPr>
                <w:rFonts w:ascii="宋体" w:cs="宋体"/>
                <w:sz w:val="18"/>
                <w:szCs w:val="18"/>
                <w:highlight w:val="none"/>
                <w:lang w:val="zh-CN"/>
              </w:rPr>
            </w:pPr>
            <w:r>
              <w:rPr>
                <w:rFonts w:ascii="宋体" w:cs="宋体"/>
                <w:sz w:val="18"/>
                <w:szCs w:val="18"/>
                <w:highlight w:val="none"/>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742" w:type="dxa"/>
            <w:vMerge w:val="continue"/>
            <w:textDirection w:val="lrTb"/>
            <w:noWrap/>
          </w:tcPr>
          <w:p>
            <w:pPr>
              <w:jc w:val="center"/>
              <w:rPr>
                <w:rFonts w:ascii="宋体" w:cs="宋体"/>
                <w:sz w:val="18"/>
                <w:szCs w:val="18"/>
                <w:highlight w:val="none"/>
                <w:lang w:val="zh-CN"/>
              </w:rPr>
            </w:pPr>
            <w:r>
              <w:rPr>
                <w:rFonts w:ascii="宋体" w:cs="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669" w:type="dxa"/>
            <w:vAlign w:val="center"/>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新工人的安全培训工作</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4</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rPr>
                <w:rFonts w:ascii="宋体" w:cs="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）台账内容不全不规范，每次</w:t>
            </w:r>
            <w:r>
              <w:rPr>
                <w:color w:val="auto"/>
              </w:rPr>
            </w:r>
            <w:r/>
          </w:p>
          <w:p>
            <w:pPr>
              <w:rPr>
                <w:rFonts w:ascii="宋体" w:cs="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）发现无台账，每次</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分</w:t>
            </w:r>
            <w:r>
              <w:rPr>
                <w:color w:val="auto"/>
              </w:rPr>
            </w:r>
            <w:r/>
          </w:p>
          <w:p>
            <w:pPr>
              <w:jc w:val="center"/>
              <w:rPr>
                <w:rFonts w:ascii="宋体" w:cs="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tc>
      </w:tr>
      <w:tr>
        <w:trPr>
          <w:jc w:val="center"/>
          <w:trHeight w:val="897"/>
        </w:trPr>
        <w:tc>
          <w:tcPr>
            <w:shd w:val="clear" w:color="000000" w:fill="ffffff"/>
            <w:tcBorders>
              <w:top w:val="single" w:color="000000" w:sz="2" w:space="0"/>
              <w:left w:val="single" w:color="000000" w:sz="2" w:space="0"/>
              <w:bottom w:val="single" w:color="000000" w:sz="2" w:space="0"/>
              <w:right w:val="single" w:color="000000" w:sz="2" w:space="0"/>
            </w:tcBorders>
            <w:tcW w:w="471" w:type="dxa"/>
            <w:vAlign w:val="center"/>
            <w:vMerge w:val="continue"/>
            <w:textDirection w:val="lrTb"/>
            <w:noWrap/>
          </w:tcPr>
          <w:p>
            <w:pPr>
              <w:jc w:val="center"/>
              <w:rPr>
                <w:rFonts w:ascii="宋体" w:cs="宋体"/>
                <w:sz w:val="18"/>
                <w:szCs w:val="18"/>
                <w:highlight w:val="none"/>
                <w:lang w:val="zh-CN"/>
              </w:rPr>
            </w:pPr>
            <w:r>
              <w:rPr>
                <w:rFonts w:ascii="宋体" w:cs="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vMerge w:val="continue"/>
            <w:textDirection w:val="lrTb"/>
            <w:noWrap/>
          </w:tcPr>
          <w:p>
            <w:pPr>
              <w:jc w:val="center"/>
              <w:rPr>
                <w:rFonts w:ascii="宋体" w:cs="宋体"/>
                <w:sz w:val="18"/>
                <w:szCs w:val="18"/>
                <w:highlight w:val="none"/>
                <w:lang w:val="zh-CN"/>
              </w:rPr>
            </w:pPr>
            <w:r>
              <w:rPr>
                <w:rFonts w:ascii="宋体" w:cs="宋体"/>
                <w:sz w:val="18"/>
                <w:szCs w:val="18"/>
                <w:highlight w:val="none"/>
                <w:lang w:val="zh-CN"/>
              </w:rPr>
            </w:r>
            <w:r/>
          </w:p>
        </w:tc>
        <w:tc>
          <w:tcPr>
            <w:gridSpan w:val="3"/>
            <w:shd w:val="clear" w:color="000000" w:fill="ffffff"/>
            <w:tcBorders>
              <w:top w:val="single" w:color="000000" w:sz="2" w:space="0"/>
              <w:left w:val="single" w:color="000000" w:sz="2" w:space="0"/>
              <w:bottom w:val="single" w:color="000000" w:sz="2" w:space="0"/>
              <w:right w:val="single" w:color="000000" w:sz="2" w:space="0"/>
            </w:tcBorders>
            <w:tcW w:w="3411" w:type="dxa"/>
            <w:vAlign w:val="center"/>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保障排水管道养护人员的作业安全和身体健康，提高排水管道养护的技术水平，预防作业安全事故发生。</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rPr>
                <w:rFonts w:ascii="宋体" w:cs="宋体"/>
                <w:color w:val="auto"/>
                <w:sz w:val="18"/>
                <w:szCs w:val="18"/>
                <w:highlight w:val="none"/>
              </w:rPr>
            </w:pPr>
            <w:r>
              <w:rPr>
                <w:rFonts w:hint="eastAsia" w:ascii="宋体" w:cs="宋体"/>
                <w:color w:val="auto"/>
                <w:sz w:val="18"/>
                <w:szCs w:val="18"/>
                <w:highlight w:val="none"/>
                <w:lang w:val="zh-CN"/>
              </w:rPr>
              <w:t xml:space="preserve">一旦发生生产安全责任事故，考核不合格，并由服务商承担责任并赔偿损失。</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r>
            <w:r>
              <w:rPr>
                <w:color w:val="auto"/>
              </w:rPr>
            </w:r>
            <w:r/>
          </w:p>
        </w:tc>
      </w:tr>
      <w:tr>
        <w:trPr>
          <w:jc w:val="center"/>
          <w:trHeight w:val="1"/>
        </w:trPr>
        <w:tc>
          <w:tcPr>
            <w:shd w:val="clear" w:color="000000" w:fill="ffffff"/>
            <w:tcBorders>
              <w:top w:val="single" w:color="000000" w:sz="2" w:space="0"/>
              <w:left w:val="single" w:color="000000" w:sz="2" w:space="0"/>
              <w:right w:val="single" w:color="000000" w:sz="2" w:space="0"/>
            </w:tcBorders>
            <w:tcW w:w="471" w:type="dxa"/>
            <w:vAlign w:val="center"/>
            <w:vMerge w:val="restart"/>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4</w:t>
            </w:r>
            <w:r>
              <w:rPr>
                <w:color w:val="auto"/>
              </w:rPr>
            </w:r>
            <w:r/>
          </w:p>
        </w:tc>
        <w:tc>
          <w:tcPr>
            <w:shd w:val="clear" w:color="000000" w:fill="ffffff"/>
            <w:tcBorders>
              <w:top w:val="single" w:color="000000" w:sz="2" w:space="0"/>
              <w:left w:val="single" w:color="000000" w:sz="2" w:space="0"/>
              <w:right w:val="single" w:color="000000" w:sz="2" w:space="0"/>
            </w:tcBorders>
            <w:tcW w:w="789" w:type="dxa"/>
            <w:vAlign w:val="center"/>
            <w:vMerge w:val="restart"/>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应急预案措施</w:t>
            </w:r>
            <w:r>
              <w:rPr>
                <w:color w:val="auto"/>
              </w:rPr>
            </w:r>
            <w:r/>
          </w:p>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临时配合</w:t>
            </w:r>
            <w:r>
              <w:rPr>
                <w:color w:val="auto"/>
              </w:rPr>
            </w:r>
            <w:r/>
          </w:p>
          <w:p>
            <w:pPr>
              <w:jc w:val="center"/>
              <w:rPr>
                <w:rFonts w:ascii="宋体" w:cs="宋体"/>
                <w:color w:val="auto"/>
                <w:sz w:val="18"/>
                <w:szCs w:val="18"/>
                <w:highlight w:val="none"/>
              </w:rPr>
            </w:pPr>
            <w:r>
              <w:rPr>
                <w:rFonts w:ascii="宋体" w:cs="宋体"/>
                <w:color w:val="auto"/>
                <w:sz w:val="18"/>
                <w:szCs w:val="18"/>
                <w:highlight w:val="none"/>
                <w:lang w:val="zh-CN"/>
              </w:rPr>
            </w:r>
            <w:r>
              <w:rPr>
                <w:color w:val="auto"/>
              </w:rPr>
            </w:r>
            <w:r/>
          </w:p>
          <w:p>
            <w:pPr>
              <w:jc w:val="center"/>
              <w:rPr>
                <w:rFonts w:ascii="宋体" w:cs="宋体"/>
                <w:color w:val="auto"/>
                <w:sz w:val="18"/>
                <w:szCs w:val="18"/>
                <w:highlight w:val="none"/>
              </w:rPr>
            </w:pPr>
            <w:r>
              <w:rPr>
                <w:rFonts w:ascii="宋体" w:cs="宋体"/>
                <w:color w:val="auto"/>
                <w:sz w:val="18"/>
                <w:szCs w:val="18"/>
                <w:highlight w:val="none"/>
                <w:lang w:val="zh-CN"/>
              </w:rPr>
              <w:t xml:space="preserve">20</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651" w:type="dxa"/>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应急预案</w:t>
            </w:r>
            <w:r>
              <w:rPr>
                <w:color w:val="auto"/>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2759" w:type="dxa"/>
            <w:vAlign w:val="center"/>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建立各类应急预案，健全专项应急值班记录，加强重点区域安全保障措施，消除安全隐患</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6</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rPr>
                <w:rFonts w:ascii="宋体" w:cs="宋体"/>
                <w:color w:val="auto"/>
                <w:sz w:val="18"/>
                <w:szCs w:val="18"/>
                <w:highlight w:val="none"/>
              </w:rPr>
            </w:pPr>
            <w:r>
              <w:rPr>
                <w:rFonts w:ascii="宋体" w:cs="宋体"/>
                <w:color w:val="auto"/>
                <w:sz w:val="18"/>
                <w:szCs w:val="18"/>
                <w:highlight w:val="none"/>
                <w:lang w:val="zh-CN"/>
              </w:rPr>
              <w:t xml:space="preserve">1</w:t>
            </w:r>
            <w:r>
              <w:rPr>
                <w:rFonts w:hint="eastAsia" w:ascii="宋体" w:cs="宋体"/>
                <w:color w:val="auto"/>
                <w:sz w:val="18"/>
                <w:szCs w:val="18"/>
                <w:highlight w:val="none"/>
                <w:lang w:val="zh-CN"/>
              </w:rPr>
              <w:t xml:space="preserve">）未建立应急预案，每次</w:t>
            </w:r>
            <w:r>
              <w:rPr>
                <w:color w:val="auto"/>
              </w:rPr>
            </w:r>
            <w:r/>
          </w:p>
          <w:p>
            <w:pPr>
              <w:rPr>
                <w:rFonts w:ascii="宋体" w:cs="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）无应急保障措施或物资储备，每次</w:t>
            </w:r>
            <w:r>
              <w:rPr>
                <w:color w:val="auto"/>
              </w:rPr>
            </w:r>
            <w:r/>
          </w:p>
          <w:p>
            <w:pPr>
              <w:rPr>
                <w:rFonts w:ascii="宋体" w:cs="宋体"/>
                <w:color w:val="auto"/>
                <w:sz w:val="18"/>
                <w:szCs w:val="18"/>
                <w:highlight w:val="none"/>
              </w:rPr>
            </w:pPr>
            <w:r>
              <w:rPr>
                <w:rFonts w:ascii="宋体" w:cs="宋体"/>
                <w:color w:val="auto"/>
                <w:sz w:val="18"/>
                <w:szCs w:val="18"/>
                <w:highlight w:val="none"/>
                <w:lang w:val="zh-CN"/>
              </w:rPr>
              <w:t xml:space="preserve">3</w:t>
            </w:r>
            <w:r>
              <w:rPr>
                <w:rFonts w:hint="eastAsia" w:ascii="宋体" w:cs="宋体"/>
                <w:color w:val="auto"/>
                <w:sz w:val="18"/>
                <w:szCs w:val="18"/>
                <w:highlight w:val="none"/>
                <w:lang w:val="zh-CN"/>
              </w:rPr>
              <w:t xml:space="preserve">）发生有责事件，每次</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-3</w:t>
            </w:r>
            <w:r>
              <w:rPr>
                <w:rFonts w:hint="eastAsia" w:ascii="宋体" w:cs="宋体"/>
                <w:color w:val="auto"/>
                <w:sz w:val="18"/>
                <w:szCs w:val="18"/>
                <w:highlight w:val="none"/>
                <w:lang w:val="zh-CN"/>
              </w:rPr>
              <w:t xml:space="preserve">分</w:t>
            </w:r>
            <w:r>
              <w:rPr>
                <w:color w:val="auto"/>
              </w:rPr>
            </w:r>
            <w:r/>
          </w:p>
          <w:p>
            <w:pPr>
              <w:ind w:firstLine="180"/>
              <w:rPr>
                <w:rFonts w:ascii="宋体" w:cs="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p>
            <w:pPr>
              <w:jc w:val="center"/>
              <w:rPr>
                <w:rFonts w:ascii="宋体" w:cs="宋体"/>
                <w:color w:val="auto"/>
                <w:sz w:val="18"/>
                <w:szCs w:val="18"/>
                <w:highlight w:val="none"/>
              </w:rPr>
            </w:pPr>
            <w:r>
              <w:rPr>
                <w:rFonts w:ascii="宋体" w:cs="宋体"/>
                <w:color w:val="auto"/>
                <w:sz w:val="18"/>
                <w:szCs w:val="18"/>
                <w:highlight w:val="none"/>
                <w:lang w:val="zh-CN"/>
              </w:rPr>
              <w:t xml:space="preserve">-6</w:t>
            </w:r>
            <w:r>
              <w:rPr>
                <w:rFonts w:hint="eastAsia" w:ascii="宋体" w:cs="宋体"/>
                <w:color w:val="auto"/>
                <w:sz w:val="18"/>
                <w:szCs w:val="18"/>
                <w:highlight w:val="none"/>
                <w:lang w:val="zh-CN"/>
              </w:rPr>
              <w:t xml:space="preserve">分</w:t>
            </w:r>
            <w:r>
              <w:rPr>
                <w:color w:val="auto"/>
              </w:rPr>
            </w:r>
            <w:r/>
          </w:p>
        </w:tc>
      </w:tr>
      <w:tr>
        <w:trPr>
          <w:jc w:val="center"/>
          <w:trHeight w:val="1"/>
        </w:trPr>
        <w:tc>
          <w:tcPr>
            <w:shd w:val="clear" w:color="000000" w:fill="ffffff"/>
            <w:tcBorders>
              <w:left w:val="single" w:color="000000" w:sz="2" w:space="0"/>
              <w:right w:val="single" w:color="000000" w:sz="2" w:space="0"/>
            </w:tcBorders>
            <w:tcW w:w="471" w:type="dxa"/>
            <w:vAlign w:val="center"/>
            <w:vMerge w:val="continue"/>
            <w:textDirection w:val="lrTb"/>
            <w:noWrap/>
          </w:tcPr>
          <w:p>
            <w:pPr>
              <w:jc w:val="center"/>
              <w:rPr>
                <w:rFonts w:ascii="宋体" w:cs="宋体"/>
                <w:sz w:val="18"/>
                <w:szCs w:val="18"/>
                <w:highlight w:val="none"/>
                <w:lang w:val="zh-CN"/>
              </w:rPr>
            </w:pPr>
            <w:r>
              <w:rPr>
                <w:rFonts w:ascii="宋体" w:cs="宋体"/>
                <w:sz w:val="18"/>
                <w:szCs w:val="18"/>
                <w:highlight w:val="none"/>
                <w:lang w:val="zh-CN"/>
              </w:rPr>
            </w:r>
            <w:r/>
          </w:p>
        </w:tc>
        <w:tc>
          <w:tcPr>
            <w:shd w:val="clear" w:color="000000" w:fill="ffffff"/>
            <w:tcBorders>
              <w:left w:val="single" w:color="000000" w:sz="2" w:space="0"/>
              <w:right w:val="single" w:color="000000" w:sz="2" w:space="0"/>
            </w:tcBorders>
            <w:tcW w:w="789" w:type="dxa"/>
            <w:vAlign w:val="center"/>
            <w:vMerge w:val="continue"/>
            <w:textDirection w:val="lrTb"/>
            <w:noWrap/>
          </w:tcPr>
          <w:p>
            <w:pPr>
              <w:jc w:val="center"/>
              <w:rPr>
                <w:rFonts w:ascii="宋体" w:cs="宋体"/>
                <w:sz w:val="18"/>
                <w:szCs w:val="18"/>
                <w:highlight w:val="none"/>
                <w:lang w:val="zh-CN"/>
              </w:rPr>
            </w:pPr>
            <w:r>
              <w:rPr>
                <w:rFonts w:ascii="宋体" w:cs="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51" w:type="dxa"/>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应急处置</w:t>
            </w:r>
            <w:r>
              <w:rPr>
                <w:color w:val="auto"/>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2759" w:type="dxa"/>
            <w:vAlign w:val="center"/>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在接到因外力不可抗拒的原因引起排水不畅的污水冒溢或井盖缺失（破损）事件，应在规定时间内到达现场进行处理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6</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rPr>
                <w:rFonts w:ascii="宋体" w:cs="宋体"/>
                <w:color w:val="auto"/>
                <w:sz w:val="18"/>
                <w:szCs w:val="18"/>
                <w:highlight w:val="none"/>
              </w:rPr>
            </w:pPr>
            <w:r>
              <w:rPr>
                <w:rFonts w:hint="eastAsia" w:ascii="宋体" w:cs="宋体"/>
                <w:color w:val="auto"/>
                <w:sz w:val="18"/>
                <w:szCs w:val="18"/>
                <w:highlight w:val="none"/>
                <w:lang w:val="zh-CN"/>
              </w:rPr>
              <w:t xml:space="preserve">未及时赶到，每次</w:t>
            </w:r>
            <w:r>
              <w:rPr>
                <w:color w:val="auto"/>
              </w:rPr>
            </w:r>
            <w:r/>
          </w:p>
          <w:p>
            <w:pPr>
              <w:rPr>
                <w:rFonts w:ascii="宋体" w:cs="宋体"/>
                <w:color w:val="auto"/>
                <w:sz w:val="18"/>
                <w:szCs w:val="18"/>
                <w:highlight w:val="none"/>
              </w:rPr>
            </w:pPr>
            <w:r>
              <w:rPr>
                <w:rFonts w:hint="eastAsia" w:ascii="宋体" w:cs="宋体"/>
                <w:color w:val="auto"/>
                <w:sz w:val="18"/>
                <w:szCs w:val="18"/>
                <w:highlight w:val="none"/>
                <w:lang w:val="zh-CN"/>
              </w:rPr>
              <w:t xml:space="preserve">未到场完成处理，每次</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p>
            <w:pPr>
              <w:jc w:val="center"/>
              <w:rPr>
                <w:rFonts w:ascii="宋体" w:cs="宋体"/>
                <w:color w:val="auto"/>
                <w:sz w:val="18"/>
                <w:szCs w:val="18"/>
                <w:highlight w:val="none"/>
              </w:rPr>
            </w:pPr>
            <w:r>
              <w:rPr>
                <w:rFonts w:ascii="宋体" w:cs="宋体"/>
                <w:color w:val="auto"/>
                <w:sz w:val="18"/>
                <w:szCs w:val="18"/>
                <w:highlight w:val="none"/>
                <w:lang w:val="zh-CN"/>
              </w:rPr>
              <w:t xml:space="preserve">-3</w:t>
            </w:r>
            <w:r>
              <w:rPr>
                <w:rFonts w:hint="eastAsia" w:ascii="宋体" w:cs="宋体"/>
                <w:color w:val="auto"/>
                <w:sz w:val="18"/>
                <w:szCs w:val="18"/>
                <w:highlight w:val="none"/>
                <w:lang w:val="zh-CN"/>
              </w:rPr>
              <w:t xml:space="preserve">分</w:t>
            </w:r>
            <w:r>
              <w:rPr>
                <w:color w:val="auto"/>
              </w:rPr>
            </w:r>
            <w:r/>
          </w:p>
        </w:tc>
      </w:tr>
      <w:tr>
        <w:trPr>
          <w:jc w:val="center"/>
          <w:trHeight w:val="1187"/>
        </w:trPr>
        <w:tc>
          <w:tcPr>
            <w:shd w:val="clear" w:color="000000" w:fill="ffffff"/>
            <w:tcBorders>
              <w:left w:val="single" w:color="000000" w:sz="2" w:space="0"/>
              <w:right w:val="single" w:color="000000" w:sz="2" w:space="0"/>
            </w:tcBorders>
            <w:tcW w:w="471" w:type="dxa"/>
            <w:vAlign w:val="center"/>
            <w:vMerge w:val="continue"/>
            <w:textDirection w:val="lrTb"/>
            <w:noWrap/>
          </w:tcPr>
          <w:p>
            <w:pPr>
              <w:jc w:val="center"/>
              <w:rPr>
                <w:rFonts w:ascii="宋体" w:cs="宋体"/>
                <w:sz w:val="18"/>
                <w:szCs w:val="18"/>
                <w:highlight w:val="none"/>
                <w:lang w:val="zh-CN"/>
              </w:rPr>
            </w:pPr>
            <w:r>
              <w:rPr>
                <w:rFonts w:ascii="宋体" w:cs="宋体"/>
                <w:sz w:val="18"/>
                <w:szCs w:val="18"/>
                <w:highlight w:val="none"/>
                <w:lang w:val="zh-CN"/>
              </w:rPr>
            </w:r>
            <w:r/>
          </w:p>
        </w:tc>
        <w:tc>
          <w:tcPr>
            <w:shd w:val="clear" w:color="000000" w:fill="ffffff"/>
            <w:tcBorders>
              <w:left w:val="single" w:color="000000" w:sz="2" w:space="0"/>
              <w:right w:val="single" w:color="000000" w:sz="2" w:space="0"/>
            </w:tcBorders>
            <w:tcW w:w="789" w:type="dxa"/>
            <w:vAlign w:val="center"/>
            <w:vMerge w:val="continue"/>
            <w:textDirection w:val="lrTb"/>
            <w:noWrap/>
          </w:tcPr>
          <w:p>
            <w:pPr>
              <w:jc w:val="center"/>
              <w:rPr>
                <w:rFonts w:ascii="宋体" w:cs="宋体"/>
                <w:sz w:val="18"/>
                <w:szCs w:val="18"/>
                <w:highlight w:val="none"/>
                <w:lang w:val="zh-CN"/>
              </w:rPr>
            </w:pPr>
            <w:r>
              <w:rPr>
                <w:rFonts w:ascii="宋体" w:cs="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51" w:type="dxa"/>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处理投诉</w:t>
            </w:r>
            <w:r>
              <w:rPr>
                <w:color w:val="auto"/>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2759" w:type="dxa"/>
            <w:vAlign w:val="center"/>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根据采购方意见及时落实、处理投诉事件</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6</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rPr>
                <w:rFonts w:ascii="宋体" w:cs="宋体"/>
                <w:color w:val="auto"/>
                <w:sz w:val="18"/>
                <w:szCs w:val="18"/>
                <w:highlight w:val="none"/>
              </w:rPr>
            </w:pPr>
            <w:r>
              <w:rPr>
                <w:rFonts w:hint="eastAsia" w:ascii="宋体" w:cs="宋体"/>
                <w:color w:val="auto"/>
                <w:sz w:val="18"/>
                <w:szCs w:val="18"/>
                <w:highlight w:val="none"/>
                <w:lang w:val="zh-CN"/>
              </w:rPr>
              <w:t xml:space="preserve">（1）因办理不力，被新闻媒体、</w:t>
            </w:r>
            <w:r>
              <w:rPr>
                <w:rFonts w:ascii="宋体" w:cs="宋体"/>
                <w:color w:val="auto"/>
                <w:sz w:val="18"/>
                <w:szCs w:val="18"/>
                <w:highlight w:val="none"/>
                <w:lang w:val="zh-CN"/>
              </w:rPr>
              <w:t xml:space="preserve">12345</w:t>
            </w:r>
            <w:r>
              <w:rPr>
                <w:rFonts w:hint="eastAsia" w:ascii="宋体" w:cs="宋体"/>
                <w:color w:val="auto"/>
                <w:sz w:val="18"/>
                <w:szCs w:val="18"/>
                <w:highlight w:val="none"/>
                <w:lang w:val="zh-CN"/>
              </w:rPr>
              <w:t xml:space="preserve">、数字城管等相关媒体曝光或被再次投诉不满意的，每次</w:t>
            </w:r>
            <w:r>
              <w:rPr>
                <w:color w:val="auto"/>
              </w:rPr>
            </w:r>
            <w:r/>
          </w:p>
          <w:p>
            <w:pPr>
              <w:rPr>
                <w:rFonts w:ascii="宋体" w:cs="宋体"/>
                <w:color w:val="auto"/>
                <w:sz w:val="18"/>
                <w:szCs w:val="18"/>
                <w:highlight w:val="none"/>
              </w:rPr>
            </w:pPr>
            <w:r>
              <w:rPr>
                <w:rFonts w:hint="eastAsia" w:ascii="宋体" w:cs="宋体"/>
                <w:color w:val="auto"/>
                <w:sz w:val="18"/>
                <w:szCs w:val="18"/>
                <w:highlight w:val="none"/>
                <w:lang w:val="zh-CN"/>
              </w:rPr>
              <w:t xml:space="preserve">（2）因办理不力，被新闻媒体、</w:t>
            </w:r>
            <w:r>
              <w:rPr>
                <w:rFonts w:ascii="宋体" w:cs="宋体"/>
                <w:color w:val="auto"/>
                <w:sz w:val="18"/>
                <w:szCs w:val="18"/>
                <w:highlight w:val="none"/>
                <w:lang w:val="zh-CN"/>
              </w:rPr>
              <w:t xml:space="preserve">12345</w:t>
            </w:r>
            <w:r>
              <w:rPr>
                <w:rFonts w:hint="eastAsia" w:ascii="宋体" w:cs="宋体"/>
                <w:color w:val="auto"/>
                <w:sz w:val="18"/>
                <w:szCs w:val="18"/>
                <w:highlight w:val="none"/>
                <w:lang w:val="zh-CN"/>
              </w:rPr>
              <w:t xml:space="preserve">、数字城管等相关媒体曝光被再次投诉不满意的，每次</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p>
            <w:pPr>
              <w:jc w:val="center"/>
              <w:rPr>
                <w:rFonts w:ascii="宋体" w:cs="宋体"/>
                <w:color w:val="auto"/>
                <w:sz w:val="18"/>
                <w:szCs w:val="18"/>
                <w:highlight w:val="none"/>
              </w:rPr>
            </w:pPr>
            <w:r>
              <w:rPr>
                <w:rFonts w:ascii="宋体" w:cs="宋体"/>
                <w:color w:val="auto"/>
                <w:sz w:val="18"/>
                <w:szCs w:val="18"/>
                <w:highlight w:val="none"/>
                <w:lang w:val="zh-CN"/>
              </w:rPr>
              <w:t xml:space="preserve">-6</w:t>
            </w:r>
            <w:r>
              <w:rPr>
                <w:rFonts w:hint="eastAsia" w:ascii="宋体" w:cs="宋体"/>
                <w:color w:val="auto"/>
                <w:sz w:val="18"/>
                <w:szCs w:val="18"/>
                <w:highlight w:val="none"/>
                <w:lang w:val="zh-CN"/>
              </w:rPr>
              <w:t xml:space="preserve">分</w:t>
            </w:r>
            <w:r>
              <w:rPr>
                <w:color w:val="auto"/>
              </w:rPr>
            </w:r>
            <w:r/>
          </w:p>
        </w:tc>
      </w:tr>
      <w:tr>
        <w:trPr>
          <w:jc w:val="center"/>
          <w:trHeight w:val="1"/>
        </w:trPr>
        <w:tc>
          <w:tcPr>
            <w:shd w:val="clear" w:color="000000" w:fill="ffffff"/>
            <w:tcBorders>
              <w:left w:val="single" w:color="000000" w:sz="2" w:space="0"/>
              <w:bottom w:val="single" w:color="000000" w:sz="2" w:space="0"/>
              <w:right w:val="single" w:color="000000" w:sz="2" w:space="0"/>
            </w:tcBorders>
            <w:tcW w:w="471" w:type="dxa"/>
            <w:vAlign w:val="center"/>
            <w:vMerge w:val="continue"/>
            <w:textDirection w:val="lrTb"/>
            <w:noWrap/>
          </w:tcPr>
          <w:p>
            <w:pPr>
              <w:jc w:val="center"/>
              <w:rPr>
                <w:rFonts w:ascii="宋体" w:cs="宋体"/>
                <w:sz w:val="18"/>
                <w:szCs w:val="18"/>
                <w:highlight w:val="none"/>
                <w:lang w:val="zh-CN"/>
              </w:rPr>
            </w:pPr>
            <w:r>
              <w:rPr>
                <w:rFonts w:ascii="宋体" w:cs="宋体"/>
                <w:sz w:val="18"/>
                <w:szCs w:val="18"/>
                <w:highlight w:val="none"/>
                <w:lang w:val="zh-CN"/>
              </w:rPr>
            </w:r>
            <w:r/>
          </w:p>
        </w:tc>
        <w:tc>
          <w:tcPr>
            <w:shd w:val="clear" w:color="000000" w:fill="ffffff"/>
            <w:tcBorders>
              <w:left w:val="single" w:color="000000" w:sz="2" w:space="0"/>
              <w:bottom w:val="single" w:color="000000" w:sz="2" w:space="0"/>
              <w:right w:val="single" w:color="000000" w:sz="2" w:space="0"/>
            </w:tcBorders>
            <w:tcW w:w="789" w:type="dxa"/>
            <w:vAlign w:val="center"/>
            <w:vMerge w:val="continue"/>
            <w:textDirection w:val="lrTb"/>
            <w:noWrap/>
          </w:tcPr>
          <w:p>
            <w:pPr>
              <w:jc w:val="center"/>
              <w:rPr>
                <w:rFonts w:ascii="宋体" w:cs="宋体"/>
                <w:sz w:val="18"/>
                <w:szCs w:val="18"/>
                <w:highlight w:val="none"/>
                <w:lang w:val="zh-CN"/>
              </w:rPr>
            </w:pPr>
            <w:r>
              <w:rPr>
                <w:rFonts w:ascii="宋体" w:cs="宋体"/>
                <w:sz w:val="18"/>
                <w:szCs w:val="18"/>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51" w:type="dxa"/>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积极响应</w:t>
            </w:r>
            <w:r>
              <w:rPr>
                <w:color w:val="auto"/>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2759" w:type="dxa"/>
            <w:vAlign w:val="center"/>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建立微信群，每天上报巡查情况（定位、图片）。</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rPr>
                <w:rFonts w:ascii="宋体" w:cs="宋体"/>
                <w:color w:val="auto"/>
                <w:sz w:val="18"/>
                <w:szCs w:val="18"/>
                <w:highlight w:val="none"/>
              </w:rPr>
            </w:pPr>
            <w:r>
              <w:rPr>
                <w:rFonts w:hint="eastAsia" w:ascii="宋体" w:cs="宋体"/>
                <w:color w:val="auto"/>
                <w:sz w:val="18"/>
                <w:szCs w:val="18"/>
                <w:highlight w:val="none"/>
                <w:lang w:val="zh-CN"/>
              </w:rPr>
              <w:t xml:space="preserve">不能及时上传巡查情况（定位、图片），每次</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w:t>
            </w:r>
            <w:r>
              <w:rPr>
                <w:rFonts w:ascii="宋体" w:cs="宋体"/>
                <w:color w:val="auto"/>
                <w:sz w:val="18"/>
                <w:szCs w:val="18"/>
                <w:highlight w:val="none"/>
                <w:lang w:val="zh-CN"/>
              </w:rPr>
              <w:t xml:space="preserve">2</w:t>
            </w:r>
            <w:r>
              <w:rPr>
                <w:rFonts w:hint="eastAsia" w:ascii="宋体" w:cs="宋体"/>
                <w:color w:val="auto"/>
                <w:sz w:val="18"/>
                <w:szCs w:val="18"/>
                <w:highlight w:val="none"/>
                <w:lang w:val="zh-CN"/>
              </w:rPr>
              <w:t xml:space="preserve">分</w:t>
            </w:r>
            <w:r>
              <w:rPr>
                <w:color w:val="auto"/>
              </w:rPr>
            </w:r>
            <w:r/>
          </w:p>
        </w:tc>
      </w:tr>
      <w:tr>
        <w:trPr>
          <w:jc w:val="center"/>
          <w:trHeight w:val="468"/>
        </w:trPr>
        <w:tc>
          <w:tcPr>
            <w:gridSpan w:val="5"/>
            <w:shd w:val="clear" w:color="000000" w:fill="ffffff"/>
            <w:tcBorders>
              <w:top w:val="single" w:color="000000" w:sz="2" w:space="0"/>
              <w:left w:val="single" w:color="000000" w:sz="2" w:space="0"/>
              <w:bottom w:val="single" w:color="000000" w:sz="2" w:space="0"/>
              <w:right w:val="single" w:color="000000" w:sz="2" w:space="0"/>
            </w:tcBorders>
            <w:tcW w:w="4672" w:type="dxa"/>
            <w:vAlign w:val="center"/>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合计</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792"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t xml:space="preserve">100</w:t>
            </w:r>
            <w:r>
              <w:rPr>
                <w:rFonts w:hint="eastAsia" w:ascii="宋体" w:cs="宋体"/>
                <w:color w:val="auto"/>
                <w:sz w:val="18"/>
                <w:szCs w:val="18"/>
                <w:highlight w:val="none"/>
                <w:lang w:val="zh-CN"/>
              </w:rPr>
              <w:t xml:space="preserve">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259" w:type="dxa"/>
            <w:vAlign w:val="center"/>
            <w:textDirection w:val="lrTb"/>
            <w:noWrap/>
          </w:tcPr>
          <w:p>
            <w:pPr>
              <w:rPr>
                <w:rFonts w:ascii="宋体" w:cs="宋体"/>
                <w:color w:val="auto"/>
                <w:sz w:val="18"/>
                <w:szCs w:val="18"/>
                <w:highlight w:val="none"/>
              </w:rPr>
            </w:pPr>
            <w:r>
              <w:rPr>
                <w:rFonts w:ascii="宋体" w:cs="宋体"/>
                <w:color w:val="auto"/>
                <w:sz w:val="18"/>
                <w:szCs w:val="18"/>
                <w:highlight w:val="none"/>
                <w:lang w:val="zh-CN"/>
              </w:rPr>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950"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r>
            <w:r>
              <w:rPr>
                <w:color w:val="auto"/>
              </w:rPr>
            </w:r>
            <w:r/>
          </w:p>
        </w:tc>
      </w:tr>
      <w:tr>
        <w:trPr>
          <w:jc w:val="center"/>
          <w:trHeight w:val="388"/>
        </w:trPr>
        <w:tc>
          <w:tcPr>
            <w:gridSpan w:val="5"/>
            <w:shd w:val="clear" w:color="000000" w:fill="ffffff"/>
            <w:tcBorders>
              <w:top w:val="single" w:color="000000" w:sz="2" w:space="0"/>
              <w:left w:val="single" w:color="000000" w:sz="2" w:space="0"/>
              <w:bottom w:val="single" w:color="000000" w:sz="2" w:space="0"/>
              <w:right w:val="single" w:color="000000" w:sz="2" w:space="0"/>
            </w:tcBorders>
            <w:tcW w:w="4672" w:type="dxa"/>
            <w:vAlign w:val="center"/>
            <w:textDirection w:val="lrTb"/>
            <w:noWrap/>
          </w:tcPr>
          <w:p>
            <w:pPr>
              <w:jc w:val="center"/>
              <w:rPr>
                <w:rFonts w:ascii="宋体" w:cs="宋体"/>
                <w:color w:val="auto"/>
                <w:sz w:val="18"/>
                <w:szCs w:val="18"/>
                <w:highlight w:val="none"/>
              </w:rPr>
            </w:pPr>
            <w:r>
              <w:rPr>
                <w:rFonts w:hint="eastAsia" w:ascii="宋体" w:cs="宋体"/>
                <w:color w:val="auto"/>
                <w:sz w:val="18"/>
                <w:szCs w:val="18"/>
                <w:highlight w:val="none"/>
                <w:lang w:val="zh-CN"/>
              </w:rPr>
              <w:t xml:space="preserve">考核结论</w:t>
            </w:r>
            <w:r>
              <w:rPr>
                <w:color w:val="auto"/>
              </w:rPr>
            </w:r>
            <w:r/>
          </w:p>
        </w:tc>
        <w:tc>
          <w:tcPr>
            <w:gridSpan w:val="3"/>
            <w:shd w:val="clear" w:color="000000" w:fill="ffffff"/>
            <w:tcBorders>
              <w:top w:val="single" w:color="000000" w:sz="2" w:space="0"/>
              <w:left w:val="single" w:color="000000" w:sz="2" w:space="0"/>
              <w:bottom w:val="single" w:color="000000" w:sz="2" w:space="0"/>
              <w:right w:val="single" w:color="000000" w:sz="2" w:space="0"/>
            </w:tcBorders>
            <w:tcW w:w="5002" w:type="dxa"/>
            <w:vAlign w:val="center"/>
            <w:textDirection w:val="lrTb"/>
            <w:noWrap/>
          </w:tcPr>
          <w:p>
            <w:pPr>
              <w:jc w:val="center"/>
              <w:rPr>
                <w:rFonts w:ascii="宋体" w:cs="宋体"/>
                <w:color w:val="auto"/>
                <w:sz w:val="18"/>
                <w:szCs w:val="18"/>
                <w:highlight w:val="none"/>
              </w:rPr>
            </w:pPr>
            <w:r>
              <w:rPr>
                <w:rFonts w:ascii="宋体" w:cs="宋体"/>
                <w:color w:val="auto"/>
                <w:sz w:val="18"/>
                <w:szCs w:val="18"/>
                <w:highlight w:val="none"/>
                <w:lang w:val="zh-CN"/>
              </w:rPr>
            </w:r>
            <w:r>
              <w:rPr>
                <w:color w:val="auto"/>
              </w:rPr>
            </w:r>
            <w:r/>
          </w:p>
        </w:tc>
      </w:tr>
    </w:tbl>
    <w:p>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rPr>
          <w:color w:val="auto"/>
        </w:rPr>
      </w:r>
      <w:r/>
    </w:p>
    <w:p>
      <w:pPr>
        <w:ind w:firstLine="562"/>
        <w:jc w:val="center"/>
        <w:spacing w:line="36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管护服务项目安全生产专用条款</w:t>
      </w:r>
      <w:r>
        <w:rPr>
          <w:color w:val="auto"/>
        </w:rPr>
      </w:r>
      <w:r/>
    </w:p>
    <w:p>
      <w:pPr>
        <w:ind w:firstLine="482"/>
        <w:spacing w:line="3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一、报价规则条款</w:t>
      </w:r>
      <w:r>
        <w:rPr>
          <w:color w:val="auto"/>
        </w:rPr>
      </w:r>
      <w:r/>
    </w:p>
    <w:p>
      <w:p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为雨污水管网管护服务类项目，安全生产措施费不单独设置清单子目、不单独报价，费用已全额包含在本项目所有清单子目的综合单价及年度服务总价中。供应商须在投标报价中足额计取该项费用。服务周期内，采购人不再因安全生产管理、安全防护配置、应急处置等事项另行支付任何费用。</w:t>
      </w:r>
      <w:r>
        <w:rPr>
          <w:color w:val="auto"/>
        </w:rPr>
      </w:r>
      <w:r/>
    </w:p>
    <w:p>
      <w:pPr>
        <w:ind w:firstLine="482"/>
        <w:spacing w:line="3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二、安全生产措施费具体包含内容</w:t>
      </w:r>
      <w:r>
        <w:rPr>
          <w:color w:val="auto"/>
        </w:rPr>
      </w:r>
      <w:r/>
    </w:p>
    <w:p>
      <w:p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（一）有限空间作业专项安全保障</w:t>
      </w:r>
      <w:r>
        <w:rPr>
          <w:color w:val="auto"/>
        </w:rPr>
      </w:r>
      <w:r/>
    </w:p>
    <w:p>
      <w:pPr>
        <w:numPr>
          <w:ilvl w:val="0"/>
          <w:numId w:val="1"/>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气体检测设备：四合一气体检测仪（硫化氢、一氧化碳、氧气、可燃气体）、井下风速检测仪、防爆手持照明设备的购置、定期检定、校准、维修及耗材更换费用；</w:t>
      </w:r>
      <w:r>
        <w:rPr>
          <w:color w:val="auto"/>
        </w:rPr>
      </w:r>
      <w:r/>
    </w:p>
    <w:p>
      <w:pPr>
        <w:numPr>
          <w:ilvl w:val="0"/>
          <w:numId w:val="1"/>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通风与防护装备：井下防爆通风机、长距离送风风管、全身式安全带、救生三脚架、手动绞盘、救生安全绳、防坠缓冲器、绝缘下水裤、防毒全面罩、滤毒罐、耐酸碱手套、护目镜、防化雨靴的采购、定期检测与报废更新费用；</w:t>
      </w:r>
      <w:r>
        <w:rPr>
          <w:color w:val="auto"/>
        </w:rPr>
      </w:r>
      <w:r/>
    </w:p>
    <w:p>
      <w:pPr>
        <w:numPr>
          <w:ilvl w:val="0"/>
          <w:numId w:val="1"/>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井口防护设施：作业井口硬质隔离护栏、密闭警示围挡、临时防坠硬质盖板、警示带、井下防爆通讯对讲机的配置与维护费用；</w:t>
      </w:r>
      <w:r>
        <w:rPr>
          <w:color w:val="auto"/>
        </w:rPr>
      </w:r>
      <w:r/>
    </w:p>
    <w:p>
      <w:pPr>
        <w:numPr>
          <w:ilvl w:val="0"/>
          <w:numId w:val="1"/>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专项管理费用：有限空间作业专项方案编制、作业风险辨识评估、作业审批台账管理、作业现场专职监护人员人工投入等相关费用。</w:t>
      </w:r>
      <w:r>
        <w:rPr>
          <w:color w:val="auto"/>
        </w:rPr>
      </w:r>
      <w:r/>
    </w:p>
    <w:p>
      <w:pPr>
        <w:ind w:firstLine="482"/>
        <w:spacing w:line="3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（二）全员劳动防护与职业健康保障</w:t>
      </w:r>
      <w:r>
        <w:rPr>
          <w:color w:val="auto"/>
        </w:rPr>
      </w:r>
      <w:r/>
    </w:p>
    <w:p>
      <w:pPr>
        <w:numPr>
          <w:ilvl w:val="0"/>
          <w:numId w:val="2"/>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全员基础劳保：巡查、清疏、泵站运维、检测作业人员的安全帽、高可视反光背心、防穿刺安全鞋、防尘口罩、防腐工作服、高温防暑物资、冬季防寒防冻物资的采购与定期更换费用；</w:t>
      </w:r>
      <w:r>
        <w:rPr>
          <w:color w:val="auto"/>
        </w:rPr>
      </w:r>
      <w:r/>
    </w:p>
    <w:p>
      <w:pPr>
        <w:numPr>
          <w:ilvl w:val="0"/>
          <w:numId w:val="2"/>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特种岗位劳保：电工、机械操作员、有限空间监护员的绝缘工具、绝缘鞋、绝缘手套、验电设备等专用防护用品购置与定期检测费用；</w:t>
      </w:r>
      <w:r>
        <w:rPr>
          <w:color w:val="auto"/>
        </w:rPr>
      </w:r>
      <w:r/>
    </w:p>
    <w:p>
      <w:pPr>
        <w:numPr>
          <w:ilvl w:val="0"/>
          <w:numId w:val="2"/>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职业健康费用：从业人员岗前及年度职业健康体检、作业场所职业病危害因素检测、劳保用品消杀与报废处置费用。</w:t>
      </w:r>
      <w:r>
        <w:rPr>
          <w:color w:val="auto"/>
        </w:rPr>
      </w:r>
      <w:r/>
    </w:p>
    <w:p>
      <w:pPr>
        <w:ind w:firstLine="482"/>
        <w:spacing w:line="3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（三）作业现场安全警示与隔离防护</w:t>
      </w:r>
      <w:r>
        <w:rPr>
          <w:color w:val="auto"/>
        </w:rPr>
      </w:r>
      <w:r/>
    </w:p>
    <w:p>
      <w:pPr>
        <w:numPr>
          <w:ilvl w:val="0"/>
          <w:numId w:val="3"/>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道路作业安全标识：占道作业警示牌、限速绕行指示牌、夜间爆闪警示灯、反光锥桶、隔离水马、临时防撞护栏的配置、维护与折旧费用；</w:t>
      </w:r>
      <w:r>
        <w:rPr>
          <w:color w:val="auto"/>
        </w:rPr>
      </w:r>
      <w:r/>
    </w:p>
    <w:p>
      <w:pPr>
        <w:numPr>
          <w:ilvl w:val="0"/>
          <w:numId w:val="3"/>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井口作业防护：井盖开启、清淤、维修作业时的现场围挡、行人导流设施、夜间警示灯带、临时防滑防坠落覆盖设施费用；</w:t>
      </w:r>
      <w:r>
        <w:rPr>
          <w:color w:val="auto"/>
        </w:rPr>
      </w:r>
      <w:r/>
    </w:p>
    <w:p>
      <w:pPr>
        <w:numPr>
          <w:ilvl w:val="0"/>
          <w:numId w:val="3"/>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特殊时段防护：汛期、暴雨预警、夜间应急作业时的警戒隔离、积水警示、现场照明等安全防护物资投入。</w:t>
      </w:r>
      <w:r>
        <w:rPr>
          <w:color w:val="auto"/>
        </w:rPr>
      </w:r>
      <w:r/>
    </w:p>
    <w:p>
      <w:pPr>
        <w:ind w:firstLine="482"/>
        <w:spacing w:line="3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（四）应急救援物资与应急管理</w:t>
      </w:r>
      <w:r>
        <w:rPr>
          <w:color w:val="auto"/>
        </w:rPr>
      </w:r>
      <w:r/>
    </w:p>
    <w:p>
      <w:pPr>
        <w:numPr>
          <w:ilvl w:val="0"/>
          <w:numId w:val="4"/>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常规应急物资：干粉灭火器、灭火毯、消防沙等消防器材；急救箱、担架、应急吸氧装置、洗眼器等应急救护物资；堵漏工具、应急中和药剂的配置与定期更新费用；</w:t>
      </w:r>
      <w:r>
        <w:rPr>
          <w:color w:val="auto"/>
        </w:rPr>
      </w:r>
      <w:r/>
    </w:p>
    <w:p>
      <w:pPr>
        <w:numPr>
          <w:ilvl w:val="0"/>
          <w:numId w:val="4"/>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防汛应急配套：排涝泵、柴油发电机、输水管道、防汛沙袋等防汛设备的安全防护配件、接地保护、漏电保护装置的购置与维保费用；</w:t>
      </w:r>
      <w:r>
        <w:rPr>
          <w:color w:val="auto"/>
        </w:rPr>
      </w:r>
      <w:r/>
    </w:p>
    <w:p>
      <w:pPr>
        <w:numPr>
          <w:ilvl w:val="0"/>
          <w:numId w:val="4"/>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应急管理费用：综合应急预案及有限空间中毒、硫化氢泄漏、触电、淹溺、管网溢流等专项应急预案编制、修订、评审费用；年度应急演练的物料、人工、现场处置相关费用；突发险情应急抢险的安全防护投入。</w:t>
      </w:r>
      <w:r>
        <w:rPr>
          <w:color w:val="auto"/>
        </w:rPr>
      </w:r>
      <w:r/>
    </w:p>
    <w:p>
      <w:pPr>
        <w:ind w:firstLine="482"/>
        <w:spacing w:line="3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（五）安全教育培训与日常安全管理</w:t>
      </w:r>
      <w:r>
        <w:rPr>
          <w:color w:val="auto"/>
        </w:rPr>
      </w:r>
      <w:r/>
    </w:p>
    <w:p>
      <w:pPr>
        <w:numPr>
          <w:ilvl w:val="0"/>
          <w:numId w:val="5"/>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培训教育费用：全员三级安全教育、有限空间作业专项培训、岗前安全技术交底、日常警示教育、安全月宣传活动的物料与讲师费用；</w:t>
      </w:r>
      <w:r>
        <w:rPr>
          <w:color w:val="auto"/>
        </w:rPr>
      </w:r>
      <w:r/>
    </w:p>
    <w:p>
      <w:pPr>
        <w:numPr>
          <w:ilvl w:val="0"/>
          <w:numId w:val="5"/>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证件资质费用：有限空间作业监护人、电工等特种作业人员的证件培训、复审、取证费用；</w:t>
      </w:r>
      <w:r>
        <w:rPr>
          <w:color w:val="auto"/>
        </w:rPr>
      </w:r>
      <w:r/>
    </w:p>
    <w:p>
      <w:pPr>
        <w:numPr>
          <w:ilvl w:val="0"/>
          <w:numId w:val="5"/>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日常管理费用：专职安全员配置、日常安全巡查、隐患排查治理、风险分级管控、安全台账与档案制作、安全管理制度体系建设等相关人工与物料费用。</w:t>
      </w:r>
      <w:r>
        <w:rPr>
          <w:color w:val="auto"/>
        </w:rPr>
      </w:r>
      <w:r/>
    </w:p>
    <w:p>
      <w:pPr>
        <w:ind w:firstLine="482"/>
        <w:spacing w:line="3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（六）作业设备与临时用电安全</w:t>
      </w:r>
      <w:r>
        <w:rPr>
          <w:color w:val="auto"/>
        </w:rPr>
      </w:r>
      <w:r/>
    </w:p>
    <w:p>
      <w:pPr>
        <w:numPr>
          <w:ilvl w:val="0"/>
          <w:numId w:val="6"/>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作业机具安全：高压疏通车、吸污车、CCTV检测机器人、泵站运维设备的安全防护装置、声光报警器、漏电保护器、接地保护设施的购置、维保与定期检测费用；</w:t>
      </w:r>
      <w:r>
        <w:rPr>
          <w:color w:val="auto"/>
        </w:rPr>
      </w:r>
      <w:r/>
    </w:p>
    <w:p>
      <w:pPr>
        <w:numPr>
          <w:ilvl w:val="0"/>
          <w:numId w:val="6"/>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临时用电安全：临时防水电缆、防爆配电箱、漏电保护开关的配置；临时用电接地电阻检测、线路绝缘检测费用；</w:t>
      </w:r>
      <w:r>
        <w:rPr>
          <w:color w:val="auto"/>
        </w:rPr>
      </w:r>
      <w:r/>
    </w:p>
    <w:p>
      <w:pPr>
        <w:numPr>
          <w:ilvl w:val="0"/>
          <w:numId w:val="6"/>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计量检定费用：特种设备、消防设施、气体检测仪器、电工器具的年度强制检定、校准费用。</w:t>
      </w:r>
      <w:r>
        <w:rPr>
          <w:color w:val="auto"/>
        </w:rPr>
      </w:r>
      <w:r/>
    </w:p>
    <w:p>
      <w:pPr>
        <w:ind w:firstLine="482"/>
        <w:spacing w:line="3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（七）安全保险与第三方安全服务</w:t>
      </w:r>
      <w:r>
        <w:rPr>
          <w:color w:val="auto"/>
        </w:rPr>
      </w:r>
      <w:r/>
    </w:p>
    <w:p>
      <w:pPr>
        <w:numPr>
          <w:ilvl w:val="0"/>
          <w:numId w:val="7"/>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保险费用：从业人员工伤保险、安全生产责任保险、有限空间作业专项意外伤害险、第三者公众责任险的投保费用；</w:t>
      </w:r>
      <w:r>
        <w:rPr>
          <w:color w:val="auto"/>
        </w:rPr>
      </w:r>
      <w:r/>
    </w:p>
    <w:p>
      <w:pPr>
        <w:numPr>
          <w:ilvl w:val="0"/>
          <w:numId w:val="7"/>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第三方服务：第三方安全现状评估、井下有害气体常态化抽检、安全管理体系咨询等相关费用。</w:t>
      </w:r>
      <w:r>
        <w:rPr>
          <w:color w:val="auto"/>
        </w:rPr>
      </w:r>
      <w:r/>
    </w:p>
    <w:p>
      <w:pPr>
        <w:ind w:firstLine="482"/>
        <w:spacing w:line="3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（八）其他安全生产配套支出</w:t>
      </w:r>
      <w:r>
        <w:rPr>
          <w:color w:val="auto"/>
        </w:rPr>
      </w:r>
      <w:r/>
    </w:p>
    <w:p>
      <w:pPr>
        <w:numPr>
          <w:ilvl w:val="0"/>
          <w:numId w:val="8"/>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井盖更换、井周破除恢复等零星维修作业的临边防护、防坍塌简易支护费用；</w:t>
      </w:r>
      <w:r>
        <w:rPr>
          <w:color w:val="auto"/>
        </w:rPr>
      </w:r>
      <w:r/>
    </w:p>
    <w:p>
      <w:pPr>
        <w:numPr>
          <w:ilvl w:val="0"/>
          <w:numId w:val="8"/>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淤泥密闭运输的防泄漏、防污染、防中毒配套安全措施费用；</w:t>
      </w:r>
      <w:r>
        <w:rPr>
          <w:color w:val="auto"/>
        </w:rPr>
      </w:r>
      <w:r/>
    </w:p>
    <w:p>
      <w:pPr>
        <w:numPr>
          <w:ilvl w:val="0"/>
          <w:numId w:val="8"/>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安全隐患整改耗材、安全标准化提升、安全考核奖励等相关支出；</w:t>
      </w:r>
      <w:r>
        <w:rPr>
          <w:color w:val="auto"/>
        </w:rPr>
      </w:r>
      <w:r/>
    </w:p>
    <w:p>
      <w:pPr>
        <w:numPr>
          <w:ilvl w:val="0"/>
          <w:numId w:val="8"/>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服务期内所有安全设施的搭设、维护、拆除、回收及现场复原产生的人工、材料、机械费用。</w:t>
      </w:r>
      <w:r>
        <w:rPr>
          <w:color w:val="auto"/>
        </w:rPr>
      </w:r>
      <w:r/>
    </w:p>
    <w:p>
      <w:pPr>
        <w:ind w:firstLine="482"/>
        <w:spacing w:line="3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三、工程量清单总说明配套备注</w:t>
      </w:r>
      <w:r>
        <w:rPr>
          <w:color w:val="auto"/>
        </w:rPr>
      </w:r>
      <w:r/>
    </w:p>
    <w:p>
      <w:pPr>
        <w:numPr>
          <w:ilvl w:val="0"/>
          <w:numId w:val="9"/>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本项目所有清单子目综合单价均已包含上述全部安全生产措施费用，供应商报价时应综合考虑全部安全投入，项目不单独列项计费、不单独结算。</w:t>
      </w:r>
      <w:r>
        <w:rPr>
          <w:color w:val="auto"/>
        </w:rPr>
      </w:r>
      <w:r/>
    </w:p>
    <w:p>
      <w:pPr>
        <w:numPr>
          <w:ilvl w:val="0"/>
          <w:numId w:val="9"/>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安全生产措施费为履约必备刚性投入，乙方须建立安全费用使用台账，采购人有权不定期核查安全物资配备、安全措施落实情况。</w:t>
      </w:r>
      <w:r>
        <w:rPr>
          <w:color w:val="auto"/>
        </w:rPr>
      </w:r>
      <w:r/>
    </w:p>
    <w:p>
      <w:pPr>
        <w:numPr>
          <w:ilvl w:val="0"/>
          <w:numId w:val="9"/>
        </w:numPr>
        <w:ind w:firstLine="480"/>
        <w:spacing w:line="3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服务期内若乙方安全投入不足、安全措施落实不到位，采购人有权按照合同约定扣减对应服务费用。</w:t>
      </w:r>
      <w:r>
        <w:rPr>
          <w:color w:val="auto"/>
        </w:rPr>
      </w:r>
      <w:r/>
    </w:p>
    <w:p>
      <w:pPr>
        <w:ind w:firstLine="482"/>
        <w:spacing w:line="3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四、服务合同条款配套表述</w:t>
      </w:r>
      <w:r>
        <w:rPr>
          <w:color w:val="auto"/>
        </w:rPr>
      </w:r>
      <w:r/>
    </w:p>
    <w:p>
      <w:pPr>
        <w:ind w:firstLine="480"/>
        <w:spacing w:line="500" w:lineRule="exact"/>
        <w:rPr>
          <w:rFonts w:ascii="黑体" w:hAnsi="宋体" w:eastAsia="黑体" w:cs="黑体"/>
          <w:color w:val="auto"/>
          <w:sz w:val="44"/>
          <w:szCs w:val="44"/>
          <w:highlight w:val="none"/>
        </w:rPr>
      </w:pPr>
      <w:r>
        <w:rPr>
          <w:rFonts w:hint="eastAsia" w:ascii="宋体" w:hAnsi="宋体" w:eastAsia="宋体" w:cs="宋体"/>
          <w:color w:val="auto"/>
          <w:sz w:val="24"/>
          <w:highlight w:val="none"/>
        </w:rPr>
        <w:t xml:space="preserve">乙方确认，本合同项下安全生产措施费已全额包含在合同总价中，服务期内严格按照采购文件列明的范围足额投入各项安全防护设备、人员培训、应急保障等安全措施。作业全过程发生的生产安全事故、人员伤亡、第三方财产损失，全部责任及费用由乙方自行承担，与甲方无关。甲方发现乙方安全防护缺失、未按要求落实安全措施的，有权要求限期整改；逾期未整改或整改不达标的，甲方有权扣除当期相应服务费用；情节严重的，甲方有权单方解除合同。</w:t>
      </w:r>
      <w:r>
        <w:rPr>
          <w:color w:val="auto"/>
        </w:rPr>
      </w:r>
      <w:r/>
    </w:p>
    <w:p>
      <w:pPr>
        <w:numPr>
          <w:ilvl w:val="0"/>
          <w:numId w:val="0"/>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五、</w:t>
      </w:r>
      <w:r>
        <w:rPr>
          <w:rFonts w:hint="eastAsia" w:ascii="宋体" w:hAnsi="宋体" w:eastAsia="宋体" w:cs="宋体"/>
          <w:i/>
          <w:color w:val="auto"/>
          <w:sz w:val="24"/>
          <w:szCs w:val="24"/>
          <w:highlight w:val="none"/>
          <w:u w:val="single"/>
        </w:rPr>
        <w:t xml:space="preserve">本项目 </w:t>
      </w:r>
      <w:r>
        <w:rPr>
          <w:rFonts w:hint="eastAsia" w:ascii="宋体" w:hAnsi="宋体" w:eastAsia="宋体" w:cs="宋体"/>
          <w:color w:val="auto"/>
          <w:sz w:val="24"/>
          <w:szCs w:val="24"/>
          <w:highlight w:val="none"/>
          <w:u w:val="single"/>
          <w:lang w:val="en-US" w:eastAsia="zh-CN"/>
        </w:rPr>
        <w:t xml:space="preserve">不接受 </w:t>
      </w:r>
      <w:r>
        <w:rPr>
          <w:rFonts w:hint="eastAsia" w:ascii="宋体" w:hAnsi="宋体" w:eastAsia="宋体" w:cs="宋体"/>
          <w:color w:val="auto"/>
          <w:sz w:val="24"/>
          <w:szCs w:val="24"/>
          <w:highlight w:val="none"/>
          <w:lang w:val="en-US" w:eastAsia="zh-CN"/>
        </w:rPr>
        <w:t xml:space="preserve">进口产品投标。</w:t>
      </w:r>
      <w:r>
        <w:rPr>
          <w:color w:val="auto"/>
        </w:rPr>
      </w:r>
      <w:r/>
    </w:p>
    <w:p>
      <w:pPr>
        <w:pStyle w:val="865"/>
        <w:numPr>
          <w:ilvl w:val="0"/>
          <w:numId w:val="0"/>
        </w:numPr>
        <w:ind w:firstLine="480"/>
        <w:rPr>
          <w:rFonts w:hint="default"/>
          <w:color w:val="auto"/>
          <w:highlight w:val="none"/>
        </w:rPr>
      </w:pPr>
      <w:r>
        <w:rPr>
          <w:rFonts w:hint="eastAsia"/>
          <w:color w:val="auto"/>
          <w:highlight w:val="none"/>
          <w:lang w:val="en-US" w:eastAsia="zh-CN"/>
        </w:rPr>
        <w:t xml:space="preserve">六、</w:t>
      </w:r>
      <w:r>
        <w:rPr>
          <w:color w:val="auto"/>
        </w:rPr>
      </w:r>
      <w:r/>
    </w:p>
    <w:tbl>
      <w:tblPr>
        <w:tblStyle w:val="864"/>
        <w:tblW w:w="777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167"/>
        <w:gridCol w:w="3612"/>
      </w:tblGrid>
      <w:tr>
        <w:trPr>
          <w:jc w:val="center"/>
          <w:tblCellSpacing w:w="0" w:type="dxa"/>
          <w:trHeight w:val="636"/>
        </w:trPr>
        <w:tc>
          <w:tcPr>
            <w:shd w:val="clear" w:color="auto" w:fill="auto"/>
            <w:tcBorders>
              <w:top w:val="single" w:color="000000" w:sz="4" w:space="0"/>
              <w:left w:val="single" w:color="000000" w:sz="4" w:space="0"/>
              <w:bottom w:val="single" w:color="000000" w:sz="4" w:space="0"/>
              <w:right w:val="single" w:color="000000" w:sz="4" w:space="0"/>
            </w:tcBorders>
            <w:tcW w:w="4167" w:type="dxa"/>
            <w:vAlign w:val="center"/>
            <w:textDirection w:val="lrTb"/>
            <w:noWrap w:val="false"/>
          </w:tcPr>
          <w:p>
            <w:pPr>
              <w:pStyle w:val="87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采购标的</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pStyle w:val="876"/>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对应中小企业划分标准所属行业</w:t>
            </w:r>
            <w:r>
              <w:rPr>
                <w:color w:val="auto"/>
              </w:rPr>
            </w:r>
            <w:r/>
          </w:p>
        </w:tc>
      </w:tr>
      <w:tr>
        <w:trPr>
          <w:jc w:val="center"/>
          <w:tblCellSpacing w:w="0" w:type="dxa"/>
          <w:trHeight w:val="636"/>
        </w:trPr>
        <w:tc>
          <w:tcPr>
            <w:shd w:val="clear" w:color="auto" w:fill="auto"/>
            <w:tcBorders>
              <w:top w:val="single" w:color="000000" w:sz="4" w:space="0"/>
              <w:left w:val="single" w:color="000000" w:sz="4" w:space="0"/>
              <w:bottom w:val="single" w:color="000000" w:sz="4" w:space="0"/>
              <w:right w:val="single" w:color="000000" w:sz="4" w:space="0"/>
            </w:tcBorders>
            <w:tcW w:w="4167" w:type="dxa"/>
            <w:vAlign w:val="center"/>
            <w:textDirection w:val="lrTb"/>
            <w:noWrap w:val="false"/>
          </w:tcPr>
          <w:p>
            <w:pPr>
              <w:pStyle w:val="876"/>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2026-2028年环科城雨、污水管网管护服务项目</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612" w:type="dxa"/>
            <w:vAlign w:val="center"/>
            <w:textDirection w:val="lrTb"/>
            <w:noWrap w:val="false"/>
          </w:tcPr>
          <w:p>
            <w:pPr>
              <w:pStyle w:val="87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其他未列明行业</w:t>
            </w:r>
            <w:r>
              <w:rPr>
                <w:color w:val="auto"/>
              </w:rPr>
            </w:r>
            <w:r/>
          </w:p>
        </w:tc>
      </w:tr>
    </w:tbl>
    <w:p>
      <w:pPr>
        <w:pStyle w:val="865"/>
        <w:numPr>
          <w:ilvl w:val="0"/>
          <w:numId w:val="0"/>
        </w:numPr>
        <w:ind w:firstLine="480"/>
        <w:rPr>
          <w:rFonts w:hint="default"/>
          <w:color w:val="auto"/>
          <w:highlight w:val="none"/>
        </w:rPr>
      </w:pPr>
      <w:r>
        <w:rPr>
          <w:rFonts w:hint="default"/>
          <w:color w:val="auto"/>
          <w:highlight w:val="none"/>
          <w:lang w:val="en-US" w:eastAsia="zh-CN"/>
        </w:rPr>
      </w:r>
      <w:r>
        <w:rPr>
          <w:color w:val="auto"/>
        </w:rPr>
      </w:r>
      <w:r/>
    </w:p>
    <w:p>
      <w:pPr>
        <w:ind w:firstLine="880"/>
        <w:spacing w:line="500" w:lineRule="exact"/>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ind w:firstLine="880"/>
        <w:spacing w:line="500" w:lineRule="exact"/>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ind w:firstLine="880"/>
        <w:spacing w:line="500" w:lineRule="exact"/>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ind w:firstLine="880"/>
        <w:spacing w:line="500" w:lineRule="exact"/>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ind w:firstLine="880"/>
        <w:spacing w:line="500" w:lineRule="exact"/>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ind w:firstLine="880"/>
        <w:spacing w:line="500" w:lineRule="exact"/>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ind w:firstLine="880"/>
        <w:spacing w:line="500" w:lineRule="exact"/>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ind w:firstLine="880"/>
        <w:spacing w:line="500" w:lineRule="exact"/>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ind w:firstLine="880"/>
        <w:spacing w:line="500" w:lineRule="exact"/>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ind w:firstLine="880"/>
        <w:spacing w:line="500" w:lineRule="exact"/>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ind w:firstLine="880"/>
        <w:spacing w:line="500" w:lineRule="exact"/>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ind w:firstLine="880"/>
        <w:spacing w:line="500" w:lineRule="exact"/>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ind w:firstLine="880"/>
        <w:spacing w:line="500" w:lineRule="exact"/>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ind w:firstLine="880"/>
        <w:spacing w:line="500" w:lineRule="exact"/>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spacing w:line="500" w:lineRule="exact"/>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ind w:firstLine="880"/>
        <w:spacing w:line="500" w:lineRule="exact"/>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ind w:firstLine="880"/>
        <w:spacing w:line="500" w:lineRule="exact"/>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 综合评分 </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评标结果按评审后得分由高到低顺序排列。得分相同的，按投标报价由低到高顺序排列。得分且投标报价相同的并列</w:t>
      </w:r>
      <w:r>
        <w:rPr>
          <w:rFonts w:hint="eastAsia" w:ascii="宋体" w:hAnsi="宋体" w:eastAsia="宋体" w:cs="宋体"/>
          <w:color w:val="auto"/>
          <w:sz w:val="24"/>
          <w:highlight w:val="none"/>
        </w:rPr>
        <w:t xml:space="preserve">，由评标委员会组织通过抽签的方式确定中标候选人的排序</w:t>
      </w:r>
      <w:r>
        <w:rPr>
          <w:rFonts w:hint="eastAsia" w:ascii="宋体" w:hAnsi="宋体" w:eastAsia="宋体" w:cs="宋体"/>
          <w:color w:val="auto"/>
          <w:sz w:val="24"/>
          <w:highlight w:val="none"/>
        </w:rPr>
        <w:t xml:space="preserve">。投标文件满足招标文件全部实质性要求，且按照评审因素的量化指标评审得分最高的投标人为排名第一的中标候选人，本项目选取1名中标候选人。</w:t>
      </w:r>
      <w:r>
        <w:rPr>
          <w:color w:val="auto"/>
        </w:rPr>
      </w:r>
      <w:r/>
    </w:p>
    <w:p>
      <w:pPr>
        <w:pStyle w:val="876"/>
        <w:ind w:firstLine="441"/>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rPr>
          <w:color w:val="auto"/>
        </w:rPr>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1、小微型企业价格扣除</w:t>
      </w:r>
      <w:r>
        <w:rPr>
          <w:color w:val="auto"/>
        </w:rPr>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cs="Times New Roman"/>
          <w:color w:val="auto"/>
          <w:sz w:val="24"/>
          <w:highlight w:val="none"/>
        </w:rPr>
        <w:t xml:space="preserve">本项目专门面向中小微企业采购，不再对小型和微型企业产品给予价格扣除</w:t>
      </w:r>
      <w:r>
        <w:rPr>
          <w:rFonts w:hint="eastAsia" w:ascii="宋体" w:hAnsi="宋体" w:eastAsia="宋体" w:cs="宋体"/>
          <w:bCs/>
          <w:color w:val="auto"/>
          <w:sz w:val="24"/>
          <w:highlight w:val="none"/>
        </w:rPr>
        <w:t xml:space="preserve">。</w:t>
      </w:r>
      <w:r>
        <w:rPr>
          <w:color w:val="auto"/>
        </w:rPr>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（2）供应商需按照采购文件的要求提供相应的《中小企业声明函》。</w:t>
      </w:r>
      <w:r>
        <w:rPr>
          <w:color w:val="auto"/>
        </w:rPr>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（3）企业标准请参照《关于印发中小企业划型标准规定的通知》（工信部联企业〔2011〕300号）文件规定自行填写。</w:t>
      </w:r>
      <w:r>
        <w:rPr>
          <w:color w:val="auto"/>
        </w:rPr>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2、残疾人福利单位价格扣除</w:t>
      </w:r>
      <w:r>
        <w:rPr>
          <w:color w:val="auto"/>
        </w:rPr>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（1）本项目对残疾人福利性单位视同小型、微型企业。</w:t>
      </w:r>
      <w:r>
        <w:rPr>
          <w:color w:val="auto"/>
        </w:rPr>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（2）残疾人福利单位需按照采购文件的要求提供《残疾人福利性单位声明函》。</w:t>
      </w:r>
      <w:r>
        <w:rPr>
          <w:color w:val="auto"/>
        </w:rPr>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（3）残疾人福利单位标准请参照《关于促进残疾人就业政府采购政策的通知》（财库〔2017〕141号）。</w:t>
      </w:r>
      <w:r>
        <w:rPr>
          <w:color w:val="auto"/>
        </w:rPr>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3、监狱和戒毒企业价格扣除</w:t>
      </w:r>
      <w:r>
        <w:rPr>
          <w:color w:val="auto"/>
        </w:rPr>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（1）本项目对监狱和戒毒企业（简称监狱企业）视同小型、微型企业，给予20%的价格扣除。</w:t>
      </w:r>
      <w:r>
        <w:rPr>
          <w:color w:val="auto"/>
        </w:rPr>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auto"/>
        </w:rPr>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（3）监狱企业标准请参照《关于政府采购支持监狱企业发展有关问题的通知》（财库〔2014〕68号）。</w:t>
      </w:r>
      <w:r>
        <w:rPr>
          <w:color w:val="auto"/>
        </w:rPr>
      </w:r>
      <w:r/>
    </w:p>
    <w:p>
      <w:pPr>
        <w:ind w:firstLine="480"/>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4、残疾人福利单位、监狱企业属于小型、微型企业的，不重复享受政策。</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rPr>
          <w:color w:val="auto"/>
        </w:rPr>
      </w:r>
      <w:r/>
    </w:p>
    <w:p>
      <w:pPr>
        <w:pStyle w:val="876"/>
        <w:ind w:firstLine="441"/>
        <w:spacing w:before="120" w:beforeAutospacing="0" w:after="120" w:afterAutospacing="0"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二、评标方法与评标标准</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评标时，评标委员会各成员独立对每个投标人的投标文件进行评价，并汇总每个投标人的得分。</w:t>
      </w:r>
      <w:r>
        <w:rPr>
          <w:color w:val="auto"/>
        </w:rPr>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本项目评分总分值为100分。</w:t>
      </w:r>
      <w:r>
        <w:rPr>
          <w:color w:val="auto"/>
        </w:rPr>
      </w:r>
      <w:r/>
    </w:p>
    <w:p>
      <w:pPr>
        <w:pStyle w:val="877"/>
        <w:rPr>
          <w:rFonts w:ascii="宋体" w:hAnsi="宋体" w:eastAsia="宋体" w:cs="宋体"/>
          <w:color w:val="auto"/>
          <w:sz w:val="24"/>
          <w:highlight w:val="none"/>
        </w:rPr>
      </w:pPr>
      <w:r>
        <w:rPr>
          <w:rFonts w:ascii="宋体" w:hAnsi="宋体" w:eastAsia="宋体" w:cs="宋体"/>
          <w:color w:val="auto"/>
          <w:sz w:val="24"/>
          <w:highlight w:val="none"/>
        </w:rPr>
      </w:r>
      <w:r>
        <w:rPr>
          <w:color w:val="auto"/>
        </w:rPr>
      </w:r>
      <w:r/>
    </w:p>
    <w:tbl>
      <w:tblPr>
        <w:tblStyle w:val="864"/>
        <w:tblW w:w="89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835"/>
        <w:gridCol w:w="7293"/>
      </w:tblGrid>
      <w:tr>
        <w:trPr/>
        <w:tc>
          <w:tcPr>
            <w:tcW w:w="807"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评分项目</w:t>
            </w:r>
            <w:r>
              <w:rPr>
                <w:color w:val="auto"/>
              </w:rPr>
            </w:r>
            <w:r/>
          </w:p>
        </w:tc>
        <w:tc>
          <w:tcPr>
            <w:tcW w:w="835" w:type="dxa"/>
            <w:vAlign w:val="center"/>
            <w:textDirection w:val="lrTb"/>
            <w:noWrap/>
          </w:tcPr>
          <w:p>
            <w:pPr>
              <w:rPr>
                <w:rFonts w:ascii="宋体" w:hAnsi="宋体"/>
                <w:color w:val="auto"/>
                <w:sz w:val="24"/>
                <w:highlight w:val="none"/>
              </w:rPr>
            </w:pPr>
            <w:r>
              <w:rPr>
                <w:rFonts w:hint="eastAsia" w:ascii="宋体" w:hAnsi="宋体"/>
                <w:color w:val="auto"/>
                <w:sz w:val="24"/>
                <w:highlight w:val="none"/>
              </w:rPr>
              <w:t xml:space="preserve">分值</w:t>
            </w:r>
            <w:r>
              <w:rPr>
                <w:color w:val="auto"/>
              </w:rPr>
            </w:r>
            <w:r/>
          </w:p>
        </w:tc>
        <w:tc>
          <w:tcPr>
            <w:tcW w:w="7293"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评分标准</w:t>
            </w:r>
            <w:r>
              <w:rPr>
                <w:color w:val="auto"/>
              </w:rPr>
            </w:r>
            <w:r/>
          </w:p>
        </w:tc>
      </w:tr>
      <w:tr>
        <w:trPr/>
        <w:tc>
          <w:tcPr>
            <w:tcW w:w="807" w:type="dxa"/>
            <w:vAlign w:val="center"/>
            <w:textDirection w:val="lrTb"/>
            <w:noWrap/>
          </w:tcPr>
          <w:p>
            <w:pPr>
              <w:jc w:val="center"/>
              <w:rPr>
                <w:color w:val="auto"/>
                <w:sz w:val="24"/>
                <w:highlight w:val="none"/>
              </w:rPr>
            </w:pPr>
            <w:r>
              <w:rPr>
                <w:color w:val="auto"/>
                <w:sz w:val="24"/>
                <w:highlight w:val="none"/>
              </w:rPr>
              <w:t xml:space="preserve">投标价格</w:t>
            </w:r>
            <w:r>
              <w:rPr>
                <w:color w:val="auto"/>
              </w:rPr>
            </w:r>
            <w:r/>
          </w:p>
          <w:p>
            <w:pPr>
              <w:jc w:val="center"/>
              <w:rPr>
                <w:rFonts w:ascii="宋体" w:hAnsi="宋体"/>
                <w:color w:val="auto"/>
                <w:sz w:val="24"/>
                <w:highlight w:val="none"/>
              </w:rPr>
            </w:pPr>
            <w:r>
              <w:rPr>
                <w:rFonts w:ascii="宋体" w:hAnsi="宋体"/>
                <w:color w:val="auto"/>
                <w:sz w:val="24"/>
                <w:highlight w:val="none"/>
              </w:rPr>
            </w:r>
            <w:r>
              <w:rPr>
                <w:color w:val="auto"/>
              </w:rPr>
            </w:r>
            <w:r/>
          </w:p>
        </w:tc>
        <w:tc>
          <w:tcPr>
            <w:tcW w:w="835" w:type="dxa"/>
            <w:vAlign w:val="center"/>
            <w:textDirection w:val="lrTb"/>
            <w:noWrap/>
          </w:tcPr>
          <w:p>
            <w:pPr>
              <w:jc w:val="center"/>
              <w:rPr>
                <w:rFonts w:ascii="宋体" w:hAnsi="宋体"/>
                <w:color w:val="auto"/>
                <w:sz w:val="24"/>
                <w:highlight w:val="none"/>
              </w:rPr>
            </w:pPr>
            <w:r>
              <w:rPr>
                <w:rFonts w:hint="eastAsia" w:ascii="宋体" w:hAnsi="宋体" w:eastAsia="宋体" w:cs="Times New Roman"/>
                <w:color w:val="auto"/>
                <w:sz w:val="24"/>
                <w:highlight w:val="none"/>
              </w:rPr>
              <w:t xml:space="preserve">25</w:t>
            </w:r>
            <w:r>
              <w:rPr>
                <w:color w:val="auto"/>
                <w:sz w:val="24"/>
                <w:highlight w:val="none"/>
              </w:rPr>
              <w:t xml:space="preserve">分</w:t>
            </w:r>
            <w:r>
              <w:rPr>
                <w:color w:val="auto"/>
              </w:rPr>
            </w:r>
            <w:r/>
          </w:p>
        </w:tc>
        <w:tc>
          <w:tcPr>
            <w:tcW w:w="7293" w:type="dxa"/>
            <w:vAlign w:val="center"/>
            <w:textDirection w:val="lrTb"/>
            <w:noWrap/>
          </w:tcPr>
          <w:p>
            <w:pPr>
              <w:ind w:firstLine="480"/>
              <w:spacing w:line="400" w:lineRule="exact"/>
              <w:rPr>
                <w:color w:val="auto"/>
                <w:sz w:val="24"/>
                <w:highlight w:val="none"/>
              </w:rPr>
            </w:pPr>
            <w:r>
              <w:rPr>
                <w:rFonts w:hint="eastAsia"/>
                <w:color w:val="auto"/>
                <w:sz w:val="24"/>
                <w:highlight w:val="none"/>
              </w:rPr>
              <w:t xml:space="preserve">满足招标文件要求且投标价格最低的投标报价为评标基准价，其价格分为25分。</w:t>
            </w:r>
            <w:r>
              <w:rPr>
                <w:color w:val="auto"/>
              </w:rPr>
            </w:r>
            <w:r/>
          </w:p>
          <w:p>
            <w:pPr>
              <w:ind w:firstLine="480"/>
              <w:spacing w:line="400" w:lineRule="exact"/>
              <w:rPr>
                <w:color w:val="auto"/>
                <w:sz w:val="24"/>
                <w:highlight w:val="none"/>
              </w:rPr>
            </w:pPr>
            <w:r>
              <w:rPr>
                <w:rFonts w:hint="eastAsia"/>
                <w:color w:val="auto"/>
                <w:sz w:val="24"/>
                <w:highlight w:val="none"/>
              </w:rPr>
              <w:t xml:space="preserve">其他投标人的价格分统一按照下列公式计算：投标报价得分=(评标基准价／投标报价)×25。</w:t>
            </w:r>
            <w:r>
              <w:rPr>
                <w:color w:val="auto"/>
                <w:sz w:val="24"/>
                <w:highlight w:val="none"/>
              </w:rPr>
              <w:t xml:space="preserve">（</w:t>
            </w:r>
            <w:r>
              <w:rPr>
                <w:rFonts w:hint="eastAsia"/>
                <w:color w:val="auto"/>
                <w:sz w:val="24"/>
                <w:highlight w:val="none"/>
              </w:rPr>
              <w:t xml:space="preserve">计算结果保留两位小数，第三位四舍五入</w:t>
            </w:r>
            <w:r>
              <w:rPr>
                <w:color w:val="auto"/>
                <w:sz w:val="24"/>
                <w:highlight w:val="none"/>
              </w:rPr>
              <w:t xml:space="preserve">）。</w:t>
            </w:r>
            <w:r>
              <w:rPr>
                <w:color w:val="auto"/>
              </w:rPr>
            </w:r>
            <w:r/>
          </w:p>
          <w:p>
            <w:pPr>
              <w:ind w:firstLine="480"/>
              <w:spacing w:line="400" w:lineRule="exact"/>
              <w:rPr>
                <w:color w:val="auto"/>
                <w:sz w:val="24"/>
                <w:highlight w:val="none"/>
              </w:rPr>
            </w:pPr>
            <w:r>
              <w:rPr>
                <w:rFonts w:hint="eastAsia" w:ascii="宋体" w:hAnsi="宋体" w:eastAsia="宋体" w:cs="宋体"/>
                <w:color w:val="auto"/>
                <w:sz w:val="24"/>
                <w:highlight w:val="none"/>
              </w:rPr>
              <w:t xml:space="preserve">注意：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color w:val="auto"/>
              </w:rPr>
            </w:r>
            <w:r/>
          </w:p>
        </w:tc>
      </w:tr>
      <w:tr>
        <w:trPr/>
        <w:tc>
          <w:tcPr>
            <w:tcW w:w="807" w:type="dxa"/>
            <w:vAlign w:val="center"/>
            <w:textDirection w:val="lrTb"/>
            <w:noWrap/>
          </w:tcPr>
          <w:p>
            <w:pPr>
              <w:jc w:val="center"/>
              <w:rPr>
                <w:rFonts w:ascii="宋体" w:hAnsi="宋体"/>
                <w:color w:val="auto"/>
                <w:sz w:val="24"/>
                <w:highlight w:val="none"/>
              </w:rPr>
            </w:pPr>
            <w:r>
              <w:rPr>
                <w:rFonts w:ascii="宋体" w:hAnsi="宋体"/>
                <w:color w:val="auto"/>
                <w:sz w:val="24"/>
                <w:highlight w:val="none"/>
              </w:rPr>
              <w:t xml:space="preserve">企业信誉</w:t>
            </w:r>
            <w:r>
              <w:rPr>
                <w:color w:val="auto"/>
              </w:rPr>
            </w:r>
            <w:r/>
          </w:p>
          <w:p>
            <w:pPr>
              <w:jc w:val="center"/>
              <w:rPr>
                <w:rFonts w:ascii="宋体" w:hAnsi="宋体"/>
                <w:color w:val="auto"/>
                <w:sz w:val="24"/>
                <w:highlight w:val="none"/>
              </w:rPr>
            </w:pPr>
            <w:r>
              <w:rPr>
                <w:rFonts w:ascii="宋体" w:hAnsi="宋体"/>
                <w:color w:val="auto"/>
                <w:sz w:val="24"/>
                <w:highlight w:val="none"/>
              </w:rPr>
            </w:r>
            <w:r>
              <w:rPr>
                <w:color w:val="auto"/>
              </w:rPr>
            </w:r>
            <w:r/>
          </w:p>
        </w:tc>
        <w:tc>
          <w:tcPr>
            <w:tcW w:w="835"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3分</w:t>
            </w:r>
            <w:r>
              <w:rPr>
                <w:color w:val="auto"/>
              </w:rPr>
            </w:r>
            <w:r/>
          </w:p>
        </w:tc>
        <w:tc>
          <w:tcPr>
            <w:tcW w:w="7293" w:type="dxa"/>
            <w:textDirection w:val="lrTb"/>
            <w:noWrap/>
          </w:tcPr>
          <w:p>
            <w:pPr>
              <w:ind w:firstLine="480"/>
              <w:spacing w:line="400" w:lineRule="exact"/>
              <w:rPr>
                <w:rFonts w:ascii="宋体" w:hAnsi="宋体" w:eastAsia="宋体"/>
                <w:color w:val="auto"/>
                <w:sz w:val="24"/>
                <w:highlight w:val="none"/>
              </w:rPr>
            </w:pPr>
            <w:r>
              <w:rPr>
                <w:rFonts w:hint="eastAsia" w:ascii="宋体" w:hAnsi="宋体" w:eastAsia="宋体"/>
                <w:color w:val="auto"/>
                <w:sz w:val="24"/>
                <w:highlight w:val="none"/>
              </w:rPr>
              <w:t xml:space="preserve">投标人具有有效的</w:t>
            </w:r>
            <w:r>
              <w:rPr>
                <w:rFonts w:hint="eastAsia" w:ascii="宋体" w:hAnsi="宋体" w:eastAsia="宋体"/>
                <w:color w:val="auto"/>
                <w:sz w:val="24"/>
                <w:highlight w:val="none"/>
                <w:lang w:val="zh-CN"/>
              </w:rPr>
              <w:t xml:space="preserve">ISO质量体系认证</w:t>
            </w:r>
            <w:r>
              <w:rPr>
                <w:rFonts w:hint="eastAsia" w:ascii="宋体" w:hAnsi="宋体" w:eastAsia="宋体"/>
                <w:color w:val="auto"/>
                <w:sz w:val="24"/>
                <w:highlight w:val="none"/>
              </w:rPr>
              <w:t xml:space="preserve">证书得1分</w:t>
            </w:r>
            <w:r>
              <w:rPr>
                <w:rFonts w:hint="eastAsia" w:ascii="宋体" w:hAnsi="宋体" w:eastAsia="宋体"/>
                <w:color w:val="auto"/>
                <w:sz w:val="24"/>
                <w:highlight w:val="none"/>
                <w:lang w:val="zh-CN"/>
              </w:rPr>
              <w:t xml:space="preserve">、</w:t>
            </w:r>
            <w:r>
              <w:rPr>
                <w:rFonts w:hint="eastAsia" w:ascii="宋体" w:hAnsi="宋体" w:eastAsia="宋体"/>
                <w:color w:val="auto"/>
                <w:sz w:val="24"/>
                <w:highlight w:val="none"/>
              </w:rPr>
              <w:t xml:space="preserve">环境管理体系认证证书得1分、职业健康安全管理体系认证证书得1分，本项最高得3分。</w:t>
            </w:r>
            <w:r>
              <w:rPr>
                <w:color w:val="auto"/>
              </w:rPr>
            </w:r>
            <w:r/>
          </w:p>
          <w:p>
            <w:pPr>
              <w:ind w:firstLine="480"/>
              <w:spacing w:line="400" w:lineRule="exact"/>
              <w:rPr>
                <w:rFonts w:ascii="宋体" w:hAnsi="宋体" w:eastAsia="宋体"/>
                <w:color w:val="auto"/>
                <w:sz w:val="24"/>
                <w:highlight w:val="none"/>
              </w:rPr>
            </w:pPr>
            <w:r>
              <w:rPr>
                <w:rFonts w:hint="eastAsia" w:ascii="宋体" w:hAnsi="宋体" w:eastAsia="宋体"/>
                <w:color w:val="auto"/>
                <w:sz w:val="24"/>
                <w:highlight w:val="none"/>
              </w:rPr>
              <w:t xml:space="preserve">注：投标时须提供证书彩色扫描件和全国认证认可信息公共服务平台http://cx.cnca.cn/CertECloud/index/index/page完整页面查询彩色截图，未提供或提供不全不得分。</w:t>
            </w:r>
            <w:r>
              <w:rPr>
                <w:color w:val="auto"/>
              </w:rPr>
            </w:r>
            <w:r/>
          </w:p>
        </w:tc>
      </w:tr>
      <w:tr>
        <w:trPr>
          <w:trHeight w:val="686"/>
        </w:trPr>
        <w:tc>
          <w:tcPr>
            <w:tcW w:w="807" w:type="dxa"/>
            <w:vAlign w:val="center"/>
            <w:textDirection w:val="lrTb"/>
            <w:noWrap/>
          </w:tcPr>
          <w:p>
            <w:pPr>
              <w:jc w:val="center"/>
              <w:rPr>
                <w:rFonts w:ascii="宋体" w:hAnsi="宋体"/>
                <w:color w:val="auto"/>
                <w:sz w:val="24"/>
                <w:highlight w:val="none"/>
              </w:rPr>
            </w:pPr>
            <w:r>
              <w:rPr>
                <w:rFonts w:hint="eastAsia" w:ascii="宋体" w:hAnsi="宋体" w:cs="宋体"/>
                <w:color w:val="auto"/>
                <w:sz w:val="24"/>
                <w:highlight w:val="none"/>
              </w:rPr>
              <w:t xml:space="preserve">企业业绩</w:t>
            </w:r>
            <w:r>
              <w:rPr>
                <w:color w:val="auto"/>
              </w:rPr>
            </w:r>
            <w:r/>
          </w:p>
        </w:tc>
        <w:tc>
          <w:tcPr>
            <w:tcW w:w="835" w:type="dxa"/>
            <w:vAlign w:val="center"/>
            <w:textDirection w:val="lrTb"/>
            <w:noWrap/>
          </w:tcPr>
          <w:p>
            <w:pPr>
              <w:jc w:val="center"/>
              <w:rPr>
                <w:rFonts w:ascii="宋体" w:hAnsi="宋体"/>
                <w:color w:val="auto"/>
                <w:sz w:val="24"/>
                <w:highlight w:val="none"/>
              </w:rPr>
            </w:pPr>
            <w:r>
              <w:rPr>
                <w:rFonts w:hint="eastAsia" w:ascii="宋体" w:hAnsi="宋体" w:cs="宋体"/>
                <w:color w:val="auto"/>
                <w:sz w:val="24"/>
                <w:highlight w:val="none"/>
              </w:rPr>
              <w:t xml:space="preserve">6分</w:t>
            </w:r>
            <w:r>
              <w:rPr>
                <w:color w:val="auto"/>
              </w:rPr>
            </w:r>
            <w:r/>
          </w:p>
        </w:tc>
        <w:tc>
          <w:tcPr>
            <w:tcW w:w="7293" w:type="dxa"/>
            <w:textDirection w:val="lrTb"/>
            <w:noWrap/>
          </w:tcPr>
          <w:p>
            <w:pPr>
              <w:ind w:firstLine="480"/>
              <w:spacing w:line="400" w:lineRule="exact"/>
              <w:rPr>
                <w:rFonts w:ascii="宋体" w:hAnsi="宋体" w:eastAsia="宋体"/>
                <w:color w:val="auto"/>
                <w:sz w:val="24"/>
                <w:highlight w:val="none"/>
              </w:rPr>
            </w:pPr>
            <w:r>
              <w:rPr>
                <w:rFonts w:ascii="宋体" w:hAnsi="宋体" w:eastAsia="宋体"/>
                <w:color w:val="auto"/>
                <w:sz w:val="24"/>
                <w:highlight w:val="none"/>
              </w:rPr>
              <w:t xml:space="preserve">投标人每提供一项2023年8月1日以来的类似管网清淤检测服务项目业绩的得2分，最高得4分；投标人每提供一项类似污水泵站运行维护项目业绩的得</w:t>
            </w:r>
            <w:r>
              <w:rPr>
                <w:rFonts w:hint="eastAsia" w:ascii="宋体" w:hAnsi="宋体" w:eastAsia="宋体"/>
                <w:color w:val="auto"/>
                <w:sz w:val="24"/>
                <w:highlight w:val="none"/>
              </w:rPr>
              <w:t xml:space="preserve">1</w:t>
            </w:r>
            <w:r>
              <w:rPr>
                <w:rFonts w:ascii="宋体" w:hAnsi="宋体" w:eastAsia="宋体"/>
                <w:color w:val="auto"/>
                <w:sz w:val="24"/>
                <w:highlight w:val="none"/>
              </w:rPr>
              <w:t xml:space="preserve">分，最高得</w:t>
            </w:r>
            <w:r>
              <w:rPr>
                <w:rFonts w:hint="eastAsia" w:ascii="宋体" w:hAnsi="宋体" w:eastAsia="宋体"/>
                <w:color w:val="auto"/>
                <w:sz w:val="24"/>
                <w:highlight w:val="none"/>
              </w:rPr>
              <w:t xml:space="preserve">2</w:t>
            </w:r>
            <w:r>
              <w:rPr>
                <w:rFonts w:ascii="宋体" w:hAnsi="宋体" w:eastAsia="宋体"/>
                <w:color w:val="auto"/>
                <w:sz w:val="24"/>
                <w:highlight w:val="none"/>
              </w:rPr>
              <w:t xml:space="preserve">分。</w:t>
            </w:r>
            <w:r>
              <w:rPr>
                <w:color w:val="auto"/>
              </w:rPr>
            </w:r>
            <w:r/>
          </w:p>
          <w:p>
            <w:pPr>
              <w:ind w:firstLine="480"/>
              <w:spacing w:line="400" w:lineRule="exact"/>
              <w:rPr>
                <w:color w:val="auto"/>
                <w:highlight w:val="none"/>
              </w:rPr>
            </w:pPr>
            <w:r>
              <w:rPr>
                <w:rFonts w:ascii="宋体" w:hAnsi="宋体" w:eastAsia="宋体"/>
                <w:color w:val="auto"/>
                <w:sz w:val="24"/>
                <w:highlight w:val="none"/>
              </w:rPr>
              <w:t xml:space="preserve">（投标人须提供中标通知书原件扫描件、合同原件扫描件。以上证件提供</w:t>
            </w:r>
            <w:r>
              <w:rPr>
                <w:rFonts w:ascii="宋体" w:hAnsi="宋体" w:eastAsia="宋体"/>
                <w:b/>
                <w:bCs/>
                <w:color w:val="auto"/>
                <w:sz w:val="24"/>
                <w:highlight w:val="none"/>
              </w:rPr>
              <w:t xml:space="preserve">原件彩色</w:t>
            </w:r>
            <w:r>
              <w:rPr>
                <w:rFonts w:ascii="宋体" w:hAnsi="宋体" w:eastAsia="宋体"/>
                <w:color w:val="auto"/>
                <w:sz w:val="24"/>
                <w:highlight w:val="none"/>
              </w:rPr>
              <w:t xml:space="preserve">扫描件，否则不得分。）</w:t>
            </w:r>
            <w:r>
              <w:rPr>
                <w:color w:val="auto"/>
              </w:rPr>
            </w:r>
            <w:r/>
          </w:p>
        </w:tc>
      </w:tr>
      <w:tr>
        <w:trPr/>
        <w:tc>
          <w:tcPr>
            <w:tcW w:w="807" w:type="dxa"/>
            <w:vAlign w:val="center"/>
            <w:textDirection w:val="lrTb"/>
            <w:noWrap/>
          </w:tcPr>
          <w:p>
            <w:pPr>
              <w:jc w:val="center"/>
              <w:rPr>
                <w:rFonts w:ascii="宋体" w:hAnsi="宋体"/>
                <w:color w:val="auto"/>
                <w:sz w:val="24"/>
                <w:highlight w:val="none"/>
              </w:rPr>
            </w:pPr>
            <w:r>
              <w:rPr>
                <w:rFonts w:hint="eastAsia" w:ascii="宋体" w:hAnsi="宋体" w:eastAsia="宋体"/>
                <w:color w:val="auto"/>
                <w:sz w:val="24"/>
                <w:highlight w:val="none"/>
              </w:rPr>
              <w:t xml:space="preserve">设备车辆</w:t>
            </w:r>
            <w:r>
              <w:rPr>
                <w:color w:val="auto"/>
              </w:rPr>
            </w:r>
            <w:r/>
          </w:p>
        </w:tc>
        <w:tc>
          <w:tcPr>
            <w:tcW w:w="835" w:type="dxa"/>
            <w:vAlign w:val="center"/>
            <w:textDirection w:val="lrTb"/>
            <w:noWrap/>
          </w:tcPr>
          <w:p>
            <w:pPr>
              <w:jc w:val="center"/>
              <w:rPr>
                <w:rFonts w:ascii="宋体" w:hAnsi="宋体"/>
                <w:color w:val="auto"/>
                <w:sz w:val="24"/>
                <w:highlight w:val="none"/>
              </w:rPr>
            </w:pPr>
            <w:r>
              <w:rPr>
                <w:rFonts w:ascii="宋体" w:hAnsi="宋体"/>
                <w:color w:val="auto"/>
                <w:sz w:val="24"/>
                <w:highlight w:val="none"/>
              </w:rPr>
            </w:r>
            <w:r>
              <w:rPr>
                <w:color w:val="auto"/>
              </w:rPr>
            </w:r>
            <w:r/>
          </w:p>
          <w:p>
            <w:pPr>
              <w:jc w:val="center"/>
              <w:rPr>
                <w:rFonts w:ascii="宋体" w:hAnsi="宋体"/>
                <w:color w:val="auto"/>
                <w:sz w:val="24"/>
                <w:highlight w:val="none"/>
              </w:rPr>
            </w:pPr>
            <w:r>
              <w:rPr>
                <w:rFonts w:hint="eastAsia" w:ascii="宋体" w:hAnsi="宋体"/>
                <w:color w:val="auto"/>
                <w:sz w:val="24"/>
                <w:highlight w:val="none"/>
              </w:rPr>
              <w:t xml:space="preserve">10分</w:t>
            </w:r>
            <w:r>
              <w:rPr>
                <w:color w:val="auto"/>
              </w:rPr>
            </w:r>
            <w:r/>
          </w:p>
        </w:tc>
        <w:tc>
          <w:tcPr>
            <w:tcW w:w="7293" w:type="dxa"/>
            <w:textDirection w:val="lrTb"/>
            <w:noWrap/>
          </w:tcPr>
          <w:p>
            <w:pPr>
              <w:ind w:firstLine="480"/>
              <w:spacing w:line="400" w:lineRule="exact"/>
              <w:rPr>
                <w:rFonts w:ascii="宋体" w:hAnsi="宋体" w:eastAsia="宋体"/>
                <w:color w:val="auto"/>
                <w:sz w:val="24"/>
                <w:highlight w:val="none"/>
              </w:rPr>
            </w:pPr>
            <w:r>
              <w:rPr>
                <w:rFonts w:hint="eastAsia" w:ascii="宋体" w:hAnsi="宋体" w:eastAsia="宋体"/>
                <w:color w:val="auto"/>
                <w:sz w:val="24"/>
                <w:highlight w:val="none"/>
              </w:rPr>
              <w:t xml:space="preserve">投标人自有设备：</w:t>
            </w:r>
            <w:r>
              <w:rPr>
                <w:rFonts w:hint="eastAsia" w:ascii="宋体" w:hAnsi="宋体" w:eastAsia="宋体"/>
                <w:color w:val="auto"/>
                <w:sz w:val="24"/>
                <w:highlight w:val="none"/>
                <w:lang w:val="en-US" w:eastAsia="zh-CN"/>
              </w:rPr>
              <w:t xml:space="preserve">多于或高</w:t>
            </w:r>
            <w:r>
              <w:rPr>
                <w:rFonts w:hint="eastAsia" w:ascii="宋体" w:hAnsi="宋体" w:eastAsia="宋体"/>
                <w:color w:val="auto"/>
                <w:sz w:val="24"/>
                <w:highlight w:val="none"/>
              </w:rPr>
              <w:t xml:space="preserve">于</w:t>
            </w:r>
            <w:r>
              <w:rPr>
                <w:rFonts w:hint="eastAsia" w:ascii="宋体" w:hAnsi="宋体" w:eastAsia="宋体"/>
                <w:color w:val="auto"/>
                <w:sz w:val="24"/>
                <w:highlight w:val="none"/>
                <w:lang w:eastAsia="zh-CN"/>
              </w:rPr>
              <w:t xml:space="preserve">甲方</w:t>
            </w:r>
            <w:r>
              <w:rPr>
                <w:rFonts w:hint="eastAsia" w:ascii="宋体" w:hAnsi="宋体" w:eastAsia="宋体"/>
                <w:color w:val="auto"/>
                <w:sz w:val="24"/>
                <w:highlight w:val="none"/>
              </w:rPr>
              <w:t xml:space="preserve">清单中要求设备及数量的： 50KW及以上</w:t>
            </w:r>
            <w:r>
              <w:rPr>
                <w:rFonts w:hint="eastAsia" w:ascii="宋体" w:hAnsi="宋体" w:eastAsia="宋体"/>
                <w:color w:val="auto"/>
                <w:sz w:val="24"/>
                <w:highlight w:val="none"/>
              </w:rPr>
              <w:t xml:space="preserve">发电机2台</w:t>
            </w:r>
            <w:r>
              <w:rPr>
                <w:rFonts w:hint="eastAsia" w:ascii="宋体" w:hAnsi="宋体" w:eastAsia="宋体"/>
                <w:color w:val="auto"/>
                <w:sz w:val="24"/>
                <w:highlight w:val="none"/>
              </w:rPr>
              <w:t xml:space="preserve">（</w:t>
            </w:r>
            <w:r>
              <w:rPr>
                <w:rFonts w:hint="eastAsia" w:ascii="宋体" w:hAnsi="宋体" w:eastAsia="宋体"/>
                <w:color w:val="auto"/>
                <w:sz w:val="24"/>
                <w:highlight w:val="none"/>
                <w:lang w:val="en-US" w:eastAsia="zh-CN"/>
              </w:rPr>
              <w:t xml:space="preserve">有1台得1分，</w:t>
            </w:r>
            <w:r>
              <w:rPr>
                <w:rFonts w:hint="eastAsia" w:ascii="宋体" w:hAnsi="宋体" w:eastAsia="宋体"/>
                <w:color w:val="auto"/>
                <w:sz w:val="24"/>
                <w:highlight w:val="none"/>
              </w:rPr>
              <w:t xml:space="preserve">最多得2分）、液压动力站1台（最多得1分）、</w:t>
            </w:r>
            <w:r>
              <w:rPr>
                <w:rFonts w:hint="eastAsia" w:ascii="宋体" w:hAnsi="宋体" w:eastAsia="宋体"/>
                <w:color w:val="auto"/>
                <w:sz w:val="24"/>
                <w:highlight w:val="none"/>
              </w:rPr>
              <w:t xml:space="preserve">50KW及以上水泵1台（最多得1分</w:t>
            </w:r>
            <w:r>
              <w:rPr>
                <w:rFonts w:hint="eastAsia" w:ascii="宋体" w:hAnsi="宋体" w:eastAsia="宋体"/>
                <w:color w:val="auto"/>
                <w:sz w:val="24"/>
                <w:highlight w:val="none"/>
              </w:rPr>
              <w:t xml:space="preserve">）、</w:t>
            </w:r>
            <w:r>
              <w:rPr>
                <w:rFonts w:hint="eastAsia" w:ascii="宋体" w:hAnsi="宋体" w:eastAsia="宋体"/>
                <w:color w:val="auto"/>
                <w:sz w:val="24"/>
                <w:highlight w:val="none"/>
              </w:rPr>
              <w:t xml:space="preserve">高压气囊</w:t>
            </w:r>
            <w:r>
              <w:rPr>
                <w:rFonts w:hint="eastAsia" w:ascii="宋体" w:hAnsi="宋体" w:eastAsia="宋体"/>
                <w:color w:val="auto"/>
                <w:sz w:val="24"/>
                <w:highlight w:val="none"/>
              </w:rPr>
              <w:t xml:space="preserve">（规格为：DN800、DN1000、DN1200）2套（</w:t>
            </w:r>
            <w:r>
              <w:rPr>
                <w:rFonts w:hint="eastAsia" w:ascii="宋体" w:hAnsi="宋体" w:eastAsia="宋体"/>
                <w:color w:val="auto"/>
                <w:sz w:val="24"/>
                <w:highlight w:val="none"/>
                <w:lang w:val="en-US" w:eastAsia="zh-CN"/>
              </w:rPr>
              <w:t xml:space="preserve">有一套得1分，</w:t>
            </w:r>
            <w:r>
              <w:rPr>
                <w:rFonts w:hint="eastAsia" w:ascii="宋体" w:hAnsi="宋体" w:eastAsia="宋体"/>
                <w:color w:val="auto"/>
                <w:sz w:val="24"/>
                <w:highlight w:val="none"/>
              </w:rPr>
              <w:t xml:space="preserve">最多得2分）、10吨及以上移动式随车吊1台（最多得2分）、</w:t>
            </w:r>
            <w:r>
              <w:rPr>
                <w:rFonts w:hint="eastAsia" w:ascii="宋体" w:hAnsi="宋体" w:eastAsia="宋体"/>
                <w:color w:val="auto"/>
                <w:sz w:val="24"/>
                <w:highlight w:val="none"/>
              </w:rPr>
              <w:t xml:space="preserve">抓斗清淤车1台</w:t>
            </w:r>
            <w:r>
              <w:rPr>
                <w:rFonts w:hint="eastAsia" w:ascii="宋体" w:hAnsi="宋体" w:eastAsia="宋体"/>
                <w:color w:val="auto"/>
                <w:sz w:val="24"/>
                <w:highlight w:val="none"/>
              </w:rPr>
              <w:t xml:space="preserve">（最多得1分）、</w:t>
            </w:r>
            <w:r>
              <w:rPr>
                <w:rFonts w:hint="eastAsia" w:ascii="宋体" w:hAnsi="宋体" w:eastAsia="宋体"/>
                <w:color w:val="auto"/>
                <w:sz w:val="24"/>
                <w:highlight w:val="none"/>
              </w:rPr>
              <w:t xml:space="preserve">污泥净化车</w:t>
            </w:r>
            <w:r>
              <w:rPr>
                <w:rFonts w:hint="eastAsia" w:ascii="宋体" w:hAnsi="宋体" w:eastAsia="宋体"/>
                <w:color w:val="auto"/>
                <w:sz w:val="24"/>
                <w:highlight w:val="none"/>
              </w:rPr>
              <w:t xml:space="preserve">1台（最多得1分），最多得10分，不提供不得分。</w:t>
            </w:r>
            <w:r>
              <w:rPr>
                <w:color w:val="auto"/>
              </w:rPr>
            </w:r>
            <w:r/>
          </w:p>
          <w:p>
            <w:pPr>
              <w:ind w:firstLine="480"/>
              <w:spacing w:line="400" w:lineRule="exact"/>
              <w:rPr>
                <w:rFonts w:ascii="宋体" w:hAnsi="宋体" w:eastAsia="宋体"/>
                <w:color w:val="auto"/>
                <w:sz w:val="24"/>
                <w:highlight w:val="none"/>
              </w:rPr>
            </w:pPr>
            <w:r>
              <w:rPr>
                <w:rFonts w:hint="eastAsia" w:ascii="宋体" w:hAnsi="宋体" w:eastAsia="宋体"/>
                <w:color w:val="auto"/>
                <w:sz w:val="24"/>
                <w:highlight w:val="none"/>
              </w:rPr>
              <w:t xml:space="preserve">注：1、以上内容须提供购买的设备发票（发票开具时间必须在本项目发布之日前）扫描件加盖电子签章或复印件加盖红色实物公章，提供不全或不提供不得分；高压气囊须提供所有规格，提供不全或不提供不得分。</w:t>
            </w:r>
            <w:r>
              <w:rPr>
                <w:color w:val="auto"/>
              </w:rPr>
            </w:r>
            <w:r/>
          </w:p>
        </w:tc>
      </w:tr>
      <w:tr>
        <w:trPr/>
        <w:tc>
          <w:tcPr>
            <w:tcW w:w="807"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项目组成员</w:t>
            </w:r>
            <w:r>
              <w:rPr>
                <w:color w:val="auto"/>
              </w:rPr>
            </w:r>
            <w:r/>
          </w:p>
          <w:p>
            <w:pPr>
              <w:jc w:val="center"/>
              <w:rPr>
                <w:rFonts w:ascii="宋体" w:hAnsi="宋体"/>
                <w:color w:val="auto"/>
                <w:sz w:val="24"/>
                <w:highlight w:val="none"/>
              </w:rPr>
            </w:pPr>
            <w:r>
              <w:rPr>
                <w:rFonts w:ascii="宋体" w:hAnsi="宋体"/>
                <w:color w:val="auto"/>
                <w:sz w:val="24"/>
                <w:highlight w:val="none"/>
              </w:rPr>
            </w:r>
            <w:r>
              <w:rPr>
                <w:color w:val="auto"/>
              </w:rPr>
            </w:r>
            <w:r/>
          </w:p>
        </w:tc>
        <w:tc>
          <w:tcPr>
            <w:tcW w:w="835"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6分</w:t>
            </w:r>
            <w:r>
              <w:rPr>
                <w:color w:val="auto"/>
              </w:rPr>
            </w:r>
            <w:r/>
          </w:p>
        </w:tc>
        <w:tc>
          <w:tcPr>
            <w:tcW w:w="7293" w:type="dxa"/>
            <w:textDirection w:val="lrTb"/>
            <w:noWrap/>
          </w:tcPr>
          <w:p>
            <w:pPr>
              <w:ind w:firstLine="480"/>
              <w:spacing w:line="400" w:lineRule="exact"/>
              <w:rPr>
                <w:rFonts w:ascii="宋体" w:hAnsi="宋体"/>
                <w:color w:val="auto"/>
                <w:sz w:val="24"/>
                <w:highlight w:val="none"/>
              </w:rPr>
            </w:pPr>
            <w:r>
              <w:rPr>
                <w:rFonts w:ascii="宋体" w:hAnsi="宋体"/>
                <w:color w:val="auto"/>
                <w:sz w:val="24"/>
                <w:highlight w:val="none"/>
              </w:rPr>
              <w:t xml:space="preserve">除拟派项目负责人外，具有市政排水管道检测与评估证书2名得2分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有一人得1分，最多得2分</w:t>
            </w:r>
            <w:r>
              <w:rPr>
                <w:rFonts w:hint="eastAsia" w:ascii="宋体" w:hAnsi="宋体"/>
                <w:color w:val="auto"/>
                <w:sz w:val="24"/>
                <w:highlight w:val="none"/>
                <w:lang w:eastAsia="zh-CN"/>
              </w:rPr>
              <w:t xml:space="preserve">）</w:t>
            </w:r>
            <w:r>
              <w:rPr>
                <w:rFonts w:ascii="宋体" w:hAnsi="宋体"/>
                <w:color w:val="auto"/>
                <w:sz w:val="24"/>
                <w:highlight w:val="none"/>
              </w:rPr>
              <w:t xml:space="preserve">；具有下水道养护高级工</w:t>
            </w:r>
            <w:r>
              <w:rPr>
                <w:rFonts w:hint="eastAsia" w:ascii="宋体" w:hAnsi="宋体"/>
                <w:color w:val="auto"/>
                <w:sz w:val="24"/>
                <w:highlight w:val="none"/>
              </w:rPr>
              <w:t xml:space="preserve">2</w:t>
            </w:r>
            <w:r>
              <w:rPr>
                <w:rFonts w:ascii="宋体" w:hAnsi="宋体"/>
                <w:color w:val="auto"/>
                <w:sz w:val="24"/>
                <w:highlight w:val="none"/>
              </w:rPr>
              <w:t xml:space="preserve">名得</w:t>
            </w:r>
            <w:r>
              <w:rPr>
                <w:rFonts w:hint="eastAsia" w:ascii="宋体" w:hAnsi="宋体"/>
                <w:color w:val="auto"/>
                <w:sz w:val="24"/>
                <w:highlight w:val="none"/>
              </w:rPr>
              <w:t xml:space="preserve">2</w:t>
            </w:r>
            <w:r>
              <w:rPr>
                <w:rFonts w:ascii="宋体" w:hAnsi="宋体"/>
                <w:color w:val="auto"/>
                <w:sz w:val="24"/>
                <w:highlight w:val="none"/>
              </w:rPr>
              <w:t xml:space="preserve">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有一人得1分，最多得2分</w:t>
            </w:r>
            <w:r>
              <w:rPr>
                <w:rFonts w:hint="eastAsia" w:ascii="宋体" w:hAnsi="宋体"/>
                <w:color w:val="auto"/>
                <w:sz w:val="24"/>
                <w:highlight w:val="none"/>
                <w:lang w:eastAsia="zh-CN"/>
              </w:rPr>
              <w:t xml:space="preserve">）</w:t>
            </w:r>
            <w:r>
              <w:rPr>
                <w:rFonts w:ascii="宋体" w:hAnsi="宋体"/>
                <w:color w:val="auto"/>
                <w:sz w:val="24"/>
                <w:highlight w:val="none"/>
              </w:rPr>
              <w:t xml:space="preserve">；具有高级市政工程潜水员证书2名得2分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有一人得1分，最多得2分</w:t>
            </w:r>
            <w:r>
              <w:rPr>
                <w:rFonts w:hint="eastAsia" w:ascii="宋体" w:hAnsi="宋体"/>
                <w:color w:val="auto"/>
                <w:sz w:val="24"/>
                <w:highlight w:val="none"/>
                <w:lang w:eastAsia="zh-CN"/>
              </w:rPr>
              <w:t xml:space="preserve">）</w:t>
            </w:r>
            <w:r>
              <w:rPr>
                <w:rFonts w:ascii="宋体" w:hAnsi="宋体"/>
                <w:color w:val="auto"/>
                <w:sz w:val="24"/>
                <w:highlight w:val="none"/>
              </w:rPr>
              <w:t xml:space="preserve">；本项最多得</w:t>
            </w:r>
            <w:r>
              <w:rPr>
                <w:rFonts w:hint="eastAsia" w:ascii="宋体" w:hAnsi="宋体"/>
                <w:color w:val="auto"/>
                <w:sz w:val="24"/>
                <w:highlight w:val="none"/>
              </w:rPr>
              <w:t xml:space="preserve">6</w:t>
            </w:r>
            <w:r>
              <w:rPr>
                <w:rFonts w:ascii="宋体" w:hAnsi="宋体"/>
                <w:color w:val="auto"/>
                <w:sz w:val="24"/>
                <w:highlight w:val="none"/>
              </w:rPr>
              <w:t xml:space="preserve">分。没有不得分。</w:t>
            </w:r>
            <w:r>
              <w:rPr>
                <w:color w:val="auto"/>
              </w:rPr>
            </w:r>
            <w:r/>
          </w:p>
          <w:p>
            <w:pPr>
              <w:ind w:firstLine="480"/>
              <w:spacing w:line="400" w:lineRule="exact"/>
              <w:rPr>
                <w:rFonts w:ascii="宋体" w:hAnsi="宋体"/>
                <w:color w:val="auto"/>
                <w:sz w:val="24"/>
                <w:highlight w:val="none"/>
              </w:rPr>
            </w:pPr>
            <w:r>
              <w:rPr>
                <w:rFonts w:ascii="宋体" w:hAnsi="宋体"/>
                <w:color w:val="auto"/>
                <w:sz w:val="24"/>
                <w:highlight w:val="none"/>
              </w:rPr>
              <w:t xml:space="preserve">(须提供相关人员证书原件扫描件、从投标截止之日当月向前1个月已在本单位缴纳养老保险证明原件扫描件。对于同一人有多类证书仅计一次分，不重复计分）</w:t>
            </w:r>
            <w:r>
              <w:rPr>
                <w:color w:val="auto"/>
              </w:rPr>
            </w:r>
            <w:r/>
          </w:p>
        </w:tc>
      </w:tr>
      <w:tr>
        <w:trPr/>
        <w:tc>
          <w:tcPr>
            <w:tcW w:w="807"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服务方案</w:t>
            </w:r>
            <w:r>
              <w:rPr>
                <w:color w:val="auto"/>
              </w:rPr>
            </w:r>
            <w:r/>
          </w:p>
        </w:tc>
        <w:tc>
          <w:tcPr>
            <w:tcW w:w="835"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50分</w:t>
            </w:r>
            <w:r>
              <w:rPr>
                <w:color w:val="auto"/>
              </w:rPr>
            </w:r>
            <w:r/>
          </w:p>
        </w:tc>
        <w:tc>
          <w:tcPr>
            <w:tcW w:w="7293" w:type="dxa"/>
            <w:textDirection w:val="lrTb"/>
            <w:noWrap/>
          </w:tcPr>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1.</w:t>
            </w:r>
            <w:r>
              <w:rPr>
                <w:rFonts w:ascii="宋体" w:hAnsi="宋体" w:cs="宋体"/>
                <w:bCs/>
                <w:color w:val="auto"/>
                <w:sz w:val="24"/>
                <w:highlight w:val="none"/>
              </w:rPr>
              <w:t xml:space="preserve">根据投标人提供的</w:t>
            </w:r>
            <w:r>
              <w:rPr>
                <w:rFonts w:hint="eastAsia" w:ascii="宋体" w:hAnsi="宋体" w:cs="宋体"/>
                <w:color w:val="auto"/>
                <w:sz w:val="24"/>
                <w:highlight w:val="none"/>
              </w:rPr>
              <w:t xml:space="preserve">对排水</w:t>
            </w:r>
            <w:r>
              <w:rPr>
                <w:rFonts w:hint="eastAsia" w:ascii="宋体" w:hAnsi="宋体" w:cs="宋体"/>
                <w:color w:val="auto"/>
                <w:sz w:val="24"/>
                <w:highlight w:val="none"/>
                <w:lang w:val="zh-CN"/>
              </w:rPr>
              <w:t xml:space="preserve">管网维修养护（含巡查、疏通、清淤、检测）作业流程科学、规范</w:t>
            </w:r>
            <w:r>
              <w:rPr>
                <w:rFonts w:ascii="宋体" w:hAnsi="宋体" w:cs="宋体"/>
                <w:bCs/>
                <w:color w:val="auto"/>
                <w:sz w:val="24"/>
                <w:highlight w:val="none"/>
              </w:rPr>
              <w:t xml:space="preserve">等进行</w:t>
            </w:r>
            <w:r>
              <w:rPr>
                <w:rFonts w:hint="eastAsia" w:ascii="宋体" w:hAnsi="宋体" w:cs="宋体"/>
                <w:bCs/>
                <w:color w:val="auto"/>
                <w:sz w:val="24"/>
                <w:highlight w:val="none"/>
              </w:rPr>
              <w:t xml:space="preserve">综合</w:t>
            </w:r>
            <w:r>
              <w:rPr>
                <w:rFonts w:ascii="宋体" w:hAnsi="宋体" w:cs="宋体"/>
                <w:bCs/>
                <w:color w:val="auto"/>
                <w:sz w:val="24"/>
                <w:highlight w:val="none"/>
              </w:rPr>
              <w:t xml:space="preserve">评分</w:t>
            </w:r>
            <w:r>
              <w:rPr>
                <w:rFonts w:hint="eastAsia" w:ascii="宋体" w:hAnsi="宋体"/>
                <w:color w:val="auto"/>
                <w:sz w:val="24"/>
                <w:highlight w:val="none"/>
              </w:rPr>
              <w:t xml:space="preserve">。</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优于项目需求得8分，</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满足项目需求得7分，</w:t>
            </w:r>
            <w:r>
              <w:rPr>
                <w:color w:val="auto"/>
              </w:rPr>
            </w:r>
            <w:r/>
          </w:p>
          <w:p>
            <w:pPr>
              <w:ind w:firstLine="482"/>
              <w:spacing w:line="400" w:lineRule="exact"/>
              <w:rPr>
                <w:rFonts w:ascii="宋体" w:hAnsi="宋体"/>
                <w:b/>
                <w:bCs/>
                <w:color w:val="auto"/>
                <w:sz w:val="24"/>
                <w:highlight w:val="none"/>
              </w:rPr>
            </w:pPr>
            <w:r>
              <w:rPr>
                <w:rFonts w:hint="eastAsia" w:ascii="宋体" w:hAnsi="宋体"/>
                <w:b/>
                <w:bCs/>
                <w:color w:val="auto"/>
                <w:sz w:val="24"/>
                <w:highlight w:val="none"/>
              </w:rPr>
              <w:t xml:space="preserve">未提供或提供不全得0分。</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s="宋体"/>
                <w:bCs/>
                <w:color w:val="auto"/>
                <w:sz w:val="24"/>
                <w:highlight w:val="none"/>
              </w:rPr>
              <w:t xml:space="preserve">根据投标人提供的</w:t>
            </w:r>
            <w:r>
              <w:rPr>
                <w:rFonts w:hint="eastAsia" w:ascii="宋体" w:hAnsi="宋体" w:cs="宋体"/>
                <w:color w:val="auto"/>
                <w:sz w:val="24"/>
                <w:highlight w:val="none"/>
              </w:rPr>
              <w:t xml:space="preserve">编制</w:t>
            </w:r>
            <w:r>
              <w:rPr>
                <w:rFonts w:hint="eastAsia" w:ascii="宋体" w:hAnsi="宋体" w:cs="宋体"/>
                <w:color w:val="auto"/>
                <w:sz w:val="24"/>
                <w:highlight w:val="none"/>
                <w:lang w:val="zh-CN"/>
              </w:rPr>
              <w:t xml:space="preserve">年度养护计划编制科学、规范</w:t>
            </w:r>
            <w:r>
              <w:rPr>
                <w:rFonts w:ascii="宋体" w:hAnsi="宋体" w:cs="宋体"/>
                <w:bCs/>
                <w:color w:val="auto"/>
                <w:sz w:val="24"/>
                <w:highlight w:val="none"/>
              </w:rPr>
              <w:t xml:space="preserve">等进行</w:t>
            </w:r>
            <w:r>
              <w:rPr>
                <w:rFonts w:hint="eastAsia" w:ascii="宋体" w:hAnsi="宋体" w:cs="宋体"/>
                <w:bCs/>
                <w:color w:val="auto"/>
                <w:sz w:val="24"/>
                <w:highlight w:val="none"/>
              </w:rPr>
              <w:t xml:space="preserve">综合</w:t>
            </w:r>
            <w:r>
              <w:rPr>
                <w:rFonts w:ascii="宋体" w:hAnsi="宋体" w:cs="宋体"/>
                <w:bCs/>
                <w:color w:val="auto"/>
                <w:sz w:val="24"/>
                <w:highlight w:val="none"/>
              </w:rPr>
              <w:t xml:space="preserve">评分</w:t>
            </w:r>
            <w:r>
              <w:rPr>
                <w:rFonts w:hint="eastAsia" w:ascii="宋体" w:hAnsi="宋体"/>
                <w:color w:val="auto"/>
                <w:sz w:val="24"/>
                <w:highlight w:val="none"/>
              </w:rPr>
              <w:t xml:space="preserve">。</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优于项目需求得8分，</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满足项目需求得7分，</w:t>
            </w:r>
            <w:r>
              <w:rPr>
                <w:color w:val="auto"/>
              </w:rPr>
            </w:r>
            <w:r/>
          </w:p>
          <w:p>
            <w:pPr>
              <w:ind w:firstLine="482"/>
              <w:spacing w:line="400" w:lineRule="exact"/>
              <w:rPr>
                <w:rFonts w:ascii="宋体" w:hAnsi="宋体"/>
                <w:b/>
                <w:bCs/>
                <w:color w:val="auto"/>
                <w:sz w:val="24"/>
                <w:highlight w:val="none"/>
              </w:rPr>
            </w:pPr>
            <w:r>
              <w:rPr>
                <w:rFonts w:hint="eastAsia" w:ascii="宋体" w:hAnsi="宋体"/>
                <w:b/>
                <w:bCs/>
                <w:color w:val="auto"/>
                <w:sz w:val="24"/>
                <w:highlight w:val="none"/>
              </w:rPr>
              <w:t xml:space="preserve">未提供或提供不全得0分。</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s="宋体"/>
                <w:bCs/>
                <w:color w:val="auto"/>
                <w:sz w:val="24"/>
                <w:highlight w:val="none"/>
              </w:rPr>
              <w:t xml:space="preserve">根据投标人提供的</w:t>
            </w:r>
            <w:r>
              <w:rPr>
                <w:rFonts w:hint="eastAsia" w:ascii="宋体" w:hAnsi="宋体" w:cs="宋体"/>
                <w:color w:val="auto"/>
                <w:sz w:val="24"/>
                <w:highlight w:val="none"/>
              </w:rPr>
              <w:t xml:space="preserve">对</w:t>
            </w:r>
            <w:r>
              <w:rPr>
                <w:rFonts w:hint="eastAsia" w:ascii="宋体" w:hAnsi="宋体" w:cs="宋体"/>
                <w:color w:val="auto"/>
                <w:sz w:val="24"/>
                <w:highlight w:val="none"/>
                <w:lang w:val="zh-CN"/>
              </w:rPr>
              <w:t xml:space="preserve">有限空间作业措施规范，中毒窒息应急预案针对性</w:t>
            </w:r>
            <w:r>
              <w:rPr>
                <w:rFonts w:ascii="宋体" w:hAnsi="宋体" w:cs="宋体"/>
                <w:bCs/>
                <w:color w:val="auto"/>
                <w:sz w:val="24"/>
                <w:highlight w:val="none"/>
              </w:rPr>
              <w:t xml:space="preserve">等进行</w:t>
            </w:r>
            <w:r>
              <w:rPr>
                <w:rFonts w:hint="eastAsia" w:ascii="宋体" w:hAnsi="宋体" w:cs="宋体"/>
                <w:bCs/>
                <w:color w:val="auto"/>
                <w:sz w:val="24"/>
                <w:highlight w:val="none"/>
              </w:rPr>
              <w:t xml:space="preserve">综合</w:t>
            </w:r>
            <w:r>
              <w:rPr>
                <w:rFonts w:ascii="宋体" w:hAnsi="宋体" w:cs="宋体"/>
                <w:bCs/>
                <w:color w:val="auto"/>
                <w:sz w:val="24"/>
                <w:highlight w:val="none"/>
              </w:rPr>
              <w:t xml:space="preserve">评分</w:t>
            </w:r>
            <w:r>
              <w:rPr>
                <w:rFonts w:hint="eastAsia" w:ascii="宋体" w:hAnsi="宋体"/>
                <w:color w:val="auto"/>
                <w:sz w:val="24"/>
                <w:highlight w:val="none"/>
              </w:rPr>
              <w:t xml:space="preserve">。</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优于项目需求得8分，</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满足项目需求得7分，</w:t>
            </w:r>
            <w:r>
              <w:rPr>
                <w:color w:val="auto"/>
              </w:rPr>
            </w:r>
            <w:r/>
          </w:p>
          <w:p>
            <w:pPr>
              <w:ind w:firstLine="482"/>
              <w:spacing w:line="400" w:lineRule="exact"/>
              <w:rPr>
                <w:color w:val="auto"/>
                <w:highlight w:val="none"/>
              </w:rPr>
            </w:pPr>
            <w:r>
              <w:rPr>
                <w:rFonts w:hint="eastAsia" w:ascii="宋体" w:hAnsi="宋体"/>
                <w:b/>
                <w:bCs/>
                <w:color w:val="auto"/>
                <w:sz w:val="24"/>
                <w:highlight w:val="none"/>
              </w:rPr>
              <w:t xml:space="preserve">未提供或提供不全得0分。</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4.</w:t>
            </w:r>
            <w:r>
              <w:rPr>
                <w:rFonts w:ascii="宋体" w:hAnsi="宋体" w:cs="宋体"/>
                <w:bCs/>
                <w:color w:val="auto"/>
                <w:sz w:val="24"/>
                <w:highlight w:val="none"/>
              </w:rPr>
              <w:t xml:space="preserve">根据投标人提供的</w:t>
            </w:r>
            <w:r>
              <w:rPr>
                <w:rFonts w:hint="eastAsia" w:ascii="宋体" w:hAnsi="宋体" w:cs="宋体"/>
                <w:color w:val="auto"/>
                <w:sz w:val="24"/>
                <w:highlight w:val="none"/>
              </w:rPr>
              <w:t xml:space="preserve">对</w:t>
            </w:r>
            <w:r>
              <w:rPr>
                <w:rFonts w:hint="eastAsia" w:ascii="宋体" w:hAnsi="宋体" w:cs="宋体"/>
                <w:color w:val="auto"/>
                <w:sz w:val="24"/>
                <w:highlight w:val="none"/>
                <w:lang w:val="zh-CN"/>
              </w:rPr>
              <w:t xml:space="preserve">“12345”热线、数字城管、人民来信及上级交办案件事件处置及时、规范</w:t>
            </w:r>
            <w:r>
              <w:rPr>
                <w:rFonts w:ascii="宋体" w:hAnsi="宋体" w:cs="宋体"/>
                <w:bCs/>
                <w:color w:val="auto"/>
                <w:sz w:val="24"/>
                <w:highlight w:val="none"/>
              </w:rPr>
              <w:t xml:space="preserve">等进行</w:t>
            </w:r>
            <w:r>
              <w:rPr>
                <w:rFonts w:hint="eastAsia" w:ascii="宋体" w:hAnsi="宋体" w:cs="宋体"/>
                <w:bCs/>
                <w:color w:val="auto"/>
                <w:sz w:val="24"/>
                <w:highlight w:val="none"/>
              </w:rPr>
              <w:t xml:space="preserve">综合</w:t>
            </w:r>
            <w:r>
              <w:rPr>
                <w:rFonts w:ascii="宋体" w:hAnsi="宋体" w:cs="宋体"/>
                <w:bCs/>
                <w:color w:val="auto"/>
                <w:sz w:val="24"/>
                <w:highlight w:val="none"/>
              </w:rPr>
              <w:t xml:space="preserve">评分</w:t>
            </w:r>
            <w:r>
              <w:rPr>
                <w:rFonts w:hint="eastAsia" w:ascii="宋体" w:hAnsi="宋体"/>
                <w:color w:val="auto"/>
                <w:sz w:val="24"/>
                <w:highlight w:val="none"/>
              </w:rPr>
              <w:t xml:space="preserve">。</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优于项目需求得8分，</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满足项目需求得7分，</w:t>
            </w:r>
            <w:r>
              <w:rPr>
                <w:color w:val="auto"/>
              </w:rPr>
            </w:r>
            <w:r/>
          </w:p>
          <w:p>
            <w:pPr>
              <w:ind w:firstLine="482"/>
              <w:spacing w:line="400" w:lineRule="exact"/>
              <w:rPr>
                <w:rFonts w:ascii="宋体" w:hAnsi="宋体"/>
                <w:b/>
                <w:bCs/>
                <w:color w:val="auto"/>
                <w:sz w:val="24"/>
                <w:highlight w:val="none"/>
              </w:rPr>
            </w:pPr>
            <w:r>
              <w:rPr>
                <w:rFonts w:hint="eastAsia" w:ascii="宋体" w:hAnsi="宋体"/>
                <w:b/>
                <w:bCs/>
                <w:color w:val="auto"/>
                <w:sz w:val="24"/>
                <w:highlight w:val="none"/>
              </w:rPr>
              <w:t xml:space="preserve">未提供或提供不全得0分。</w:t>
            </w:r>
            <w:r>
              <w:rPr>
                <w:color w:val="auto"/>
              </w:rPr>
            </w:r>
            <w:r/>
          </w:p>
          <w:p>
            <w:pPr>
              <w:ind w:firstLine="480"/>
              <w:spacing w:line="400" w:lineRule="exact"/>
              <w:rPr>
                <w:rFonts w:ascii="宋体" w:hAnsi="宋体"/>
                <w:color w:val="auto"/>
                <w:sz w:val="24"/>
                <w:highlight w:val="none"/>
              </w:rPr>
            </w:pPr>
            <w:r>
              <w:rPr>
                <w:rFonts w:hint="eastAsia" w:ascii="宋体" w:hAnsi="宋体" w:eastAsia="宋体" w:cs="Times New Roman"/>
                <w:color w:val="auto"/>
                <w:sz w:val="24"/>
                <w:highlight w:val="none"/>
              </w:rPr>
              <w:t xml:space="preserve">5.</w:t>
            </w:r>
            <w:r>
              <w:rPr>
                <w:rFonts w:ascii="宋体" w:hAnsi="宋体" w:cs="宋体"/>
                <w:bCs/>
                <w:color w:val="auto"/>
                <w:sz w:val="24"/>
                <w:highlight w:val="none"/>
              </w:rPr>
              <w:t xml:space="preserve">根据投标人提供的</w:t>
            </w:r>
            <w:r>
              <w:rPr>
                <w:rFonts w:hint="eastAsia" w:ascii="宋体" w:hAnsi="宋体" w:cs="宋体"/>
                <w:color w:val="auto"/>
                <w:sz w:val="24"/>
                <w:highlight w:val="none"/>
              </w:rPr>
              <w:t xml:space="preserve">对排水管网设施应急维修</w:t>
            </w:r>
            <w:r>
              <w:rPr>
                <w:rFonts w:hint="eastAsia" w:ascii="宋体" w:hAnsi="宋体" w:cs="宋体"/>
                <w:color w:val="auto"/>
                <w:sz w:val="24"/>
                <w:highlight w:val="none"/>
                <w:lang w:val="zh-CN"/>
              </w:rPr>
              <w:t xml:space="preserve">和</w:t>
            </w:r>
            <w:r>
              <w:rPr>
                <w:rFonts w:hint="eastAsia" w:ascii="宋体" w:hAnsi="宋体" w:cs="宋体"/>
                <w:color w:val="auto"/>
                <w:sz w:val="24"/>
                <w:highlight w:val="none"/>
              </w:rPr>
              <w:t xml:space="preserve">抢修</w:t>
            </w:r>
            <w:r>
              <w:rPr>
                <w:rFonts w:hint="eastAsia" w:ascii="宋体" w:hAnsi="宋体" w:cs="宋体"/>
                <w:color w:val="auto"/>
                <w:sz w:val="24"/>
                <w:highlight w:val="none"/>
                <w:lang w:val="zh-CN"/>
              </w:rPr>
              <w:t xml:space="preserve">时间保证的具体措施</w:t>
            </w:r>
            <w:r>
              <w:rPr>
                <w:rFonts w:ascii="宋体" w:hAnsi="宋体" w:cs="宋体"/>
                <w:bCs/>
                <w:color w:val="auto"/>
                <w:sz w:val="24"/>
                <w:highlight w:val="none"/>
              </w:rPr>
              <w:t xml:space="preserve">等进行</w:t>
            </w:r>
            <w:r>
              <w:rPr>
                <w:rFonts w:hint="eastAsia" w:ascii="宋体" w:hAnsi="宋体" w:cs="宋体"/>
                <w:bCs/>
                <w:color w:val="auto"/>
                <w:sz w:val="24"/>
                <w:highlight w:val="none"/>
              </w:rPr>
              <w:t xml:space="preserve">综合</w:t>
            </w:r>
            <w:r>
              <w:rPr>
                <w:rFonts w:ascii="宋体" w:hAnsi="宋体" w:cs="宋体"/>
                <w:bCs/>
                <w:color w:val="auto"/>
                <w:sz w:val="24"/>
                <w:highlight w:val="none"/>
              </w:rPr>
              <w:t xml:space="preserve">评分</w:t>
            </w:r>
            <w:r>
              <w:rPr>
                <w:rFonts w:hint="eastAsia" w:ascii="宋体" w:hAnsi="宋体"/>
                <w:color w:val="auto"/>
                <w:sz w:val="24"/>
                <w:highlight w:val="none"/>
              </w:rPr>
              <w:t xml:space="preserve">。</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优于项目需求得8分，</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满足项目需求得7分，</w:t>
            </w:r>
            <w:r>
              <w:rPr>
                <w:color w:val="auto"/>
              </w:rPr>
            </w:r>
            <w:r/>
          </w:p>
          <w:p>
            <w:pPr>
              <w:ind w:firstLine="482"/>
              <w:spacing w:line="400" w:lineRule="exact"/>
              <w:rPr>
                <w:rFonts w:ascii="宋体" w:hAnsi="宋体"/>
                <w:b/>
                <w:bCs/>
                <w:color w:val="auto"/>
                <w:sz w:val="24"/>
                <w:highlight w:val="none"/>
              </w:rPr>
            </w:pPr>
            <w:r>
              <w:rPr>
                <w:rFonts w:hint="eastAsia" w:ascii="宋体" w:hAnsi="宋体"/>
                <w:b/>
                <w:bCs/>
                <w:color w:val="auto"/>
                <w:sz w:val="24"/>
                <w:highlight w:val="none"/>
              </w:rPr>
              <w:t xml:space="preserve">未提供或提供不全得0分。</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6.</w:t>
            </w:r>
            <w:r>
              <w:rPr>
                <w:rFonts w:ascii="宋体" w:hAnsi="宋体" w:cs="宋体"/>
                <w:bCs/>
                <w:color w:val="auto"/>
                <w:sz w:val="24"/>
                <w:highlight w:val="none"/>
              </w:rPr>
              <w:t xml:space="preserve">根据投标人提供的本地化服务承诺、服务响应时间、服务方式、服务内容、人员配备力量、为</w:t>
            </w:r>
            <w:r>
              <w:rPr>
                <w:rFonts w:hint="eastAsia" w:ascii="宋体" w:hAnsi="宋体" w:cs="宋体"/>
                <w:bCs/>
                <w:color w:val="auto"/>
                <w:sz w:val="24"/>
                <w:highlight w:val="none"/>
              </w:rPr>
              <w:t xml:space="preserve">完成本项目所</w:t>
            </w:r>
            <w:r>
              <w:rPr>
                <w:rFonts w:ascii="宋体" w:hAnsi="宋体" w:cs="宋体"/>
                <w:bCs/>
                <w:color w:val="auto"/>
                <w:sz w:val="24"/>
                <w:highlight w:val="none"/>
              </w:rPr>
              <w:t xml:space="preserve">提供</w:t>
            </w:r>
            <w:r>
              <w:rPr>
                <w:rFonts w:hint="eastAsia" w:ascii="宋体" w:hAnsi="宋体" w:cs="宋体"/>
                <w:bCs/>
                <w:color w:val="auto"/>
                <w:sz w:val="24"/>
                <w:highlight w:val="none"/>
              </w:rPr>
              <w:t xml:space="preserve">的</w:t>
            </w:r>
            <w:r>
              <w:rPr>
                <w:rFonts w:ascii="宋体" w:hAnsi="宋体" w:cs="宋体"/>
                <w:bCs/>
                <w:color w:val="auto"/>
                <w:sz w:val="24"/>
                <w:highlight w:val="none"/>
              </w:rPr>
              <w:t xml:space="preserve">技术支持等进行</w:t>
            </w:r>
            <w:r>
              <w:rPr>
                <w:rFonts w:hint="eastAsia" w:ascii="宋体" w:hAnsi="宋体" w:cs="宋体"/>
                <w:bCs/>
                <w:color w:val="auto"/>
                <w:sz w:val="24"/>
                <w:highlight w:val="none"/>
              </w:rPr>
              <w:t xml:space="preserve">综合</w:t>
            </w:r>
            <w:r>
              <w:rPr>
                <w:rFonts w:ascii="宋体" w:hAnsi="宋体" w:cs="宋体"/>
                <w:bCs/>
                <w:color w:val="auto"/>
                <w:sz w:val="24"/>
                <w:highlight w:val="none"/>
              </w:rPr>
              <w:t xml:space="preserve">评分</w:t>
            </w:r>
            <w:r>
              <w:rPr>
                <w:rFonts w:hint="eastAsia" w:ascii="宋体" w:hAnsi="宋体"/>
                <w:color w:val="auto"/>
                <w:sz w:val="24"/>
                <w:highlight w:val="none"/>
              </w:rPr>
              <w:t xml:space="preserve">。</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优于项目需求得8分，</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满足项目需求得7分，</w:t>
            </w:r>
            <w:r>
              <w:rPr>
                <w:color w:val="auto"/>
              </w:rPr>
            </w:r>
            <w:r/>
          </w:p>
          <w:p>
            <w:pPr>
              <w:ind w:firstLine="482"/>
              <w:spacing w:line="400" w:lineRule="exact"/>
              <w:rPr>
                <w:rFonts w:ascii="宋体" w:hAnsi="宋体"/>
                <w:b/>
                <w:bCs/>
                <w:color w:val="auto"/>
                <w:sz w:val="24"/>
                <w:highlight w:val="none"/>
              </w:rPr>
            </w:pPr>
            <w:r>
              <w:rPr>
                <w:rFonts w:hint="eastAsia" w:ascii="宋体" w:hAnsi="宋体"/>
                <w:b/>
                <w:bCs/>
                <w:color w:val="auto"/>
                <w:sz w:val="24"/>
                <w:highlight w:val="none"/>
              </w:rPr>
              <w:t xml:space="preserve">未提供或提供不全得0分。</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7.</w:t>
            </w:r>
            <w:r>
              <w:rPr>
                <w:rFonts w:ascii="宋体" w:hAnsi="宋体" w:cs="宋体"/>
                <w:bCs/>
                <w:color w:val="auto"/>
                <w:sz w:val="24"/>
                <w:highlight w:val="none"/>
              </w:rPr>
              <w:t xml:space="preserve">根据投标人提供的</w:t>
            </w:r>
            <w:r>
              <w:rPr>
                <w:rFonts w:hint="eastAsia" w:ascii="宋体" w:hAnsi="宋体" w:cs="宋体"/>
                <w:color w:val="auto"/>
                <w:sz w:val="24"/>
                <w:highlight w:val="none"/>
              </w:rPr>
              <w:t xml:space="preserve">对承建的养护</w:t>
            </w:r>
            <w:r>
              <w:rPr>
                <w:rFonts w:hint="eastAsia" w:ascii="宋体" w:hAnsi="宋体" w:cs="宋体"/>
                <w:color w:val="auto"/>
                <w:sz w:val="24"/>
                <w:highlight w:val="none"/>
                <w:lang w:val="zh-CN"/>
              </w:rPr>
              <w:t xml:space="preserve">案例</w:t>
            </w:r>
            <w:r>
              <w:rPr>
                <w:rFonts w:hint="eastAsia" w:ascii="宋体" w:hAnsi="宋体" w:cs="宋体"/>
                <w:color w:val="auto"/>
                <w:sz w:val="24"/>
                <w:highlight w:val="none"/>
              </w:rPr>
              <w:t xml:space="preserve">进行</w:t>
            </w:r>
            <w:r>
              <w:rPr>
                <w:rFonts w:hint="eastAsia" w:ascii="宋体" w:hAnsi="宋体" w:cs="宋体"/>
                <w:color w:val="auto"/>
                <w:sz w:val="24"/>
                <w:highlight w:val="none"/>
                <w:lang w:val="zh-CN"/>
              </w:rPr>
              <w:t xml:space="preserve">总结，</w:t>
            </w:r>
            <w:r>
              <w:rPr>
                <w:rFonts w:hint="eastAsia" w:ascii="宋体" w:hAnsi="宋体" w:cs="宋体"/>
                <w:color w:val="auto"/>
                <w:sz w:val="24"/>
                <w:highlight w:val="none"/>
              </w:rPr>
              <w:t xml:space="preserve">分析</w:t>
            </w:r>
            <w:r>
              <w:rPr>
                <w:rFonts w:hint="eastAsia" w:ascii="宋体" w:hAnsi="宋体" w:cs="宋体"/>
                <w:color w:val="auto"/>
                <w:sz w:val="24"/>
                <w:highlight w:val="none"/>
                <w:lang w:val="zh-CN"/>
              </w:rPr>
              <w:t xml:space="preserve">经验教训，提出符合</w:t>
            </w:r>
            <w:r>
              <w:rPr>
                <w:rFonts w:hint="eastAsia" w:ascii="宋体" w:hAnsi="宋体" w:cs="宋体"/>
                <w:color w:val="auto"/>
                <w:sz w:val="24"/>
                <w:highlight w:val="none"/>
              </w:rPr>
              <w:t xml:space="preserve">排水管网养护</w:t>
            </w:r>
            <w:r>
              <w:rPr>
                <w:rFonts w:hint="eastAsia" w:ascii="宋体" w:hAnsi="宋体" w:cs="宋体"/>
                <w:color w:val="auto"/>
                <w:sz w:val="24"/>
                <w:highlight w:val="none"/>
                <w:lang w:val="zh-CN"/>
              </w:rPr>
              <w:t xml:space="preserve">合理化建议</w:t>
            </w:r>
            <w:r>
              <w:rPr>
                <w:rFonts w:ascii="宋体" w:hAnsi="宋体" w:cs="宋体"/>
                <w:bCs/>
                <w:color w:val="auto"/>
                <w:sz w:val="24"/>
                <w:highlight w:val="none"/>
              </w:rPr>
              <w:t xml:space="preserve">等进行</w:t>
            </w:r>
            <w:r>
              <w:rPr>
                <w:rFonts w:hint="eastAsia" w:ascii="宋体" w:hAnsi="宋体" w:cs="宋体"/>
                <w:bCs/>
                <w:color w:val="auto"/>
                <w:sz w:val="24"/>
                <w:highlight w:val="none"/>
              </w:rPr>
              <w:t xml:space="preserve">综合</w:t>
            </w:r>
            <w:r>
              <w:rPr>
                <w:rFonts w:ascii="宋体" w:hAnsi="宋体" w:cs="宋体"/>
                <w:bCs/>
                <w:color w:val="auto"/>
                <w:sz w:val="24"/>
                <w:highlight w:val="none"/>
              </w:rPr>
              <w:t xml:space="preserve">评分</w:t>
            </w:r>
            <w:r>
              <w:rPr>
                <w:rFonts w:hint="eastAsia" w:ascii="宋体" w:hAnsi="宋体"/>
                <w:color w:val="auto"/>
                <w:sz w:val="24"/>
                <w:highlight w:val="none"/>
              </w:rPr>
              <w:t xml:space="preserve">。</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优于项目需求得2分，</w:t>
            </w:r>
            <w:r>
              <w:rPr>
                <w:color w:val="auto"/>
              </w:rPr>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满足项目需求得</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分，</w:t>
            </w:r>
            <w:r>
              <w:rPr>
                <w:color w:val="auto"/>
              </w:rPr>
            </w:r>
            <w:r/>
          </w:p>
          <w:p>
            <w:pPr>
              <w:ind w:firstLine="482"/>
              <w:spacing w:line="400" w:lineRule="exact"/>
              <w:rPr>
                <w:rFonts w:ascii="宋体" w:hAnsi="宋体"/>
                <w:b/>
                <w:bCs/>
                <w:color w:val="auto"/>
                <w:sz w:val="24"/>
                <w:highlight w:val="none"/>
              </w:rPr>
            </w:pPr>
            <w:r>
              <w:rPr>
                <w:rFonts w:hint="eastAsia" w:ascii="宋体" w:hAnsi="宋体"/>
                <w:b/>
                <w:bCs/>
                <w:color w:val="auto"/>
                <w:sz w:val="24"/>
                <w:highlight w:val="none"/>
              </w:rPr>
              <w:t xml:space="preserve">未提供或提供不全得0分。</w:t>
            </w:r>
            <w:r>
              <w:rPr>
                <w:color w:val="auto"/>
              </w:rPr>
            </w:r>
            <w:r/>
          </w:p>
        </w:tc>
      </w:tr>
    </w:tbl>
    <w:p>
      <w:pPr>
        <w:pStyle w:val="874"/>
        <w:ind w:left="0"/>
        <w:rPr>
          <w:rFonts w:ascii="宋体" w:hAnsi="宋体" w:cs="宋体"/>
          <w:color w:val="auto"/>
          <w:sz w:val="24"/>
          <w:highlight w:val="none"/>
        </w:rPr>
      </w:pPr>
      <w:r>
        <w:rPr>
          <w:rFonts w:ascii="宋体" w:hAnsi="宋体" w:cs="宋体"/>
          <w:color w:val="auto"/>
          <w:sz w:val="24"/>
          <w:highlight w:val="none"/>
        </w:rPr>
      </w:r>
      <w:r>
        <w:rPr>
          <w:color w:val="auto"/>
        </w:rPr>
      </w:r>
      <w:r/>
    </w:p>
    <w:p>
      <w:pPr>
        <w:pStyle w:val="876"/>
        <w:jc w:val="both"/>
        <w:keepNext/>
        <w:spacing w:beforeAutospacing="0" w:afterAutospacing="0"/>
        <w:rPr>
          <w:rFonts w:ascii="黑体" w:hAnsi="宋体" w:eastAsia="黑体" w:cs="黑体"/>
          <w:color w:val="auto"/>
          <w:sz w:val="44"/>
          <w:szCs w:val="44"/>
          <w:highlight w:val="none"/>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黑体" w:hAnsi="宋体" w:eastAsia="黑体" w:cs="黑体"/>
          <w:color w:val="auto"/>
          <w:sz w:val="44"/>
          <w:szCs w:val="44"/>
          <w:highlight w:val="none"/>
        </w:rPr>
      </w:r>
      <w:r>
        <w:rPr>
          <w:color w:val="auto"/>
        </w:rPr>
      </w:r>
      <w:r/>
    </w:p>
    <w:p>
      <w:pPr>
        <w:pStyle w:val="876"/>
        <w:jc w:val="both"/>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pStyle w:val="876"/>
        <w:jc w:val="both"/>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pStyle w:val="876"/>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pStyle w:val="876"/>
        <w:jc w:val="center"/>
        <w:keepNext/>
        <w:spacing w:beforeAutospacing="0" w:afterAutospacing="0"/>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 </w:t>
      </w:r>
      <w:r>
        <w:rPr>
          <w:color w:val="auto"/>
        </w:rPr>
      </w:r>
      <w:r/>
    </w:p>
    <w:p>
      <w:pPr>
        <w:pStyle w:val="876"/>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pStyle w:val="876"/>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pStyle w:val="876"/>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pStyle w:val="876"/>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pStyle w:val="876"/>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pStyle w:val="876"/>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rPr>
          <w:color w:val="auto"/>
        </w:rPr>
      </w:r>
      <w:r/>
    </w:p>
    <w:p>
      <w:pPr>
        <w:pStyle w:val="876"/>
        <w:jc w:val="center"/>
        <w:spacing w:beforeAutospacing="0" w:afterAutospacing="0"/>
        <w:rPr>
          <w:color w:val="auto"/>
          <w:highlight w:val="none"/>
        </w:rPr>
      </w:pPr>
      <w:r>
        <w:rPr>
          <w:color w:val="auto"/>
        </w:rPr>
      </w:r>
      <w:bookmarkStart w:id="181" w:name="_Hlt26955039"/>
      <w:r>
        <w:rPr>
          <w:color w:val="auto"/>
        </w:rPr>
      </w:r>
      <w:bookmarkEnd w:id="181"/>
      <w:r>
        <w:rPr>
          <w:color w:val="auto"/>
        </w:rPr>
      </w:r>
      <w:bookmarkStart w:id="182" w:name="_Toc26554094"/>
      <w:r>
        <w:rPr>
          <w:color w:val="auto"/>
        </w:rPr>
      </w:r>
      <w:bookmarkEnd w:id="182"/>
      <w:r>
        <w:rPr>
          <w:color w:val="auto"/>
        </w:rPr>
      </w:r>
      <w:bookmarkStart w:id="183" w:name="_Hlt26671244"/>
      <w:r>
        <w:rPr>
          <w:color w:val="auto"/>
        </w:rPr>
      </w:r>
      <w:bookmarkEnd w:id="183"/>
      <w:r>
        <w:rPr>
          <w:color w:val="auto"/>
        </w:rPr>
      </w:r>
      <w:bookmarkStart w:id="184" w:name="_Toc49090576"/>
      <w:r>
        <w:rPr>
          <w:color w:val="auto"/>
        </w:rPr>
      </w:r>
      <w:bookmarkStart w:id="185" w:name="_Toc120614282"/>
      <w:r>
        <w:rPr>
          <w:rFonts w:hint="eastAsia" w:ascii="宋体" w:hAnsi="宋体" w:eastAsia="宋体" w:cs="宋体"/>
          <w:b/>
          <w:color w:val="auto"/>
          <w:sz w:val="72"/>
          <w:szCs w:val="72"/>
          <w:highlight w:val="none"/>
        </w:rPr>
        <w:t xml:space="preserve">投  标  文  件</w:t>
      </w:r>
      <w:r>
        <w:rPr>
          <w:color w:val="auto"/>
        </w:rPr>
      </w:r>
      <w:r/>
    </w:p>
    <w:p>
      <w:pPr>
        <w:pStyle w:val="876"/>
        <w:jc w:val="center"/>
        <w:spacing w:beforeAutospacing="0" w:afterAutospacing="0"/>
        <w:rPr>
          <w:color w:val="auto"/>
          <w:highlight w:val="none"/>
        </w:rPr>
      </w:pPr>
      <w:r>
        <w:rPr>
          <w:color w:val="auto"/>
          <w:highlight w:val="none"/>
        </w:rPr>
        <w:t xml:space="preserve"> </w:t>
      </w:r>
      <w:r>
        <w:rPr>
          <w:color w:val="auto"/>
        </w:rPr>
      </w:r>
      <w:r/>
    </w:p>
    <w:p>
      <w:pPr>
        <w:pStyle w:val="876"/>
        <w:jc w:val="center"/>
        <w:spacing w:beforeAutospacing="0" w:afterAutospacing="0"/>
        <w:rPr>
          <w:color w:val="auto"/>
          <w:highlight w:val="none"/>
        </w:rPr>
      </w:pPr>
      <w:r>
        <w:rPr>
          <w:color w:val="auto"/>
          <w:highlight w:val="none"/>
        </w:rPr>
        <w:t xml:space="preserve"> </w:t>
      </w:r>
      <w:r>
        <w:rPr>
          <w:color w:val="auto"/>
        </w:rPr>
      </w:r>
      <w:r/>
    </w:p>
    <w:p>
      <w:pPr>
        <w:pStyle w:val="876"/>
        <w:jc w:val="center"/>
        <w:spacing w:beforeAutospacing="0" w:afterAutospacing="0"/>
        <w:rPr>
          <w:color w:val="auto"/>
          <w:highlight w:val="none"/>
        </w:rPr>
      </w:pPr>
      <w:r>
        <w:rPr>
          <w:color w:val="auto"/>
          <w:highlight w:val="none"/>
        </w:rPr>
        <w:t xml:space="preserve"> </w:t>
      </w:r>
      <w:r>
        <w:rPr>
          <w:color w:val="auto"/>
        </w:rPr>
      </w:r>
      <w:r/>
    </w:p>
    <w:p>
      <w:pPr>
        <w:pStyle w:val="876"/>
        <w:jc w:val="center"/>
        <w:spacing w:beforeAutospacing="0" w:afterAutospacing="0"/>
        <w:rPr>
          <w:color w:val="auto"/>
          <w:highlight w:val="none"/>
        </w:rPr>
      </w:pPr>
      <w:r>
        <w:rPr>
          <w:color w:val="auto"/>
          <w:highlight w:val="none"/>
        </w:rPr>
        <w:t xml:space="preserve"> </w:t>
      </w:r>
      <w:r>
        <w:rPr>
          <w:color w:val="auto"/>
        </w:rPr>
      </w:r>
      <w:r/>
    </w:p>
    <w:p>
      <w:pPr>
        <w:pStyle w:val="876"/>
        <w:jc w:val="center"/>
        <w:spacing w:beforeAutospacing="0" w:afterAutospacing="0"/>
        <w:rPr>
          <w:color w:val="auto"/>
          <w:highlight w:val="none"/>
        </w:rPr>
      </w:pPr>
      <w:r>
        <w:rPr>
          <w:color w:val="auto"/>
          <w:highlight w:val="none"/>
        </w:rPr>
        <w:t xml:space="preserve"> </w:t>
      </w:r>
      <w:r>
        <w:rPr>
          <w:color w:val="auto"/>
        </w:rPr>
      </w:r>
      <w:r/>
    </w:p>
    <w:p>
      <w:pPr>
        <w:pStyle w:val="87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rPr>
          <w:color w:val="auto"/>
        </w:rPr>
      </w:r>
      <w:r/>
    </w:p>
    <w:p>
      <w:pPr>
        <w:pStyle w:val="87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rPr>
          <w:color w:val="auto"/>
        </w:rPr>
      </w:r>
      <w:r/>
    </w:p>
    <w:p>
      <w:pPr>
        <w:pStyle w:val="876"/>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rPr>
          <w:color w:val="auto"/>
        </w:rPr>
      </w:r>
      <w:r/>
    </w:p>
    <w:p>
      <w:pPr>
        <w:pStyle w:val="876"/>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color w:val="auto"/>
        </w:rPr>
      </w:r>
      <w:r/>
    </w:p>
    <w:p>
      <w:pPr>
        <w:pStyle w:val="876"/>
        <w:jc w:val="center"/>
        <w:spacing w:beforeAutospacing="0" w:afterAutospacing="0" w:line="0" w:lineRule="atLeast"/>
        <w:rPr>
          <w:color w:val="auto"/>
          <w:highlight w:val="none"/>
        </w:rPr>
      </w:pPr>
      <w:r>
        <w:rPr>
          <w:color w:val="auto"/>
          <w:highlight w:val="none"/>
        </w:rPr>
        <w:t xml:space="preserve"> </w:t>
      </w:r>
      <w:r>
        <w:rPr>
          <w:color w:val="auto"/>
        </w:rPr>
      </w:r>
      <w:r/>
    </w:p>
    <w:p>
      <w:pPr>
        <w:pStyle w:val="876"/>
        <w:jc w:val="both"/>
        <w:spacing w:beforeAutospacing="0" w:afterAutospacing="0" w:line="0" w:lineRule="atLeast"/>
        <w:rPr>
          <w:color w:val="auto"/>
          <w:highlight w:val="none"/>
        </w:rPr>
      </w:pPr>
      <w:r>
        <w:rPr>
          <w:color w:val="auto"/>
          <w:highlight w:val="none"/>
        </w:rPr>
        <w:t xml:space="preserve"> </w:t>
      </w:r>
      <w:r>
        <w:rPr>
          <w:color w:val="auto"/>
        </w:rPr>
      </w:r>
      <w:r/>
    </w:p>
    <w:p>
      <w:pPr>
        <w:pStyle w:val="87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rPr>
          <w:color w:val="auto"/>
        </w:rPr>
      </w:r>
      <w:r/>
    </w:p>
    <w:p>
      <w:pPr>
        <w:pStyle w:val="87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rPr>
          <w:color w:val="auto"/>
        </w:rPr>
      </w:r>
      <w:r/>
    </w:p>
    <w:p>
      <w:pPr>
        <w:pStyle w:val="87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rPr>
          <w:color w:val="auto"/>
        </w:rPr>
      </w:r>
      <w:r/>
    </w:p>
    <w:p>
      <w:pPr>
        <w:pStyle w:val="876"/>
        <w:jc w:val="both"/>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rPr>
          <w:color w:val="auto"/>
        </w:rPr>
      </w:r>
      <w:r/>
    </w:p>
    <w:p>
      <w:pPr>
        <w:shd w:val="nil" w:color="auto"/>
        <w:rPr>
          <w:color w:val="auto"/>
          <w:highlight w:val="none"/>
        </w:rPr>
      </w:pPr>
      <w:r>
        <w:rPr>
          <w:rFonts w:hint="eastAsia" w:ascii="宋体" w:hAnsi="宋体" w:eastAsia="宋体" w:cs="宋体"/>
          <w:b/>
          <w:color w:val="auto"/>
          <w:sz w:val="32"/>
          <w:szCs w:val="32"/>
          <w:highlight w:val="none"/>
        </w:rPr>
        <w:br w:type="page" w:clear="all"/>
      </w:r>
      <w:r>
        <w:rPr>
          <w:color w:val="auto"/>
        </w:rPr>
      </w:r>
      <w:r/>
    </w:p>
    <w:p>
      <w:pPr>
        <w:pStyle w:val="876"/>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投标文件目录</w:t>
      </w:r>
      <w:r>
        <w:rPr>
          <w:color w:val="auto"/>
        </w:rPr>
      </w:r>
      <w:r/>
    </w:p>
    <w:p>
      <w:pPr>
        <w:pStyle w:val="876"/>
        <w:jc w:val="center"/>
        <w:spacing w:beforeAutospacing="0" w:afterAutospacing="0" w:line="0" w:lineRule="atLeast"/>
        <w:rPr>
          <w:color w:val="auto"/>
          <w:highlight w:val="none"/>
        </w:rPr>
      </w:pPr>
      <w:r>
        <w:rPr>
          <w:color w:val="auto"/>
          <w:highlight w:val="none"/>
        </w:rPr>
        <w:t xml:space="preserve"> </w:t>
      </w:r>
      <w:r>
        <w:rPr>
          <w:color w:val="auto"/>
        </w:rPr>
      </w:r>
      <w:r/>
    </w:p>
    <w:p>
      <w:pPr>
        <w:pStyle w:val="876"/>
        <w:ind w:left="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一、法人或者其他组织的营业执照等证明文件或自然人的身份证明</w:t>
      </w:r>
      <w:r>
        <w:rPr>
          <w:color w:val="auto"/>
        </w:rPr>
      </w:r>
      <w:r/>
    </w:p>
    <w:p>
      <w:pPr>
        <w:ind w:firstLine="480"/>
        <w:jc w:val="left"/>
        <w:spacing w:line="500" w:lineRule="exact"/>
        <w:tabs>
          <w:tab w:val="left" w:pos="1331" w:leader="none"/>
        </w:tabs>
        <w:rPr>
          <w:rFonts w:ascii="宋体" w:hAnsi="宋体" w:eastAsia="宋体" w:cs="宋体"/>
          <w:i/>
          <w:color w:val="auto"/>
          <w:sz w:val="24"/>
          <w:highlight w:val="none"/>
          <w:u w:val="single"/>
        </w:rPr>
      </w:pPr>
      <w:r>
        <w:rPr>
          <w:rFonts w:hint="eastAsia" w:ascii="宋体" w:hAnsi="宋体" w:eastAsia="宋体" w:cs="宋体"/>
          <w:i/>
          <w:color w:val="auto"/>
          <w:sz w:val="24"/>
          <w:highlight w:val="none"/>
          <w:u w:val="single"/>
        </w:rPr>
        <w:t xml:space="preserve">二、上一年度的财务状况报告（至少提供资产负债表、利润表、现金流量表，</w:t>
      </w:r>
      <w:r>
        <w:rPr>
          <w:color w:val="auto"/>
        </w:rPr>
      </w:r>
      <w:r/>
    </w:p>
    <w:p>
      <w:pPr>
        <w:pStyle w:val="876"/>
        <w:ind w:left="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投标人成立不满一年无需提供）；</w:t>
      </w:r>
      <w:r>
        <w:rPr>
          <w:color w:val="auto"/>
        </w:rPr>
      </w:r>
      <w:r/>
    </w:p>
    <w:p>
      <w:pPr>
        <w:pStyle w:val="876"/>
        <w:ind w:left="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三、具备履行合同所必需的设备和专业技术能力的书面声明</w:t>
      </w:r>
      <w:r>
        <w:rPr>
          <w:color w:val="auto"/>
        </w:rPr>
      </w:r>
      <w:r/>
    </w:p>
    <w:p>
      <w:pPr>
        <w:pStyle w:val="876"/>
        <w:ind w:left="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auto"/>
        </w:rPr>
      </w:r>
      <w:r/>
    </w:p>
    <w:p>
      <w:pPr>
        <w:pStyle w:val="876"/>
        <w:ind w:left="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五、参加政府采购活动前 3 年内在经营活动中没有重大违法记录的书面声明</w:t>
      </w:r>
      <w:r>
        <w:rPr>
          <w:color w:val="auto"/>
        </w:rPr>
      </w:r>
      <w:r/>
    </w:p>
    <w:p>
      <w:pPr>
        <w:pStyle w:val="876"/>
        <w:ind w:left="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六、特定资格要求的证明文件（如果本项目设置特定资格要求，则需要提供）</w:t>
      </w:r>
      <w:r>
        <w:rPr>
          <w:color w:val="auto"/>
        </w:rPr>
      </w:r>
      <w:r/>
    </w:p>
    <w:p>
      <w:pPr>
        <w:pStyle w:val="876"/>
        <w:ind w:left="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七、法人授权书</w:t>
      </w:r>
      <w:r>
        <w:rPr>
          <w:color w:val="auto"/>
        </w:rPr>
      </w:r>
      <w:r/>
    </w:p>
    <w:p>
      <w:pPr>
        <w:pStyle w:val="876"/>
        <w:ind w:left="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八、投标函</w:t>
      </w:r>
      <w:r>
        <w:rPr>
          <w:color w:val="auto"/>
        </w:rPr>
      </w:r>
      <w:r/>
    </w:p>
    <w:p>
      <w:pPr>
        <w:pStyle w:val="876"/>
        <w:ind w:left="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九、中小企业声明函</w:t>
      </w:r>
      <w:r>
        <w:rPr>
          <w:color w:val="auto"/>
        </w:rPr>
      </w:r>
      <w:r/>
    </w:p>
    <w:p>
      <w:pPr>
        <w:pStyle w:val="876"/>
        <w:ind w:left="480"/>
        <w:jc w:val="both"/>
        <w:spacing w:beforeAutospacing="0" w:afterAutospacing="0" w:line="500" w:lineRule="exact"/>
        <w:rPr>
          <w:rFonts w:ascii="宋体" w:hAnsi="宋体" w:eastAsia="宋体" w:cs="宋体"/>
          <w:iCs/>
          <w:color w:val="auto"/>
          <w:highlight w:val="none"/>
          <w:u w:val="single"/>
        </w:rPr>
      </w:pPr>
      <w:r>
        <w:rPr>
          <w:rFonts w:hint="eastAsia" w:ascii="宋体" w:hAnsi="宋体" w:eastAsia="宋体" w:cs="宋体"/>
          <w:iCs/>
          <w:color w:val="auto"/>
          <w:highlight w:val="none"/>
          <w:u w:val="single"/>
        </w:rPr>
        <w:t xml:space="preserve">十、残疾人福利性单位声明函</w:t>
      </w:r>
      <w:r>
        <w:rPr>
          <w:color w:val="auto"/>
        </w:rPr>
      </w:r>
      <w:r/>
    </w:p>
    <w:p>
      <w:pPr>
        <w:pStyle w:val="876"/>
        <w:ind w:left="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十一、技术要求响应及偏离表</w:t>
      </w:r>
      <w:r>
        <w:rPr>
          <w:color w:val="auto"/>
        </w:rPr>
      </w:r>
      <w:r/>
    </w:p>
    <w:p>
      <w:pPr>
        <w:pStyle w:val="876"/>
        <w:ind w:left="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十二、商务要求响应及偏离表</w:t>
      </w:r>
      <w:r>
        <w:rPr>
          <w:color w:val="auto"/>
        </w:rPr>
      </w:r>
      <w:r/>
    </w:p>
    <w:p>
      <w:pPr>
        <w:pStyle w:val="876"/>
        <w:ind w:left="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十三、开标一览表</w:t>
      </w:r>
      <w:r>
        <w:rPr>
          <w:color w:val="auto"/>
        </w:rPr>
      </w:r>
      <w:r/>
    </w:p>
    <w:p>
      <w:pPr>
        <w:pStyle w:val="876"/>
        <w:ind w:left="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十四、2026-2028年环科城雨、污水管网管护服务项目报价清单</w:t>
      </w:r>
      <w:r>
        <w:rPr>
          <w:color w:val="auto"/>
        </w:rPr>
      </w:r>
      <w:r/>
    </w:p>
    <w:p>
      <w:pPr>
        <w:pStyle w:val="876"/>
        <w:ind w:left="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十五、技术解决方案、服务方案等</w:t>
      </w:r>
      <w:r>
        <w:rPr>
          <w:color w:val="auto"/>
        </w:rPr>
      </w:r>
      <w:r/>
    </w:p>
    <w:p>
      <w:pPr>
        <w:pStyle w:val="876"/>
        <w:ind w:left="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十六、盐城市政府采购事前信用承诺书</w:t>
      </w:r>
      <w:r>
        <w:rPr>
          <w:color w:val="auto"/>
        </w:rPr>
      </w:r>
      <w:r/>
    </w:p>
    <w:p>
      <w:pPr>
        <w:pStyle w:val="876"/>
        <w:ind w:left="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i/>
          <w:color w:val="auto"/>
          <w:highlight w:val="none"/>
          <w:u w:val="single"/>
        </w:rPr>
        <w:t xml:space="preserve">注：招标文件中规定要求提供的证明材料和投标人认为需要提供的其他材料。</w:t>
      </w:r>
      <w:r>
        <w:rPr>
          <w:color w:val="auto"/>
        </w:rPr>
      </w:r>
      <w:r/>
    </w:p>
    <w:p>
      <w:pPr>
        <w:pStyle w:val="876"/>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rPr>
          <w:color w:val="auto"/>
        </w:rPr>
      </w:r>
      <w:r/>
    </w:p>
    <w:p>
      <w:pPr>
        <w:pStyle w:val="876"/>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rPr>
          <w:color w:val="auto"/>
        </w:rPr>
      </w:r>
      <w:r/>
    </w:p>
    <w:p>
      <w:pPr>
        <w:pStyle w:val="876"/>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rPr>
          <w:color w:val="auto"/>
        </w:rPr>
      </w:r>
      <w:r/>
    </w:p>
    <w:p>
      <w:pPr>
        <w:pStyle w:val="876"/>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rPr>
          <w:color w:val="auto"/>
        </w:rPr>
      </w:r>
      <w:r/>
    </w:p>
    <w:p>
      <w:pPr>
        <w:pStyle w:val="876"/>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rPr>
          <w:color w:val="auto"/>
        </w:rPr>
      </w:r>
      <w:r/>
    </w:p>
    <w:p>
      <w:pPr>
        <w:pStyle w:val="876"/>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rPr>
          <w:color w:val="auto"/>
        </w:rPr>
      </w:r>
      <w:r/>
    </w:p>
    <w:p>
      <w:pPr>
        <w:pStyle w:val="876"/>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rPr>
          <w:color w:val="auto"/>
        </w:rPr>
      </w:r>
      <w:r/>
    </w:p>
    <w:p>
      <w:pPr>
        <w:pStyle w:val="876"/>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rPr>
          <w:color w:val="auto"/>
        </w:rPr>
      </w:r>
      <w:r/>
    </w:p>
    <w:p>
      <w:pPr>
        <w:pStyle w:val="87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一、法人或者其他组织的营业执照等证明文件或自然人的身份证明</w:t>
      </w:r>
      <w:r>
        <w:rPr>
          <w:color w:val="auto"/>
        </w:rPr>
      </w:r>
      <w:r/>
    </w:p>
    <w:p>
      <w:pPr>
        <w:pStyle w:val="876"/>
        <w:ind w:firstLine="480"/>
        <w:jc w:val="both"/>
        <w:spacing w:beforeAutospacing="0" w:afterAutospacing="0" w:line="0" w:lineRule="atLeast"/>
        <w:rPr>
          <w:color w:val="auto"/>
          <w:highlight w:val="none"/>
        </w:rPr>
      </w:pPr>
      <w:r>
        <w:rPr>
          <w:color w:val="auto"/>
          <w:highlight w:val="none"/>
        </w:rPr>
        <w:t xml:space="preserve"> </w:t>
      </w:r>
      <w:r>
        <w:rPr>
          <w:color w:val="auto"/>
        </w:rPr>
      </w:r>
      <w:r/>
    </w:p>
    <w:p>
      <w:pPr>
        <w:pStyle w:val="876"/>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二、上一年度的财务状况报告（成立不满一年不需提供）；</w:t>
      </w:r>
      <w:r>
        <w:rPr>
          <w:color w:val="auto"/>
        </w:rPr>
      </w:r>
      <w:r/>
    </w:p>
    <w:p>
      <w:pPr>
        <w:jc w:val="left"/>
        <w:tabs>
          <w:tab w:val="left" w:pos="1331" w:leader="none"/>
        </w:tabs>
        <w:rPr>
          <w:rFonts w:ascii="宋体" w:hAnsi="宋体" w:eastAsia="宋体" w:cs="宋体"/>
          <w:iCs/>
          <w:color w:val="auto"/>
          <w:sz w:val="24"/>
          <w:highlight w:val="none"/>
        </w:rPr>
      </w:pPr>
      <w:r>
        <w:rPr>
          <w:rFonts w:hint="eastAsia" w:ascii="宋体" w:hAnsi="宋体" w:eastAsia="宋体" w:cs="宋体"/>
          <w:iCs/>
          <w:color w:val="auto"/>
          <w:sz w:val="24"/>
          <w:highlight w:val="none"/>
        </w:rPr>
        <w:t xml:space="preserve">（至少包含利润表、资产负债表、现金流量表，成立不满一年不需提供）</w:t>
      </w:r>
      <w:r>
        <w:rPr>
          <w:color w:val="auto"/>
        </w:rPr>
      </w:r>
      <w:r/>
    </w:p>
    <w:p>
      <w:pPr>
        <w:pStyle w:val="876"/>
        <w:ind w:firstLine="480"/>
        <w:jc w:val="both"/>
        <w:spacing w:beforeAutospacing="0" w:afterAutospacing="0" w:line="0" w:lineRule="atLeast"/>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三、具备履行合同所必需的设备和专业技术能力的书面声明</w:t>
      </w:r>
      <w:r>
        <w:rPr>
          <w:color w:val="auto"/>
        </w:rPr>
      </w:r>
      <w:r/>
    </w:p>
    <w:p>
      <w:pPr>
        <w:pStyle w:val="876"/>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rPr>
          <w:color w:val="auto"/>
        </w:rPr>
      </w:r>
      <w:r/>
    </w:p>
    <w:p>
      <w:pPr>
        <w:pStyle w:val="876"/>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color w:val="auto"/>
        </w:rPr>
      </w:r>
      <w:r/>
    </w:p>
    <w:p>
      <w:pPr>
        <w:pStyle w:val="876"/>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color w:val="auto"/>
        </w:rPr>
      </w:r>
      <w:r/>
    </w:p>
    <w:p>
      <w:pPr>
        <w:pStyle w:val="87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rPr>
          <w:color w:val="auto"/>
        </w:rPr>
      </w:r>
      <w:r/>
    </w:p>
    <w:p>
      <w:pPr>
        <w:pStyle w:val="876"/>
        <w:ind w:firstLine="480"/>
        <w:jc w:val="both"/>
        <w:spacing w:beforeAutospacing="0" w:afterAutospacing="0"/>
        <w:rPr>
          <w:color w:val="auto"/>
          <w:highlight w:val="none"/>
        </w:rPr>
      </w:pPr>
      <w:r>
        <w:rPr>
          <w:color w:val="auto"/>
        </w:rPr>
      </w:r>
      <w:bookmarkStart w:id="186"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6"/>
      <w:r>
        <w:rPr>
          <w:color w:val="auto"/>
        </w:rPr>
      </w:r>
      <w:r/>
    </w:p>
    <w:p>
      <w:pPr>
        <w:pStyle w:val="87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rPr>
          <w:color w:val="auto"/>
        </w:rPr>
      </w:r>
      <w:r/>
    </w:p>
    <w:p>
      <w:pPr>
        <w:pStyle w:val="876"/>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rPr>
          <w:color w:val="auto"/>
        </w:rPr>
      </w:r>
      <w:r/>
    </w:p>
    <w:p>
      <w:pPr>
        <w:pStyle w:val="876"/>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rPr>
          <w:color w:val="auto"/>
        </w:rPr>
      </w:r>
      <w:r/>
    </w:p>
    <w:p>
      <w:pPr>
        <w:pStyle w:val="876"/>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rPr>
          <w:color w:val="auto"/>
        </w:rPr>
      </w:r>
      <w:r/>
    </w:p>
    <w:p>
      <w:pPr>
        <w:pStyle w:val="876"/>
        <w:jc w:val="both"/>
        <w:spacing w:beforeAutospacing="0" w:afterAutospacing="0" w:line="0" w:lineRule="atLeast"/>
        <w:rPr>
          <w:color w:val="auto"/>
          <w:highlight w:val="none"/>
        </w:rPr>
      </w:pPr>
      <w:r>
        <w:rPr>
          <w:color w:val="auto"/>
          <w:highlight w:val="none"/>
        </w:rPr>
        <w:t xml:space="preserve"> </w:t>
      </w:r>
      <w:r>
        <w:rPr>
          <w:color w:val="auto"/>
        </w:rPr>
      </w:r>
      <w:r/>
    </w:p>
    <w:p>
      <w:pPr>
        <w:pStyle w:val="87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rPr>
          <w:color w:val="auto"/>
        </w:rPr>
      </w:r>
      <w:r/>
    </w:p>
    <w:p>
      <w:pPr>
        <w:pStyle w:val="876"/>
        <w:jc w:val="both"/>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rPr>
          <w:color w:val="auto"/>
        </w:rPr>
      </w:r>
      <w:r/>
    </w:p>
    <w:p>
      <w:pPr>
        <w:pStyle w:val="876"/>
        <w:jc w:val="both"/>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rPr>
          <w:color w:val="auto"/>
        </w:rPr>
      </w:r>
      <w:r/>
    </w:p>
    <w:p>
      <w:pPr>
        <w:pStyle w:val="876"/>
        <w:jc w:val="both"/>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rPr>
          <w:color w:val="auto"/>
        </w:rPr>
      </w:r>
      <w:r/>
    </w:p>
    <w:p>
      <w:pPr>
        <w:shd w:val="nil" w:color="auto"/>
        <w:rPr>
          <w:color w:val="auto"/>
          <w:highlight w:val="none"/>
        </w:rPr>
      </w:pPr>
      <w:r>
        <w:rPr>
          <w:rFonts w:hint="eastAsia" w:ascii="黑体" w:hAnsi="宋体" w:eastAsia="黑体" w:cs="黑体"/>
          <w:i/>
          <w:color w:val="auto"/>
          <w:sz w:val="32"/>
          <w:szCs w:val="32"/>
          <w:highlight w:val="none"/>
          <w:u w:val="single"/>
        </w:rPr>
        <w:br w:type="page" w:clear="all"/>
      </w:r>
      <w:r>
        <w:rPr>
          <w:color w:val="auto"/>
        </w:rPr>
      </w:r>
      <w:r/>
    </w:p>
    <w:p>
      <w:pPr>
        <w:pStyle w:val="876"/>
        <w:jc w:val="center"/>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t xml:space="preserve">七、法人授权书</w:t>
      </w:r>
      <w:r>
        <w:rPr>
          <w:color w:val="auto"/>
        </w:rPr>
      </w:r>
      <w:r/>
    </w:p>
    <w:p>
      <w:pPr>
        <w:pStyle w:val="876"/>
        <w:ind w:firstLine="480"/>
        <w:jc w:val="both"/>
        <w:spacing w:beforeAutospacing="0" w:afterAutospacing="0" w:line="500" w:lineRule="exact"/>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rPr>
          <w:color w:val="auto"/>
        </w:rPr>
      </w:r>
      <w:r/>
    </w:p>
    <w:p>
      <w:pPr>
        <w:pStyle w:val="876"/>
        <w:ind w:firstLine="480"/>
        <w:jc w:val="both"/>
        <w:spacing w:beforeAutospacing="0" w:afterAutospacing="0" w:line="500" w:lineRule="exact"/>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rPr>
          <w:color w:val="auto"/>
        </w:rPr>
      </w:r>
      <w:r/>
    </w:p>
    <w:p>
      <w:pPr>
        <w:pStyle w:val="876"/>
        <w:jc w:val="both"/>
        <w:spacing w:beforeAutospacing="0" w:afterAutospacing="0" w:line="500" w:lineRule="exact"/>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rPr>
          <w:color w:val="auto"/>
        </w:rPr>
      </w:r>
      <w:r/>
    </w:p>
    <w:p>
      <w:pPr>
        <w:pStyle w:val="876"/>
        <w:jc w:val="both"/>
        <w:spacing w:beforeAutospacing="0" w:afterAutospacing="0" w:line="500" w:lineRule="exact"/>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rPr>
          <w:color w:val="auto"/>
        </w:rPr>
      </w:r>
      <w:r/>
    </w:p>
    <w:p>
      <w:pPr>
        <w:pStyle w:val="876"/>
        <w:ind w:firstLine="480"/>
        <w:jc w:val="both"/>
        <w:spacing w:beforeAutospacing="0" w:afterAutospacing="0" w:line="500" w:lineRule="exact"/>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rPr>
          <w:color w:val="auto"/>
        </w:rPr>
      </w:r>
      <w:r/>
    </w:p>
    <w:p>
      <w:pPr>
        <w:pStyle w:val="876"/>
        <w:ind w:firstLine="480"/>
        <w:jc w:val="both"/>
        <w:spacing w:beforeAutospacing="0" w:afterAutospacing="0" w:line="500" w:lineRule="exact"/>
        <w:tabs>
          <w:tab w:val="left" w:pos="360" w:leader="none"/>
        </w:tabs>
        <w:rPr>
          <w:color w:val="auto"/>
          <w:highlight w:val="none"/>
        </w:rPr>
      </w:pPr>
      <w:r>
        <w:rPr>
          <w:rFonts w:ascii="Times New Roman" w:hAnsi="Times New Roman"/>
          <w:color w:val="auto"/>
          <w:highlight w:val="none"/>
        </w:rPr>
        <w:t xml:space="preserve">单位地址：</w:t>
      </w:r>
      <w:r>
        <w:rPr>
          <w:rFonts w:ascii="Times New Roman" w:hAnsi="Times New Roman"/>
          <w:color w:val="auto"/>
          <w:highlight w:val="none"/>
          <w:u w:val="single"/>
        </w:rPr>
        <w:t xml:space="preserve">                                         </w:t>
      </w:r>
      <w:r>
        <w:rPr>
          <w:color w:val="auto"/>
        </w:rPr>
      </w:r>
      <w:r/>
    </w:p>
    <w:p>
      <w:pPr>
        <w:pStyle w:val="876"/>
        <w:ind w:firstLine="480"/>
        <w:jc w:val="both"/>
        <w:spacing w:beforeAutospacing="0" w:afterAutospacing="0" w:line="500" w:lineRule="exact"/>
        <w:tabs>
          <w:tab w:val="left" w:pos="360" w:leader="none"/>
        </w:tabs>
        <w:rPr>
          <w:color w:val="auto"/>
          <w:highlight w:val="none"/>
        </w:rPr>
      </w:pPr>
      <w:r>
        <w:rPr>
          <w:rFonts w:ascii="Times New Roman" w:hAnsi="Times New Roman"/>
          <w:color w:val="auto"/>
          <w:highlight w:val="none"/>
        </w:rPr>
        <w:t xml:space="preserve">  日期：</w:t>
      </w:r>
      <w:bookmarkStart w:id="187" w:name="_Hlt26955070"/>
      <w:r>
        <w:rPr>
          <w:color w:val="auto"/>
        </w:rPr>
      </w:r>
      <w:bookmarkStart w:id="188" w:name="_Hlt26671380"/>
      <w:r>
        <w:rPr>
          <w:color w:val="auto"/>
        </w:rPr>
      </w:r>
      <w:bookmarkStart w:id="189" w:name="_格式3__银行出具的资信证明"/>
      <w:r>
        <w:rPr>
          <w:rFonts w:ascii="Times New Roman" w:hAnsi="Times New Roman"/>
          <w:color w:val="auto"/>
          <w:highlight w:val="none"/>
          <w:u w:val="single"/>
        </w:rPr>
        <w:t xml:space="preserve">                                         </w:t>
      </w:r>
      <w:r>
        <w:rPr>
          <w:color w:val="auto"/>
        </w:rPr>
      </w:r>
      <w:r/>
    </w:p>
    <w:p>
      <w:pPr>
        <w:pStyle w:val="876"/>
        <w:ind w:firstLine="420"/>
        <w:jc w:val="both"/>
        <w:spacing w:beforeAutospacing="0" w:afterAutospacing="0" w:line="500" w:lineRule="exact"/>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line="0" w:lineRule="atLeast"/>
        <w:rPr>
          <w:color w:val="auto"/>
          <w:highlight w:val="none"/>
        </w:rPr>
      </w:pPr>
      <w:r>
        <w:rPr>
          <w:color w:val="auto"/>
          <w:highlight w:val="none"/>
        </w:rPr>
        <w:t xml:space="preserve"> </w:t>
      </w:r>
      <w:r>
        <w:rPr>
          <w:color w:val="auto"/>
        </w:rPr>
      </w:r>
      <w:r/>
    </w:p>
    <w:p>
      <w:pPr>
        <w:pStyle w:val="876"/>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rPr>
          <w:color w:val="auto"/>
        </w:rPr>
      </w:r>
      <w:r/>
    </w:p>
    <w:p>
      <w:pPr>
        <w:pStyle w:val="876"/>
        <w:jc w:val="both"/>
        <w:spacing w:beforeAutospacing="0" w:afterAutospacing="0" w:line="0" w:lineRule="atLeast"/>
        <w:rPr>
          <w:color w:val="auto"/>
          <w:highlight w:val="none"/>
        </w:rPr>
      </w:pPr>
      <w:r>
        <w:rPr>
          <w:color w:val="auto"/>
          <w:highlight w:val="none"/>
        </w:rPr>
        <w:t xml:space="preserve"> </w:t>
      </w:r>
      <w:r>
        <w:rPr>
          <w:color w:val="auto"/>
        </w:rPr>
      </w:r>
      <w:r/>
    </w:p>
    <w:p>
      <w:pPr>
        <w:pStyle w:val="876"/>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rPr>
          <w:color w:val="auto"/>
        </w:rPr>
      </w:r>
      <w:r/>
    </w:p>
    <w:p>
      <w:pPr>
        <w:pStyle w:val="876"/>
        <w:spacing w:beforeAutospacing="0" w:afterAutospacing="0" w:line="400" w:lineRule="exact"/>
        <w:rPr>
          <w:color w:val="auto"/>
          <w:highlight w:val="none"/>
        </w:rPr>
      </w:pPr>
      <w:r>
        <w:rPr>
          <w:rFonts w:hint="eastAsia" w:ascii="宋体" w:hAnsi="宋体" w:eastAsia="宋体" w:cs="宋体"/>
          <w:color w:val="auto"/>
          <w:highlight w:val="none"/>
        </w:rPr>
        <w:t xml:space="preserve">致：</w:t>
      </w:r>
      <w:r>
        <w:rPr>
          <w:color w:val="auto"/>
        </w:rPr>
      </w:r>
      <w:r/>
    </w:p>
    <w:p>
      <w:pPr>
        <w:pStyle w:val="876"/>
        <w:ind w:firstLine="480"/>
        <w:spacing w:beforeAutospacing="0" w:afterAutospacing="0" w:line="400" w:lineRule="exact"/>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rPr>
        <w:t xml:space="preserve">JSZC-</w:t>
      </w:r>
      <w:r>
        <w:rPr>
          <w:rFonts w:hint="eastAsia" w:ascii="宋体" w:hAnsi="宋体" w:eastAsia="宋体" w:cs="宋体"/>
          <w:color w:val="auto"/>
          <w:highlight w:val="none"/>
        </w:rPr>
        <w:t xml:space="preserve">号招标文件，正式授权下述签字人</w:t>
      </w:r>
      <w:r>
        <w:rPr>
          <w:rFonts w:hint="eastAsia"/>
          <w:color w:val="auto"/>
          <w:highlight w:val="none"/>
        </w:rPr>
        <w:t xml:space="preserve">（签字或签章）</w:t>
      </w:r>
      <w:r>
        <w:rPr>
          <w:rFonts w:hint="eastAsia" w:ascii="宋体" w:hAnsi="宋体" w:eastAsia="宋体" w:cs="宋体"/>
          <w:color w:val="auto"/>
          <w:highlight w:val="none"/>
        </w:rPr>
        <w:t xml:space="preserve">______(姓名)代表我方______________（投标人的名称），全权处理本次项目投标的有关事宜。</w:t>
      </w:r>
      <w:r>
        <w:rPr>
          <w:color w:val="auto"/>
        </w:rPr>
      </w:r>
      <w:r/>
    </w:p>
    <w:p>
      <w:pPr>
        <w:pStyle w:val="876"/>
        <w:ind w:firstLine="480"/>
        <w:spacing w:beforeAutospacing="0" w:afterAutospacing="0" w:line="400" w:lineRule="exact"/>
        <w:rPr>
          <w:color w:val="auto"/>
          <w:highlight w:val="none"/>
        </w:rPr>
      </w:pPr>
      <w:r>
        <w:rPr>
          <w:rFonts w:hint="eastAsia" w:ascii="宋体" w:hAnsi="宋体" w:eastAsia="宋体" w:cs="宋体"/>
          <w:color w:val="auto"/>
          <w:highlight w:val="none"/>
        </w:rPr>
        <w:t xml:space="preserve">据此函，__________签字人</w:t>
      </w:r>
      <w:r>
        <w:rPr>
          <w:rFonts w:hint="eastAsia"/>
          <w:color w:val="auto"/>
          <w:highlight w:val="none"/>
        </w:rPr>
        <w:t xml:space="preserve">（签字或签章）</w:t>
      </w:r>
      <w:r>
        <w:rPr>
          <w:rFonts w:hint="eastAsia" w:ascii="宋体" w:hAnsi="宋体" w:eastAsia="宋体" w:cs="宋体"/>
          <w:color w:val="auto"/>
          <w:highlight w:val="none"/>
        </w:rPr>
        <w:t xml:space="preserve">兹宣布同意如下：</w:t>
      </w:r>
      <w:r>
        <w:rPr>
          <w:color w:val="auto"/>
        </w:rPr>
      </w:r>
      <w:r/>
    </w:p>
    <w:p>
      <w:pPr>
        <w:pStyle w:val="876"/>
        <w:ind w:firstLine="480"/>
        <w:spacing w:beforeAutospacing="0" w:afterAutospacing="0" w:line="400" w:lineRule="exac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rPr>
          <w:color w:val="auto"/>
        </w:rPr>
      </w:r>
      <w:r/>
    </w:p>
    <w:p>
      <w:pPr>
        <w:pStyle w:val="876"/>
        <w:ind w:firstLine="480"/>
        <w:spacing w:beforeAutospacing="0" w:afterAutospacing="0" w:line="400" w:lineRule="exact"/>
        <w:rPr>
          <w:color w:val="auto"/>
          <w:highlight w:val="none"/>
        </w:rPr>
      </w:pPr>
      <w:r>
        <w:rPr>
          <w:rFonts w:hint="eastAsia" w:ascii="宋体" w:hAnsi="宋体" w:eastAsia="宋体" w:cs="宋体"/>
          <w:color w:val="auto"/>
          <w:highlight w:val="none"/>
        </w:rPr>
        <w:t xml:space="preserve">2.我们完全理解贵方不一定将合同授予最低报价的投标人。</w:t>
      </w:r>
      <w:r>
        <w:rPr>
          <w:color w:val="auto"/>
        </w:rPr>
      </w:r>
      <w:r/>
    </w:p>
    <w:p>
      <w:pPr>
        <w:pStyle w:val="876"/>
        <w:ind w:firstLine="480"/>
        <w:spacing w:beforeAutospacing="0" w:afterAutospacing="0" w:line="400" w:lineRule="exac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rPr>
          <w:color w:val="auto"/>
        </w:rPr>
      </w:r>
      <w:r/>
    </w:p>
    <w:p>
      <w:pPr>
        <w:pStyle w:val="876"/>
        <w:ind w:firstLine="480"/>
        <w:spacing w:beforeAutospacing="0" w:afterAutospacing="0" w:line="400" w:lineRule="exac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rPr>
          <w:color w:val="auto"/>
        </w:rPr>
      </w:r>
      <w:r/>
    </w:p>
    <w:p>
      <w:pPr>
        <w:pStyle w:val="876"/>
        <w:ind w:firstLine="480"/>
        <w:spacing w:beforeAutospacing="0" w:afterAutospacing="0" w:line="400" w:lineRule="exac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rPr>
          <w:color w:val="auto"/>
        </w:rPr>
      </w:r>
      <w:r/>
    </w:p>
    <w:p>
      <w:pPr>
        <w:pStyle w:val="876"/>
        <w:ind w:firstLine="480"/>
        <w:spacing w:beforeAutospacing="0" w:afterAutospacing="0" w:line="400" w:lineRule="exac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rPr>
          <w:color w:val="auto"/>
        </w:rPr>
      </w:r>
      <w:r/>
    </w:p>
    <w:p>
      <w:pPr>
        <w:pStyle w:val="876"/>
        <w:ind w:firstLine="480"/>
        <w:spacing w:beforeAutospacing="0" w:afterAutospacing="0" w:line="400" w:lineRule="exact"/>
        <w:rPr>
          <w:color w:val="auto"/>
          <w:highlight w:val="none"/>
        </w:rPr>
      </w:pPr>
      <w:r>
        <w:rPr>
          <w:rFonts w:hint="eastAsia" w:ascii="宋体" w:hAnsi="宋体" w:eastAsia="宋体" w:cs="宋体"/>
          <w:color w:val="auto"/>
          <w:highlight w:val="none"/>
        </w:rPr>
        <w:t xml:space="preserve">7.与本投标有关的正式通讯地址为：</w:t>
      </w:r>
      <w:r>
        <w:rPr>
          <w:color w:val="auto"/>
        </w:rPr>
      </w:r>
      <w:r/>
    </w:p>
    <w:p>
      <w:pPr>
        <w:pStyle w:val="876"/>
        <w:ind w:left="420" w:firstLine="480"/>
        <w:spacing w:beforeAutospacing="0" w:afterAutospacing="0" w:line="400" w:lineRule="exact"/>
        <w:rPr>
          <w:color w:val="auto"/>
          <w:highlight w:val="none"/>
        </w:rPr>
      </w:pPr>
      <w:r>
        <w:rPr>
          <w:rFonts w:hint="eastAsia" w:ascii="宋体" w:hAnsi="宋体" w:eastAsia="宋体" w:cs="宋体"/>
          <w:color w:val="auto"/>
          <w:highlight w:val="none"/>
        </w:rPr>
        <w:t xml:space="preserve">地          址：</w:t>
      </w:r>
      <w:r>
        <w:rPr>
          <w:color w:val="auto"/>
        </w:rPr>
      </w:r>
      <w:r/>
    </w:p>
    <w:p>
      <w:pPr>
        <w:pStyle w:val="876"/>
        <w:ind w:left="420" w:firstLine="480"/>
        <w:spacing w:beforeAutospacing="0" w:afterAutospacing="0" w:line="400" w:lineRule="exact"/>
        <w:rPr>
          <w:color w:val="auto"/>
          <w:highlight w:val="none"/>
        </w:rPr>
      </w:pPr>
      <w:r>
        <w:rPr>
          <w:rFonts w:hint="eastAsia" w:ascii="宋体" w:hAnsi="宋体" w:eastAsia="宋体" w:cs="宋体"/>
          <w:color w:val="auto"/>
          <w:highlight w:val="none"/>
        </w:rPr>
        <w:t xml:space="preserve">邮          编：</w:t>
      </w:r>
      <w:r>
        <w:rPr>
          <w:color w:val="auto"/>
        </w:rPr>
      </w:r>
      <w:r/>
    </w:p>
    <w:p>
      <w:pPr>
        <w:pStyle w:val="876"/>
        <w:ind w:left="420" w:firstLine="480"/>
        <w:spacing w:beforeAutospacing="0" w:afterAutospacing="0" w:line="400" w:lineRule="exact"/>
        <w:rPr>
          <w:color w:val="auto"/>
          <w:highlight w:val="none"/>
        </w:rPr>
      </w:pPr>
      <w:r>
        <w:rPr>
          <w:rFonts w:hint="eastAsia" w:ascii="宋体" w:hAnsi="宋体" w:eastAsia="宋体" w:cs="宋体"/>
          <w:color w:val="auto"/>
          <w:highlight w:val="none"/>
        </w:rPr>
        <w:t xml:space="preserve">电          话：</w:t>
      </w:r>
      <w:r>
        <w:rPr>
          <w:color w:val="auto"/>
        </w:rPr>
      </w:r>
      <w:r/>
    </w:p>
    <w:p>
      <w:pPr>
        <w:pStyle w:val="876"/>
        <w:ind w:left="420" w:firstLine="480"/>
        <w:spacing w:beforeAutospacing="0" w:afterAutospacing="0" w:line="400" w:lineRule="exact"/>
        <w:rPr>
          <w:color w:val="auto"/>
          <w:highlight w:val="none"/>
        </w:rPr>
      </w:pPr>
      <w:r>
        <w:rPr>
          <w:rFonts w:hint="eastAsia" w:ascii="宋体" w:hAnsi="宋体" w:eastAsia="宋体" w:cs="宋体"/>
          <w:color w:val="auto"/>
          <w:highlight w:val="none"/>
        </w:rPr>
        <w:t xml:space="preserve">传          真：</w:t>
      </w:r>
      <w:r>
        <w:rPr>
          <w:color w:val="auto"/>
        </w:rPr>
      </w:r>
      <w:r/>
    </w:p>
    <w:p>
      <w:pPr>
        <w:pStyle w:val="876"/>
        <w:ind w:left="420" w:firstLine="480"/>
        <w:spacing w:beforeAutospacing="0" w:afterAutospacing="0" w:line="400" w:lineRule="exact"/>
        <w:rPr>
          <w:color w:val="auto"/>
          <w:highlight w:val="none"/>
        </w:rPr>
      </w:pPr>
      <w:r>
        <w:rPr>
          <w:rFonts w:hint="eastAsia" w:ascii="宋体" w:hAnsi="宋体" w:eastAsia="宋体" w:cs="宋体"/>
          <w:color w:val="auto"/>
          <w:highlight w:val="none"/>
        </w:rPr>
        <w:t xml:space="preserve">投标人开户行：</w:t>
      </w:r>
      <w:r>
        <w:rPr>
          <w:color w:val="auto"/>
        </w:rPr>
      </w:r>
      <w:r/>
    </w:p>
    <w:p>
      <w:pPr>
        <w:pStyle w:val="876"/>
        <w:ind w:left="420" w:firstLine="480"/>
        <w:spacing w:beforeAutospacing="0" w:afterAutospacing="0" w:line="400" w:lineRule="exact"/>
        <w:rPr>
          <w:color w:val="auto"/>
          <w:highlight w:val="none"/>
        </w:rPr>
      </w:pPr>
      <w:r>
        <w:rPr>
          <w:rFonts w:hint="eastAsia" w:ascii="宋体" w:hAnsi="宋体" w:eastAsia="宋体" w:cs="宋体"/>
          <w:color w:val="auto"/>
          <w:highlight w:val="none"/>
        </w:rPr>
        <w:t xml:space="preserve">账          号： </w:t>
      </w:r>
      <w:r>
        <w:rPr>
          <w:color w:val="auto"/>
        </w:rPr>
      </w:r>
      <w:r/>
    </w:p>
    <w:p>
      <w:pPr>
        <w:pStyle w:val="876"/>
        <w:ind w:left="420" w:firstLine="480"/>
        <w:spacing w:beforeAutospacing="0" w:afterAutospacing="0" w:line="400" w:lineRule="exact"/>
        <w:rPr>
          <w:color w:val="auto"/>
          <w:highlight w:val="none"/>
        </w:rPr>
      </w:pPr>
      <w:r>
        <w:rPr>
          <w:rFonts w:hint="eastAsia" w:ascii="宋体" w:hAnsi="宋体" w:eastAsia="宋体" w:cs="宋体"/>
          <w:color w:val="auto"/>
          <w:highlight w:val="none"/>
        </w:rPr>
        <w:t xml:space="preserve">日           期：________年____月____日</w:t>
      </w:r>
      <w:r>
        <w:rPr>
          <w:color w:val="auto"/>
        </w:rPr>
      </w:r>
      <w:r/>
    </w:p>
    <w:p>
      <w:pPr>
        <w:pStyle w:val="876"/>
        <w:ind w:firstLine="240"/>
        <w:jc w:val="center"/>
        <w:spacing w:beforeAutospacing="0" w:afterAutospacing="0" w:line="0" w:lineRule="atLeast"/>
        <w:rPr>
          <w:color w:val="auto"/>
          <w:highlight w:val="none"/>
        </w:rPr>
      </w:pPr>
      <w:r>
        <w:rPr>
          <w:color w:val="auto"/>
          <w:highlight w:val="none"/>
        </w:rPr>
      </w:r>
      <w:r>
        <w:rPr>
          <w:color w:val="auto"/>
        </w:rPr>
      </w:r>
      <w:r/>
    </w:p>
    <w:p>
      <w:pPr>
        <w:pStyle w:val="876"/>
        <w:ind w:firstLine="240"/>
        <w:jc w:val="center"/>
        <w:spacing w:beforeAutospacing="0" w:afterAutospacing="0" w:line="0" w:lineRule="atLeast"/>
        <w:rPr>
          <w:color w:val="auto"/>
          <w:highlight w:val="none"/>
        </w:rPr>
      </w:pPr>
      <w:r>
        <w:rPr>
          <w:color w:val="auto"/>
          <w:highlight w:val="none"/>
        </w:rPr>
      </w:r>
      <w:r>
        <w:rPr>
          <w:color w:val="auto"/>
        </w:rPr>
      </w:r>
      <w:r/>
    </w:p>
    <w:p>
      <w:pPr>
        <w:pStyle w:val="876"/>
        <w:ind w:firstLine="240"/>
        <w:jc w:val="center"/>
        <w:spacing w:beforeAutospacing="0" w:afterAutospacing="0" w:line="0" w:lineRule="atLeast"/>
        <w:rPr>
          <w:color w:val="auto"/>
          <w:highlight w:val="none"/>
        </w:rPr>
      </w:pPr>
      <w:r>
        <w:rPr>
          <w:color w:val="auto"/>
          <w:highlight w:val="none"/>
        </w:rPr>
      </w:r>
      <w:r>
        <w:rPr>
          <w:color w:val="auto"/>
        </w:rPr>
      </w:r>
      <w:r/>
    </w:p>
    <w:p>
      <w:pPr>
        <w:pStyle w:val="876"/>
        <w:jc w:val="both"/>
        <w:spacing w:beforeAutospacing="0" w:afterAutospacing="0" w:line="0" w:lineRule="atLeast"/>
        <w:rPr>
          <w:color w:val="auto"/>
          <w:highlight w:val="none"/>
        </w:rPr>
      </w:pPr>
      <w:r>
        <w:rPr>
          <w:color w:val="auto"/>
          <w:highlight w:val="none"/>
        </w:rPr>
      </w:r>
      <w:r>
        <w:rPr>
          <w:color w:val="auto"/>
        </w:rPr>
      </w:r>
      <w:r/>
    </w:p>
    <w:p>
      <w:pPr>
        <w:pStyle w:val="876"/>
        <w:jc w:val="both"/>
        <w:spacing w:beforeAutospacing="0" w:afterAutospacing="0" w:line="0" w:lineRule="atLeast"/>
        <w:rPr>
          <w:color w:val="auto"/>
          <w:highlight w:val="none"/>
        </w:rPr>
      </w:pPr>
      <w:r>
        <w:rPr>
          <w:color w:val="auto"/>
          <w:highlight w:val="none"/>
        </w:rPr>
        <w:t xml:space="preserve"> </w:t>
      </w:r>
      <w:r>
        <w:rPr>
          <w:color w:val="auto"/>
        </w:rPr>
      </w:r>
      <w:r/>
    </w:p>
    <w:p>
      <w:pPr>
        <w:pStyle w:val="876"/>
        <w:jc w:val="center"/>
        <w:spacing w:beforeAutospacing="0" w:afterAutospacing="0" w:line="0" w:lineRule="atLeast"/>
        <w:rPr>
          <w:rFonts w:ascii="黑体" w:hAnsi="宋体" w:eastAsia="黑体" w:cs="黑体"/>
          <w:b/>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黑体" w:hAnsi="宋体" w:eastAsia="黑体" w:cs="黑体"/>
          <w:b/>
          <w:color w:val="auto"/>
          <w:sz w:val="32"/>
          <w:szCs w:val="32"/>
          <w:highlight w:val="none"/>
        </w:rPr>
      </w:r>
      <w:r>
        <w:rPr>
          <w:color w:val="auto"/>
        </w:rPr>
      </w:r>
      <w:r/>
    </w:p>
    <w:p>
      <w:pPr>
        <w:pStyle w:val="876"/>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九、中小企业声明函（服务）</w:t>
      </w:r>
      <w:r>
        <w:rPr>
          <w:color w:val="auto"/>
        </w:rPr>
      </w:r>
      <w:r/>
    </w:p>
    <w:p>
      <w:pPr>
        <w:ind w:firstLine="480"/>
        <w:spacing w:line="500" w:lineRule="exact"/>
        <w:rPr>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号）的规定，本公司（联合体）参加江苏盐城环保科技城管理委员会组织的（单位名称）</w:t>
      </w:r>
      <w:r>
        <w:rPr>
          <w:rFonts w:hint="eastAsia"/>
          <w:color w:val="auto"/>
          <w:sz w:val="24"/>
          <w:szCs w:val="20"/>
          <w:highlight w:val="none"/>
        </w:rPr>
        <w:t xml:space="preserve">，</w:t>
      </w:r>
      <w:r>
        <w:rPr>
          <w:rFonts w:hint="eastAsia"/>
          <w:color w:val="auto"/>
          <w:sz w:val="24"/>
          <w:highlight w:val="none"/>
        </w:rPr>
        <w:t xml:space="preserve">采购编号为的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rPr>
          <w:color w:val="auto"/>
        </w:rPr>
      </w:r>
      <w:r/>
    </w:p>
    <w:p>
      <w:pPr>
        <w:numPr>
          <w:ilvl w:val="0"/>
          <w:numId w:val="10"/>
        </w:numPr>
        <w:ind w:firstLine="480"/>
        <w:spacing w:line="500" w:lineRule="exact"/>
        <w:rPr>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，从业人员人，营业收入为万元，资产总额为万元，属于（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rPr>
          <w:color w:val="auto"/>
        </w:rPr>
      </w:r>
      <w:r/>
    </w:p>
    <w:p>
      <w:pPr>
        <w:numPr>
          <w:ilvl w:val="0"/>
          <w:numId w:val="10"/>
        </w:numPr>
        <w:ind w:firstLine="480"/>
        <w:spacing w:line="500" w:lineRule="exact"/>
        <w:rPr>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，从业人员人，营业收入为万元，资产总额为万元，属于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rPr>
          <w:color w:val="auto"/>
        </w:rPr>
      </w:r>
      <w:r/>
    </w:p>
    <w:p>
      <w:pPr>
        <w:ind w:firstLine="480"/>
        <w:spacing w:line="500" w:lineRule="exact"/>
        <w:rPr>
          <w:color w:val="auto"/>
          <w:sz w:val="24"/>
          <w:highlight w:val="none"/>
        </w:rPr>
      </w:pPr>
      <w:r>
        <w:rPr>
          <w:rFonts w:hint="eastAsia"/>
          <w:color w:val="auto"/>
          <w:sz w:val="24"/>
          <w:highlight w:val="none"/>
        </w:rPr>
        <w:t xml:space="preserve">……</w:t>
      </w:r>
      <w:r>
        <w:rPr>
          <w:color w:val="auto"/>
        </w:rPr>
      </w:r>
      <w:r/>
    </w:p>
    <w:p>
      <w:pPr>
        <w:ind w:firstLine="480"/>
        <w:spacing w:line="500" w:lineRule="exact"/>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rPr>
          <w:color w:val="auto"/>
        </w:rPr>
      </w:r>
      <w:r/>
    </w:p>
    <w:p>
      <w:pPr>
        <w:ind w:firstLine="480"/>
        <w:spacing w:line="500" w:lineRule="exact"/>
        <w:rPr>
          <w:color w:val="auto"/>
          <w:sz w:val="24"/>
          <w:highlight w:val="none"/>
        </w:rPr>
      </w:pPr>
      <w:r>
        <w:rPr>
          <w:rFonts w:hint="eastAsia"/>
          <w:color w:val="auto"/>
          <w:sz w:val="24"/>
          <w:highlight w:val="none"/>
        </w:rPr>
        <w:t xml:space="preserve">本企业对上述声明内容的真实性负责。如有虚假，将依法承担相应责任。</w:t>
      </w:r>
      <w:r>
        <w:rPr>
          <w:color w:val="auto"/>
        </w:rPr>
      </w:r>
      <w:r/>
    </w:p>
    <w:p>
      <w:pPr>
        <w:pStyle w:val="876"/>
        <w:ind w:right="720"/>
        <w:jc w:val="both"/>
        <w:spacing w:beforeAutospacing="0" w:afterAutospacing="0" w:line="0" w:lineRule="atLeast"/>
        <w:rPr>
          <w:color w:val="auto"/>
          <w:highlight w:val="none"/>
        </w:rPr>
      </w:pPr>
      <w:r>
        <w:rPr>
          <w:color w:val="auto"/>
          <w:highlight w:val="none"/>
        </w:rPr>
        <w:t xml:space="preserve"> </w:t>
      </w:r>
      <w:r>
        <w:rPr>
          <w:color w:val="auto"/>
        </w:rPr>
      </w:r>
      <w:r/>
    </w:p>
    <w:p>
      <w:pPr>
        <w:pStyle w:val="876"/>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rPr>
          <w:color w:val="auto"/>
        </w:rPr>
      </w:r>
      <w:r/>
    </w:p>
    <w:p>
      <w:pPr>
        <w:pStyle w:val="876"/>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rPr>
          <w:color w:val="auto"/>
        </w:rPr>
      </w:r>
      <w:r/>
    </w:p>
    <w:p>
      <w:pPr>
        <w:pStyle w:val="876"/>
        <w:ind w:firstLine="240"/>
        <w:jc w:val="both"/>
        <w:spacing w:beforeAutospacing="0" w:afterAutospacing="0" w:line="0" w:lineRule="atLeast"/>
        <w:rPr>
          <w:color w:val="auto"/>
          <w:highlight w:val="none"/>
        </w:rPr>
      </w:pPr>
      <w:r>
        <w:rPr>
          <w:color w:val="auto"/>
          <w:highlight w:val="none"/>
        </w:rPr>
        <w:t xml:space="preserve"> </w:t>
      </w:r>
      <w:r>
        <w:rPr>
          <w:color w:val="auto"/>
        </w:rPr>
      </w:r>
      <w:r/>
    </w:p>
    <w:p>
      <w:pPr>
        <w:pStyle w:val="87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rPr>
          <w:color w:val="auto"/>
        </w:rPr>
      </w:r>
      <w:r/>
    </w:p>
    <w:p>
      <w:pPr>
        <w:pStyle w:val="87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rPr>
          <w:color w:val="auto"/>
        </w:rPr>
      </w:r>
      <w:r/>
    </w:p>
    <w:p>
      <w:pPr>
        <w:pStyle w:val="876"/>
        <w:jc w:val="center"/>
        <w:spacing w:beforeAutospacing="0" w:afterAutospacing="0" w:line="0" w:lineRule="atLeast"/>
        <w:rPr>
          <w:rFonts w:eastAsia="黑体"/>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十、残疾人福利性单位声明函（如有）</w:t>
      </w:r>
      <w:r>
        <w:rPr>
          <w:color w:val="auto"/>
        </w:rPr>
      </w:r>
      <w:r/>
    </w:p>
    <w:p>
      <w:pPr>
        <w:pStyle w:val="876"/>
        <w:ind w:firstLine="480"/>
        <w:jc w:val="both"/>
        <w:spacing w:beforeAutospacing="0" w:afterAutospacing="0" w:line="500" w:lineRule="exac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rPr>
          <w:color w:val="auto"/>
        </w:rPr>
      </w:r>
      <w:r/>
    </w:p>
    <w:p>
      <w:pPr>
        <w:pStyle w:val="876"/>
        <w:ind w:firstLine="480"/>
        <w:jc w:val="both"/>
        <w:spacing w:beforeAutospacing="0" w:afterAutospacing="0" w:line="500" w:lineRule="exac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rPr>
          <w:color w:val="auto"/>
        </w:rPr>
      </w:r>
      <w:r/>
    </w:p>
    <w:p>
      <w:pPr>
        <w:pStyle w:val="876"/>
        <w:ind w:firstLine="480"/>
        <w:jc w:val="both"/>
        <w:spacing w:beforeAutospacing="0" w:afterAutospacing="0" w:line="500" w:lineRule="exact"/>
        <w:rPr>
          <w:color w:val="auto"/>
          <w:highlight w:val="none"/>
        </w:rPr>
      </w:pPr>
      <w:r>
        <w:rPr>
          <w:color w:val="auto"/>
          <w:highlight w:val="none"/>
        </w:rPr>
        <w:t xml:space="preserve"> </w:t>
      </w:r>
      <w:r>
        <w:rPr>
          <w:color w:val="auto"/>
        </w:rPr>
      </w:r>
      <w:r/>
    </w:p>
    <w:p>
      <w:pPr>
        <w:pStyle w:val="876"/>
        <w:ind w:firstLine="480"/>
        <w:jc w:val="both"/>
        <w:spacing w:beforeAutospacing="0" w:afterAutospacing="0" w:line="500" w:lineRule="exact"/>
        <w:rPr>
          <w:rFonts w:eastAsia="宋体"/>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w:t>
      </w:r>
      <w:r>
        <w:rPr>
          <w:color w:val="auto"/>
        </w:rPr>
      </w:r>
      <w:r/>
    </w:p>
    <w:p>
      <w:pPr>
        <w:pStyle w:val="876"/>
        <w:ind w:firstLine="480"/>
        <w:jc w:val="both"/>
        <w:spacing w:beforeAutospacing="0" w:afterAutospacing="0" w:line="500" w:lineRule="exact"/>
        <w:rPr>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rPr>
          <w:color w:val="auto"/>
        </w:rPr>
      </w:r>
      <w:r/>
    </w:p>
    <w:p>
      <w:pPr>
        <w:pStyle w:val="876"/>
        <w:ind w:firstLine="624"/>
        <w:jc w:val="both"/>
        <w:spacing w:beforeAutospacing="0" w:afterAutospacing="0" w:line="500" w:lineRule="exact"/>
        <w:rPr>
          <w:color w:val="auto"/>
          <w:highlight w:val="none"/>
        </w:rPr>
      </w:pPr>
      <w:r>
        <w:rPr>
          <w:color w:val="auto"/>
          <w:highlight w:val="none"/>
        </w:rPr>
        <w:t xml:space="preserve"> </w:t>
      </w:r>
      <w:r>
        <w:rPr>
          <w:color w:val="auto"/>
        </w:rPr>
      </w:r>
      <w:r/>
    </w:p>
    <w:p>
      <w:pPr>
        <w:pStyle w:val="876"/>
        <w:ind w:right="1560" w:firstLine="624"/>
        <w:jc w:val="center"/>
        <w:spacing w:beforeAutospacing="0" w:afterAutospacing="0" w:line="500" w:lineRule="exac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rPr>
          <w:color w:val="auto"/>
        </w:rPr>
      </w:r>
      <w:r/>
    </w:p>
    <w:p>
      <w:pPr>
        <w:pStyle w:val="876"/>
        <w:ind w:right="1560" w:firstLine="480"/>
        <w:jc w:val="center"/>
        <w:spacing w:beforeAutospacing="0" w:afterAutospacing="0" w:line="500" w:lineRule="exact"/>
        <w:tabs>
          <w:tab w:val="left" w:pos="4864" w:leader="none"/>
        </w:tabs>
        <w:rPr>
          <w:color w:val="auto"/>
          <w:highlight w:val="none"/>
        </w:rPr>
      </w:pPr>
      <w:r>
        <w:rPr>
          <w:rFonts w:hint="eastAsia" w:ascii="宋体" w:hAnsi="宋体" w:eastAsia="宋体" w:cs="宋体"/>
          <w:color w:val="auto"/>
          <w:highlight w:val="none"/>
        </w:rPr>
        <w:t xml:space="preserve">        日  期：</w:t>
      </w:r>
      <w:r>
        <w:rPr>
          <w:color w:val="auto"/>
        </w:rPr>
      </w:r>
      <w:r/>
    </w:p>
    <w:p>
      <w:pPr>
        <w:pStyle w:val="876"/>
        <w:jc w:val="center"/>
        <w:spacing w:beforeAutospacing="0" w:afterAutospacing="0" w:line="0" w:lineRule="atLeast"/>
        <w:rPr>
          <w:color w:val="auto"/>
          <w:highlight w:val="none"/>
        </w:rPr>
      </w:pPr>
      <w:r>
        <w:rPr>
          <w:color w:val="auto"/>
          <w:highlight w:val="none"/>
        </w:rPr>
        <w:t xml:space="preserve"> </w:t>
      </w:r>
      <w:r>
        <w:rPr>
          <w:color w:val="auto"/>
        </w:rPr>
      </w:r>
      <w:r/>
    </w:p>
    <w:p>
      <w:pPr>
        <w:pStyle w:val="876"/>
        <w:jc w:val="center"/>
        <w:spacing w:beforeAutospacing="0" w:afterAutospacing="0" w:line="0" w:lineRule="atLeast"/>
        <w:rPr>
          <w:color w:val="auto"/>
          <w:highlight w:val="none"/>
        </w:rPr>
      </w:pPr>
      <w:r>
        <w:rPr>
          <w:color w:val="auto"/>
          <w:highlight w:val="none"/>
        </w:rPr>
        <w:t xml:space="preserve"> </w:t>
      </w:r>
      <w:r>
        <w:rPr>
          <w:color w:val="auto"/>
        </w:rPr>
      </w:r>
      <w:r/>
    </w:p>
    <w:p>
      <w:pPr>
        <w:pStyle w:val="876"/>
        <w:jc w:val="center"/>
        <w:spacing w:beforeAutospacing="0" w:afterAutospacing="0" w:line="0" w:lineRule="atLeast"/>
        <w:rPr>
          <w:color w:val="auto"/>
          <w:highlight w:val="none"/>
        </w:rPr>
      </w:pPr>
      <w:r>
        <w:rPr>
          <w:color w:val="auto"/>
          <w:highlight w:val="none"/>
        </w:rPr>
        <w:t xml:space="preserve"> </w:t>
      </w:r>
      <w:r>
        <w:rPr>
          <w:color w:val="auto"/>
        </w:rPr>
      </w:r>
      <w:r/>
    </w:p>
    <w:p>
      <w:pPr>
        <w:pStyle w:val="876"/>
        <w:jc w:val="center"/>
        <w:spacing w:beforeAutospacing="0" w:afterAutospacing="0" w:line="0" w:lineRule="atLeast"/>
        <w:rPr>
          <w:color w:val="auto"/>
          <w:highlight w:val="none"/>
        </w:rPr>
      </w:pPr>
      <w:r>
        <w:rPr>
          <w:color w:val="auto"/>
          <w:highlight w:val="none"/>
        </w:rPr>
        <w:t xml:space="preserve"> </w:t>
      </w:r>
      <w:r>
        <w:rPr>
          <w:color w:val="auto"/>
        </w:rPr>
      </w:r>
      <w:r/>
    </w:p>
    <w:p>
      <w:pPr>
        <w:pStyle w:val="876"/>
        <w:jc w:val="center"/>
        <w:spacing w:beforeAutospacing="0" w:afterAutospacing="0" w:line="0" w:lineRule="atLeast"/>
        <w:rPr>
          <w:color w:val="auto"/>
          <w:highlight w:val="none"/>
        </w:rPr>
      </w:pPr>
      <w:r>
        <w:rPr>
          <w:color w:val="auto"/>
          <w:highlight w:val="none"/>
        </w:rPr>
        <w:t xml:space="preserve"> </w:t>
      </w:r>
      <w:r>
        <w:rPr>
          <w:color w:val="auto"/>
        </w:rPr>
      </w:r>
      <w:r/>
    </w:p>
    <w:p>
      <w:pPr>
        <w:pStyle w:val="876"/>
        <w:jc w:val="center"/>
        <w:spacing w:beforeAutospacing="0" w:afterAutospacing="0" w:line="0" w:lineRule="atLeast"/>
        <w:rPr>
          <w:color w:val="auto"/>
          <w:highlight w:val="none"/>
        </w:rPr>
      </w:pPr>
      <w:r>
        <w:rPr>
          <w:color w:val="auto"/>
          <w:highlight w:val="none"/>
        </w:rPr>
        <w:t xml:space="preserve"> </w:t>
      </w:r>
      <w:r>
        <w:rPr>
          <w:color w:val="auto"/>
        </w:rPr>
      </w:r>
      <w:r/>
    </w:p>
    <w:p>
      <w:pPr>
        <w:pStyle w:val="876"/>
        <w:jc w:val="center"/>
        <w:spacing w:beforeAutospacing="0" w:afterAutospacing="0" w:line="0" w:lineRule="atLeast"/>
        <w:rPr>
          <w:color w:val="auto"/>
          <w:highlight w:val="none"/>
        </w:rPr>
      </w:pPr>
      <w:r>
        <w:rPr>
          <w:color w:val="auto"/>
          <w:highlight w:val="none"/>
        </w:rPr>
        <w:t xml:space="preserve"> </w:t>
      </w:r>
      <w:r>
        <w:rPr>
          <w:color w:val="auto"/>
        </w:rPr>
      </w:r>
      <w:r/>
    </w:p>
    <w:p>
      <w:pPr>
        <w:pStyle w:val="876"/>
        <w:jc w:val="center"/>
        <w:spacing w:beforeAutospacing="0" w:afterAutospacing="0" w:line="0" w:lineRule="atLeast"/>
        <w:rPr>
          <w:color w:val="auto"/>
          <w:highlight w:val="none"/>
        </w:rPr>
      </w:pPr>
      <w:r>
        <w:rPr>
          <w:color w:val="auto"/>
          <w:highlight w:val="none"/>
        </w:rPr>
        <w:t xml:space="preserve"> </w:t>
      </w:r>
      <w:r>
        <w:rPr>
          <w:color w:val="auto"/>
        </w:rPr>
      </w:r>
      <w:r/>
    </w:p>
    <w:p>
      <w:pPr>
        <w:pStyle w:val="876"/>
        <w:jc w:val="center"/>
        <w:spacing w:beforeAutospacing="0" w:afterAutospacing="0" w:line="0" w:lineRule="atLeast"/>
        <w:rPr>
          <w:color w:val="auto"/>
          <w:highlight w:val="none"/>
        </w:rPr>
      </w:pPr>
      <w:r>
        <w:rPr>
          <w:color w:val="auto"/>
          <w:highlight w:val="none"/>
        </w:rPr>
      </w:r>
      <w:r>
        <w:rPr>
          <w:color w:val="auto"/>
        </w:rPr>
      </w:r>
      <w:r/>
    </w:p>
    <w:p>
      <w:pPr>
        <w:pStyle w:val="876"/>
        <w:jc w:val="center"/>
        <w:spacing w:beforeAutospacing="0" w:afterAutospacing="0" w:line="0" w:lineRule="atLeast"/>
        <w:rPr>
          <w:color w:val="auto"/>
          <w:highlight w:val="none"/>
        </w:rPr>
      </w:pPr>
      <w:r>
        <w:rPr>
          <w:color w:val="auto"/>
          <w:highlight w:val="none"/>
        </w:rPr>
      </w:r>
      <w:r>
        <w:rPr>
          <w:color w:val="auto"/>
        </w:rPr>
      </w:r>
      <w:r/>
    </w:p>
    <w:p>
      <w:pPr>
        <w:pStyle w:val="876"/>
        <w:jc w:val="center"/>
        <w:spacing w:beforeAutospacing="0" w:afterAutospacing="0" w:line="0" w:lineRule="atLeast"/>
        <w:rPr>
          <w:color w:val="auto"/>
          <w:highlight w:val="none"/>
        </w:rPr>
      </w:pPr>
      <w:r>
        <w:rPr>
          <w:color w:val="auto"/>
          <w:highlight w:val="none"/>
        </w:rPr>
      </w:r>
      <w:r>
        <w:rPr>
          <w:color w:val="auto"/>
        </w:rPr>
      </w:r>
      <w:r/>
    </w:p>
    <w:p>
      <w:pPr>
        <w:pStyle w:val="876"/>
        <w:jc w:val="center"/>
        <w:spacing w:beforeAutospacing="0" w:afterAutospacing="0" w:line="0" w:lineRule="atLeast"/>
        <w:rPr>
          <w:color w:val="auto"/>
          <w:highlight w:val="none"/>
        </w:rPr>
      </w:pPr>
      <w:r>
        <w:rPr>
          <w:color w:val="auto"/>
          <w:highlight w:val="none"/>
        </w:rPr>
      </w:r>
      <w:r>
        <w:rPr>
          <w:color w:val="auto"/>
        </w:rPr>
      </w:r>
      <w:r/>
    </w:p>
    <w:p>
      <w:pPr>
        <w:pStyle w:val="876"/>
        <w:jc w:val="center"/>
        <w:spacing w:beforeAutospacing="0" w:afterAutospacing="0" w:line="0" w:lineRule="atLeast"/>
        <w:rPr>
          <w:color w:val="auto"/>
          <w:highlight w:val="none"/>
        </w:rPr>
      </w:pPr>
      <w:r>
        <w:rPr>
          <w:color w:val="auto"/>
          <w:highlight w:val="none"/>
        </w:rPr>
      </w:r>
      <w:r>
        <w:rPr>
          <w:color w:val="auto"/>
        </w:rPr>
      </w:r>
      <w:r/>
    </w:p>
    <w:p>
      <w:pPr>
        <w:pStyle w:val="876"/>
        <w:jc w:val="center"/>
        <w:spacing w:beforeAutospacing="0" w:afterAutospacing="0" w:line="0" w:lineRule="atLeast"/>
        <w:rPr>
          <w:color w:val="auto"/>
          <w:highlight w:val="none"/>
        </w:rPr>
      </w:pPr>
      <w:r>
        <w:rPr>
          <w:color w:val="auto"/>
          <w:highlight w:val="none"/>
        </w:rPr>
      </w:r>
      <w:r>
        <w:rPr>
          <w:color w:val="auto"/>
        </w:rPr>
      </w:r>
      <w:r/>
    </w:p>
    <w:p>
      <w:pPr>
        <w:pStyle w:val="876"/>
        <w:jc w:val="center"/>
        <w:spacing w:beforeAutospacing="0" w:afterAutospacing="0" w:line="0" w:lineRule="atLeast"/>
        <w:rPr>
          <w:color w:val="auto"/>
          <w:highlight w:val="none"/>
        </w:rPr>
      </w:pPr>
      <w:r>
        <w:rPr>
          <w:color w:val="auto"/>
          <w:highlight w:val="none"/>
        </w:rPr>
      </w:r>
      <w:r>
        <w:rPr>
          <w:color w:val="auto"/>
        </w:rPr>
      </w:r>
      <w:r/>
    </w:p>
    <w:p>
      <w:pPr>
        <w:pStyle w:val="876"/>
        <w:jc w:val="center"/>
        <w:spacing w:beforeAutospacing="0" w:afterAutospacing="0" w:line="0" w:lineRule="atLeast"/>
        <w:rPr>
          <w:color w:val="auto"/>
          <w:highlight w:val="none"/>
        </w:rPr>
      </w:pPr>
      <w:r>
        <w:rPr>
          <w:color w:val="auto"/>
          <w:highlight w:val="none"/>
        </w:rPr>
      </w:r>
      <w:r>
        <w:rPr>
          <w:color w:val="auto"/>
        </w:rPr>
      </w:r>
      <w:r/>
    </w:p>
    <w:p>
      <w:pPr>
        <w:pStyle w:val="876"/>
        <w:jc w:val="center"/>
        <w:spacing w:beforeAutospacing="0" w:afterAutospacing="0" w:line="0" w:lineRule="atLeast"/>
        <w:rPr>
          <w:color w:val="auto"/>
          <w:highlight w:val="none"/>
        </w:rPr>
      </w:pPr>
      <w:r>
        <w:rPr>
          <w:color w:val="auto"/>
          <w:highlight w:val="none"/>
        </w:rPr>
      </w:r>
      <w:r>
        <w:rPr>
          <w:color w:val="auto"/>
        </w:rPr>
      </w:r>
      <w:r/>
    </w:p>
    <w:p>
      <w:pPr>
        <w:pStyle w:val="876"/>
        <w:jc w:val="center"/>
        <w:spacing w:beforeAutospacing="0" w:afterAutospacing="0" w:line="0" w:lineRule="atLeast"/>
        <w:rPr>
          <w:color w:val="auto"/>
          <w:highlight w:val="none"/>
        </w:rPr>
      </w:pPr>
      <w:r>
        <w:rPr>
          <w:color w:val="auto"/>
          <w:highlight w:val="none"/>
        </w:rPr>
      </w:r>
      <w:r>
        <w:rPr>
          <w:color w:val="auto"/>
        </w:rPr>
      </w:r>
      <w:r/>
    </w:p>
    <w:p>
      <w:pPr>
        <w:pStyle w:val="876"/>
        <w:jc w:val="center"/>
        <w:spacing w:beforeAutospacing="0" w:afterAutospacing="0" w:line="0" w:lineRule="atLeast"/>
        <w:rPr>
          <w:color w:val="auto"/>
          <w:highlight w:val="none"/>
        </w:rPr>
      </w:pPr>
      <w:r>
        <w:rPr>
          <w:color w:val="auto"/>
          <w:highlight w:val="none"/>
        </w:rPr>
      </w:r>
      <w:r>
        <w:rPr>
          <w:color w:val="auto"/>
        </w:rPr>
      </w:r>
      <w:r/>
    </w:p>
    <w:p>
      <w:pPr>
        <w:pStyle w:val="876"/>
        <w:jc w:val="center"/>
        <w:spacing w:beforeAutospacing="0" w:afterAutospacing="0" w:line="0" w:lineRule="atLeast"/>
        <w:rPr>
          <w:color w:val="auto"/>
          <w:highlight w:val="none"/>
        </w:rPr>
      </w:pPr>
      <w:r>
        <w:rPr>
          <w:color w:val="auto"/>
          <w:highlight w:val="none"/>
        </w:rPr>
      </w:r>
      <w:r>
        <w:rPr>
          <w:color w:val="auto"/>
        </w:rPr>
      </w:r>
      <w:r/>
    </w:p>
    <w:p>
      <w:pPr>
        <w:pStyle w:val="876"/>
        <w:jc w:val="center"/>
        <w:spacing w:beforeAutospacing="0" w:afterAutospacing="0" w:line="0" w:lineRule="atLeast"/>
        <w:rPr>
          <w:color w:val="auto"/>
          <w:highlight w:val="none"/>
        </w:rPr>
      </w:pPr>
      <w:r>
        <w:rPr>
          <w:color w:val="auto"/>
          <w:highlight w:val="none"/>
        </w:rPr>
      </w:r>
      <w:r>
        <w:rPr>
          <w:color w:val="auto"/>
        </w:rPr>
      </w:r>
      <w:r/>
    </w:p>
    <w:p>
      <w:pPr>
        <w:pStyle w:val="876"/>
        <w:jc w:val="center"/>
        <w:spacing w:beforeAutospacing="0" w:afterAutospacing="0" w:line="0" w:lineRule="atLeast"/>
        <w:rPr>
          <w:color w:val="auto"/>
          <w:highlight w:val="none"/>
        </w:rPr>
      </w:pPr>
      <w:r>
        <w:rPr>
          <w:color w:val="auto"/>
          <w:highlight w:val="none"/>
        </w:rPr>
      </w:r>
      <w:r>
        <w:rPr>
          <w:color w:val="auto"/>
        </w:rPr>
      </w:r>
      <w:r/>
    </w:p>
    <w:p>
      <w:pPr>
        <w:pStyle w:val="876"/>
        <w:jc w:val="center"/>
        <w:spacing w:beforeAutospacing="0" w:afterAutospacing="0" w:line="0" w:lineRule="atLeast"/>
        <w:rPr>
          <w:color w:val="auto"/>
          <w:highlight w:val="none"/>
        </w:rPr>
      </w:pPr>
      <w:r>
        <w:rPr>
          <w:color w:val="auto"/>
          <w:highlight w:val="none"/>
        </w:rPr>
      </w:r>
      <w:r>
        <w:rPr>
          <w:color w:val="auto"/>
        </w:rPr>
      </w:r>
      <w:r/>
    </w:p>
    <w:p>
      <w:pPr>
        <w:pStyle w:val="876"/>
        <w:jc w:val="center"/>
        <w:spacing w:beforeAutospacing="0" w:afterAutospacing="0" w:line="0" w:lineRule="atLeast"/>
        <w:rPr>
          <w:color w:val="auto"/>
          <w:highlight w:val="none"/>
        </w:rPr>
      </w:pPr>
      <w:r>
        <w:rPr>
          <w:color w:val="auto"/>
          <w:highlight w:val="none"/>
        </w:rPr>
      </w:r>
      <w:r>
        <w:rPr>
          <w:color w:val="auto"/>
        </w:rPr>
      </w:r>
      <w:r/>
    </w:p>
    <w:p>
      <w:pPr>
        <w:pStyle w:val="876"/>
        <w:jc w:val="center"/>
        <w:spacing w:beforeAutospacing="0" w:afterAutospacing="0"/>
        <w:rPr>
          <w:i/>
          <w:iCs/>
          <w:color w:val="auto"/>
          <w:highlight w:val="none"/>
          <w:u w:val="single"/>
        </w:rPr>
      </w:pPr>
      <w:r>
        <w:rPr>
          <w:rFonts w:hint="eastAsia" w:ascii="黑体" w:hAnsi="宋体" w:eastAsia="黑体" w:cs="黑体"/>
          <w:b/>
          <w:i/>
          <w:iCs/>
          <w:color w:val="auto"/>
          <w:sz w:val="32"/>
          <w:szCs w:val="32"/>
          <w:highlight w:val="none"/>
          <w:u w:val="single"/>
        </w:rPr>
        <w:t xml:space="preserve">十一、技术要求响应及偏离表</w:t>
      </w:r>
      <w:r>
        <w:rPr>
          <w:color w:val="auto"/>
        </w:rPr>
      </w:r>
      <w:r/>
    </w:p>
    <w:tbl>
      <w:tblPr>
        <w:tblStyle w:val="86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6"/>
              <w:jc w:val="center"/>
              <w:spacing w:beforeAutospacing="0" w:afterAutospacing="0"/>
              <w:rPr>
                <w:color w:val="auto"/>
                <w:highlight w:val="none"/>
              </w:rPr>
            </w:pPr>
            <w:r>
              <w:rPr>
                <w:rFonts w:hint="eastAsia" w:ascii="宋体" w:hAnsi="宋体" w:eastAsia="宋体" w:cs="宋体"/>
                <w:color w:val="auto"/>
                <w:highlight w:val="none"/>
              </w:rPr>
              <w:t xml:space="preserve">序号</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6"/>
              <w:jc w:val="center"/>
              <w:spacing w:beforeAutospacing="0" w:afterAutospacing="0"/>
              <w:rPr>
                <w:color w:val="auto"/>
                <w:highlight w:val="none"/>
              </w:rPr>
            </w:pPr>
            <w:r>
              <w:rPr>
                <w:rFonts w:hint="eastAsia" w:ascii="宋体" w:hAnsi="宋体" w:eastAsia="宋体" w:cs="宋体"/>
                <w:color w:val="auto"/>
                <w:highlight w:val="none"/>
              </w:rPr>
              <w:t xml:space="preserve">证明</w:t>
            </w:r>
            <w:r>
              <w:rPr>
                <w:color w:val="auto"/>
              </w:rPr>
            </w:r>
            <w:r/>
          </w:p>
          <w:p>
            <w:pPr>
              <w:pStyle w:val="876"/>
              <w:jc w:val="center"/>
              <w:spacing w:beforeAutospacing="0" w:afterAutospacing="0"/>
              <w:rPr>
                <w:color w:val="auto"/>
                <w:highlight w:val="none"/>
              </w:rPr>
            </w:pPr>
            <w:r>
              <w:rPr>
                <w:rFonts w:hint="eastAsia" w:ascii="宋体" w:hAnsi="宋体" w:eastAsia="宋体" w:cs="宋体"/>
                <w:color w:val="auto"/>
                <w:highlight w:val="none"/>
              </w:rPr>
              <w:t xml:space="preserve">材料</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6"/>
              <w:jc w:val="center"/>
              <w:spacing w:beforeAutospacing="0" w:afterAutospacing="0"/>
              <w:rPr>
                <w:color w:val="auto"/>
                <w:highlight w:val="none"/>
              </w:rPr>
            </w:pPr>
            <w:r>
              <w:rPr>
                <w:rFonts w:hint="eastAsia" w:ascii="宋体" w:hAnsi="宋体" w:eastAsia="宋体" w:cs="宋体"/>
                <w:color w:val="auto"/>
                <w:highlight w:val="none"/>
              </w:rPr>
              <w:t xml:space="preserve">……</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r>
    </w:tbl>
    <w:p>
      <w:pPr>
        <w:pStyle w:val="876"/>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rPr>
          <w:color w:val="auto"/>
        </w:rPr>
      </w:r>
      <w:r/>
    </w:p>
    <w:p>
      <w:pPr>
        <w:pStyle w:val="876"/>
        <w:jc w:val="center"/>
        <w:spacing w:beforeAutospacing="0" w:afterAutospacing="0"/>
        <w:rPr>
          <w:color w:val="auto"/>
          <w:highlight w:val="none"/>
        </w:rPr>
      </w:pPr>
      <w:r>
        <w:rPr>
          <w:color w:val="auto"/>
          <w:highlight w:val="none"/>
        </w:rPr>
        <w:t xml:space="preserve"> </w:t>
      </w:r>
      <w:r>
        <w:rPr>
          <w:color w:val="auto"/>
        </w:rPr>
      </w:r>
      <w:r/>
    </w:p>
    <w:p>
      <w:pPr>
        <w:pStyle w:val="876"/>
        <w:jc w:val="center"/>
        <w:spacing w:beforeAutospacing="0" w:afterAutospacing="0"/>
        <w:rPr>
          <w:color w:val="auto"/>
          <w:highlight w:val="none"/>
        </w:rPr>
      </w:pPr>
      <w:r>
        <w:rPr>
          <w:color w:val="auto"/>
          <w:highlight w:val="none"/>
        </w:rPr>
        <w:t xml:space="preserve"> </w:t>
      </w:r>
      <w:r>
        <w:rPr>
          <w:color w:val="auto"/>
        </w:rPr>
      </w:r>
      <w:r/>
    </w:p>
    <w:p>
      <w:pPr>
        <w:pStyle w:val="876"/>
        <w:jc w:val="center"/>
        <w:spacing w:beforeAutospacing="0" w:afterAutospacing="0"/>
        <w:rPr>
          <w:color w:val="auto"/>
          <w:highlight w:val="none"/>
        </w:rPr>
      </w:pPr>
      <w:r>
        <w:rPr>
          <w:color w:val="auto"/>
          <w:highlight w:val="none"/>
        </w:rPr>
        <w:t xml:space="preserve"> </w:t>
      </w:r>
      <w:r>
        <w:rPr>
          <w:color w:val="auto"/>
        </w:rPr>
      </w:r>
      <w:r/>
    </w:p>
    <w:p>
      <w:pPr>
        <w:pStyle w:val="876"/>
        <w:jc w:val="center"/>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shd w:val="nil" w:color="auto"/>
        <w:rPr>
          <w:bCs/>
          <w:i/>
          <w:color w:val="auto"/>
          <w:highlight w:val="none"/>
          <w:u w:val="single"/>
        </w:rPr>
      </w:pPr>
      <w:r>
        <w:rPr>
          <w:rFonts w:hint="eastAsia" w:ascii="黑体" w:hAnsi="宋体" w:eastAsia="黑体" w:cs="黑体"/>
          <w:b/>
          <w:i/>
          <w:iCs/>
          <w:color w:val="auto"/>
          <w:sz w:val="32"/>
          <w:szCs w:val="32"/>
          <w:highlight w:val="none"/>
          <w:u w:val="single"/>
        </w:rPr>
        <w:br w:type="page" w:clear="all"/>
      </w:r>
      <w:r>
        <w:rPr>
          <w:rFonts w:hint="eastAsia" w:ascii="黑体" w:hAnsi="宋体" w:eastAsia="黑体" w:cs="黑体"/>
          <w:b/>
          <w:i/>
          <w:iCs/>
          <w:color w:val="auto"/>
          <w:sz w:val="32"/>
          <w:szCs w:val="32"/>
          <w:highlight w:val="none"/>
          <w:u w:val="single"/>
        </w:rPr>
      </w:r>
      <w:r/>
    </w:p>
    <w:p>
      <w:pPr>
        <w:pStyle w:val="876"/>
        <w:jc w:val="center"/>
        <w:spacing w:beforeAutospacing="0" w:afterAutospacing="0"/>
        <w:rPr>
          <w:rFonts w:hint="eastAsia" w:ascii="黑体" w:hAnsi="宋体" w:eastAsia="黑体" w:cs="黑体"/>
          <w:b/>
          <w:bCs/>
          <w:i/>
          <w:iCs/>
          <w:color w:val="auto"/>
          <w:sz w:val="32"/>
          <w:szCs w:val="32"/>
          <w:highlight w:val="none"/>
          <w:u w:val="single"/>
        </w:rPr>
      </w:pPr>
      <w:r>
        <w:rPr>
          <w:color w:val="auto"/>
        </w:rPr>
      </w:r>
      <w:bookmarkStart w:id="190" w:name="_Hlt26955054"/>
      <w:r>
        <w:rPr>
          <w:rFonts w:hint="eastAsia" w:ascii="黑体" w:hAnsi="宋体" w:eastAsia="黑体" w:cs="黑体"/>
          <w:b/>
          <w:i/>
          <w:iCs/>
          <w:color w:val="auto"/>
          <w:sz w:val="32"/>
          <w:szCs w:val="32"/>
          <w:highlight w:val="none"/>
          <w:u w:val="single"/>
        </w:rPr>
        <w:t xml:space="preserve">十二、商务要求响应及偏离表</w:t>
      </w:r>
      <w:r>
        <w:rPr>
          <w:color w:val="auto"/>
        </w:rPr>
      </w:r>
      <w:r/>
    </w:p>
    <w:tbl>
      <w:tblPr>
        <w:tblStyle w:val="86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6"/>
              <w:jc w:val="center"/>
              <w:spacing w:beforeAutospacing="0" w:afterAutospacing="0"/>
              <w:rPr>
                <w:color w:val="auto"/>
                <w:highlight w:val="none"/>
              </w:rPr>
            </w:pPr>
            <w:r>
              <w:rPr>
                <w:color w:val="auto"/>
              </w:rPr>
            </w:r>
            <w:bookmarkStart w:id="191" w:name="_Hlt26580838"/>
            <w:r>
              <w:rPr>
                <w:color w:val="auto"/>
              </w:rPr>
            </w:r>
            <w:bookmarkStart w:id="192" w:name="_Hlt26609391"/>
            <w:r>
              <w:rPr>
                <w:color w:val="auto"/>
              </w:rPr>
            </w:r>
            <w:bookmarkStart w:id="193" w:name="_Hlt26955056"/>
            <w:r>
              <w:rPr>
                <w:color w:val="auto"/>
              </w:rPr>
            </w:r>
            <w:bookmarkStart w:id="194" w:name="_Hlt26782999"/>
            <w:r>
              <w:rPr>
                <w:color w:val="auto"/>
              </w:rPr>
            </w:r>
            <w:bookmarkStart w:id="195" w:name="_Hlt26955064"/>
            <w:r>
              <w:rPr>
                <w:color w:val="auto"/>
              </w:rPr>
            </w:r>
            <w:bookmarkStart w:id="196" w:name="_Hlt26671372"/>
            <w:r>
              <w:rPr>
                <w:color w:val="auto"/>
              </w:rPr>
            </w:r>
            <w:bookmarkStart w:id="197" w:name="_Hlt26671343"/>
            <w:r>
              <w:rPr>
                <w:color w:val="auto"/>
              </w:rPr>
            </w:r>
            <w:bookmarkStart w:id="198" w:name="_Hlt24879081"/>
            <w:r>
              <w:rPr>
                <w:rFonts w:hint="eastAsia" w:ascii="宋体" w:hAnsi="宋体" w:eastAsia="宋体" w:cs="宋体"/>
                <w:color w:val="auto"/>
                <w:highlight w:val="none"/>
              </w:rPr>
              <w:t xml:space="preserve">序号</w:t>
            </w:r>
            <w:bookmarkEnd w:id="191"/>
            <w:r>
              <w:rPr>
                <w:color w:val="auto"/>
              </w:rPr>
            </w:r>
            <w:bookmarkEnd w:id="192"/>
            <w:r>
              <w:rPr>
                <w:color w:val="auto"/>
              </w:rPr>
            </w:r>
            <w:bookmarkEnd w:id="193"/>
            <w:r>
              <w:rPr>
                <w:color w:val="auto"/>
              </w:rPr>
            </w:r>
            <w:bookmarkEnd w:id="194"/>
            <w:r>
              <w:rPr>
                <w:color w:val="auto"/>
              </w:rPr>
            </w:r>
            <w:bookmarkEnd w:id="195"/>
            <w:r>
              <w:rPr>
                <w:color w:val="auto"/>
              </w:rPr>
            </w:r>
            <w:bookmarkEnd w:id="196"/>
            <w:r>
              <w:rPr>
                <w:color w:val="auto"/>
              </w:rPr>
            </w:r>
            <w:bookmarkEnd w:id="197"/>
            <w:r>
              <w:rPr>
                <w:color w:val="auto"/>
              </w:rPr>
            </w:r>
            <w:bookmarkEnd w:id="198"/>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6"/>
              <w:jc w:val="center"/>
              <w:spacing w:beforeAutospacing="0" w:afterAutospacing="0"/>
              <w:rPr>
                <w:color w:val="auto"/>
                <w:highlight w:val="none"/>
              </w:rPr>
            </w:pPr>
            <w:r>
              <w:rPr>
                <w:rFonts w:hint="eastAsia" w:ascii="宋体" w:hAnsi="宋体" w:eastAsia="宋体" w:cs="宋体"/>
                <w:color w:val="auto"/>
                <w:highlight w:val="none"/>
              </w:rPr>
              <w:t xml:space="preserve">证明</w:t>
            </w:r>
            <w:r>
              <w:rPr>
                <w:color w:val="auto"/>
              </w:rPr>
            </w:r>
            <w:r/>
          </w:p>
          <w:p>
            <w:pPr>
              <w:pStyle w:val="876"/>
              <w:jc w:val="center"/>
              <w:spacing w:beforeAutospacing="0" w:afterAutospacing="0"/>
              <w:rPr>
                <w:color w:val="auto"/>
                <w:highlight w:val="none"/>
              </w:rPr>
            </w:pPr>
            <w:r>
              <w:rPr>
                <w:rFonts w:hint="eastAsia" w:ascii="宋体" w:hAnsi="宋体" w:eastAsia="宋体" w:cs="宋体"/>
                <w:color w:val="auto"/>
                <w:highlight w:val="none"/>
              </w:rPr>
              <w:t xml:space="preserve">材料</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6"/>
              <w:jc w:val="center"/>
              <w:spacing w:beforeAutospacing="0" w:afterAutospacing="0"/>
              <w:rPr>
                <w:color w:val="auto"/>
                <w:highlight w:val="none"/>
              </w:rPr>
            </w:pPr>
            <w:r>
              <w:rPr>
                <w:color w:val="auto"/>
                <w:highlight w:val="none"/>
              </w:rPr>
              <w:t xml:space="preserve"> </w:t>
            </w:r>
            <w:r>
              <w:rPr>
                <w:color w:val="auto"/>
              </w:rPr>
            </w:r>
            <w:r/>
          </w:p>
        </w:tc>
      </w:tr>
    </w:tbl>
    <w:p>
      <w:pPr>
        <w:pStyle w:val="876"/>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rPr>
          <w:color w:val="auto"/>
        </w:rPr>
      </w:r>
      <w:r/>
    </w:p>
    <w:p>
      <w:pPr>
        <w:pStyle w:val="876"/>
        <w:jc w:val="both"/>
        <w:spacing w:beforeAutospacing="0" w:afterAutospacing="0" w:line="480" w:lineRule="auto"/>
        <w:rPr>
          <w:color w:val="auto"/>
          <w:highlight w:val="none"/>
        </w:rPr>
      </w:pPr>
      <w:r>
        <w:rPr>
          <w:color w:val="auto"/>
          <w:highlight w:val="none"/>
        </w:rPr>
        <w:t xml:space="preserve"> </w:t>
      </w:r>
      <w:r>
        <w:rPr>
          <w:color w:val="auto"/>
        </w:rPr>
      </w:r>
      <w:r/>
    </w:p>
    <w:p>
      <w:pPr>
        <w:pStyle w:val="876"/>
        <w:jc w:val="both"/>
        <w:spacing w:beforeAutospacing="0" w:afterAutospacing="0" w:line="480" w:lineRule="auto"/>
        <w:rPr>
          <w:color w:val="auto"/>
          <w:highlight w:val="none"/>
        </w:rPr>
      </w:pPr>
      <w:r>
        <w:rPr>
          <w:color w:val="auto"/>
          <w:highlight w:val="none"/>
        </w:rPr>
        <w:t xml:space="preserve"> </w:t>
      </w:r>
      <w:r>
        <w:rPr>
          <w:color w:val="auto"/>
        </w:rPr>
      </w:r>
      <w:r/>
    </w:p>
    <w:p>
      <w:pPr>
        <w:pStyle w:val="876"/>
        <w:jc w:val="center"/>
        <w:spacing w:beforeAutospacing="0" w:afterAutospacing="0"/>
        <w:rPr>
          <w:color w:val="auto"/>
          <w:highlight w:val="none"/>
        </w:rPr>
      </w:pPr>
      <w:r>
        <w:rPr>
          <w:color w:val="auto"/>
        </w:rPr>
      </w:r>
      <w:bookmarkStart w:id="199" w:name="_Hlt26671374"/>
      <w:r>
        <w:rPr>
          <w:color w:val="auto"/>
        </w:rPr>
      </w:r>
      <w:bookmarkStart w:id="200" w:name="_格式2__法定代表人授权书"/>
      <w:r>
        <w:rPr>
          <w:color w:val="auto"/>
        </w:rPr>
      </w:r>
      <w:bookmarkStart w:id="201" w:name="_Hlt26955066"/>
      <w:r>
        <w:rPr>
          <w:color w:val="auto"/>
        </w:rPr>
      </w:r>
      <w:bookmarkStart w:id="202" w:name="_Toc462564146"/>
      <w:r>
        <w:rPr>
          <w:color w:val="auto"/>
        </w:rPr>
      </w:r>
      <w:bookmarkStart w:id="203" w:name="_Hlt26609389"/>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t xml:space="preserve"> </w:t>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pStyle w:val="876"/>
        <w:jc w:val="both"/>
        <w:spacing w:beforeAutospacing="0" w:afterAutospacing="0"/>
        <w:rPr>
          <w:color w:val="auto"/>
          <w:highlight w:val="none"/>
        </w:rPr>
      </w:pPr>
      <w:r>
        <w:rPr>
          <w:color w:val="auto"/>
          <w:highlight w:val="none"/>
        </w:rPr>
      </w:r>
      <w:r>
        <w:rPr>
          <w:color w:val="auto"/>
        </w:rPr>
      </w:r>
      <w:r/>
    </w:p>
    <w:p>
      <w:pPr>
        <w:shd w:val="nil" w:color="auto"/>
        <w:rPr>
          <w:color w:val="auto"/>
          <w:highlight w:val="none"/>
        </w:rPr>
      </w:pPr>
      <w:r>
        <w:rPr>
          <w:rFonts w:hint="eastAsia" w:ascii="黑体" w:hAnsi="宋体" w:eastAsia="黑体" w:cs="黑体"/>
          <w:b/>
          <w:i/>
          <w:color w:val="auto"/>
          <w:sz w:val="32"/>
          <w:szCs w:val="32"/>
          <w:highlight w:val="none"/>
          <w:u w:val="single"/>
        </w:rPr>
        <w:br w:type="page" w:clear="all"/>
      </w:r>
      <w:r>
        <w:rPr>
          <w:rFonts w:hint="eastAsia" w:ascii="黑体" w:hAnsi="宋体" w:eastAsia="黑体" w:cs="黑体"/>
          <w:b/>
          <w:i/>
          <w:color w:val="auto"/>
          <w:sz w:val="32"/>
          <w:szCs w:val="32"/>
          <w:highlight w:val="none"/>
          <w:u w:val="single"/>
        </w:rPr>
      </w:r>
      <w:r/>
    </w:p>
    <w:p>
      <w:pPr>
        <w:pStyle w:val="876"/>
        <w:jc w:val="center"/>
        <w:spacing w:beforeAutospacing="0" w:afterAutospacing="0"/>
        <w:rPr>
          <w:rFonts w:hint="eastAsia" w:ascii="黑体" w:hAnsi="宋体" w:eastAsia="黑体" w:cs="黑体"/>
          <w:b/>
          <w:bCs/>
          <w:i/>
          <w:color w:val="auto"/>
          <w:sz w:val="32"/>
          <w:szCs w:val="32"/>
          <w:highlight w:val="none"/>
          <w:u w:val="single"/>
        </w:rPr>
      </w:pPr>
      <w:r>
        <w:rPr>
          <w:rFonts w:hint="eastAsia" w:ascii="黑体" w:hAnsi="宋体" w:eastAsia="黑体" w:cs="黑体"/>
          <w:b/>
          <w:i/>
          <w:color w:val="auto"/>
          <w:sz w:val="32"/>
          <w:szCs w:val="32"/>
          <w:highlight w:val="none"/>
          <w:u w:val="single"/>
        </w:rPr>
        <w:t xml:space="preserve">十三、开标一览表</w:t>
      </w:r>
      <w:r>
        <w:rPr>
          <w:color w:val="auto"/>
        </w:rPr>
      </w:r>
      <w:r/>
    </w:p>
    <w:p>
      <w:pPr>
        <w:pStyle w:val="876"/>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rPr>
          <w:color w:val="auto"/>
        </w:rPr>
      </w:r>
      <w:r/>
    </w:p>
    <w:p>
      <w:pPr>
        <w:pStyle w:val="876"/>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rPr>
          <w:color w:val="auto"/>
        </w:rPr>
      </w:r>
      <w:r/>
    </w:p>
    <w:p>
      <w:pPr>
        <w:pStyle w:val="876"/>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项目编号：</w:t>
      </w:r>
      <w:r>
        <w:rPr>
          <w:color w:val="auto"/>
        </w:rPr>
      </w:r>
      <w:r/>
    </w:p>
    <w:tbl>
      <w:tblPr>
        <w:tblStyle w:val="86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76"/>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rPr>
                <w:color w:val="auto"/>
              </w:rPr>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76"/>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大写：</w:t>
            </w:r>
            <w:r>
              <w:rPr>
                <w:color w:val="auto"/>
              </w:rPr>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76"/>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rPr>
                <w:color w:val="auto"/>
              </w:rPr>
            </w:r>
            <w:r/>
          </w:p>
        </w:tc>
      </w:tr>
    </w:tbl>
    <w:p>
      <w:pPr>
        <w:pStyle w:val="876"/>
        <w:jc w:val="both"/>
        <w:spacing w:beforeAutospacing="0" w:afterAutospacing="0"/>
        <w:rPr>
          <w:color w:val="auto"/>
          <w:highlight w:val="none"/>
        </w:rPr>
      </w:pPr>
      <w:r>
        <w:rPr>
          <w:color w:val="auto"/>
          <w:highlight w:val="none"/>
        </w:rPr>
        <w:t xml:space="preserve"> </w:t>
      </w:r>
      <w:r>
        <w:rPr>
          <w:color w:val="auto"/>
        </w:rPr>
      </w:r>
      <w:r/>
    </w:p>
    <w:p>
      <w:pPr>
        <w:pStyle w:val="876"/>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rPr>
          <w:color w:val="auto"/>
        </w:rPr>
      </w:r>
      <w:r/>
    </w:p>
    <w:p>
      <w:pPr>
        <w:pStyle w:val="876"/>
        <w:ind w:firstLine="480"/>
        <w:jc w:val="both"/>
        <w:spacing w:beforeAutospacing="0" w:afterAutospacing="0"/>
        <w:rPr>
          <w:color w:val="auto"/>
          <w:highlight w:val="none"/>
        </w:rPr>
      </w:pPr>
      <w:r>
        <w:rPr>
          <w:color w:val="auto"/>
          <w:highlight w:val="none"/>
        </w:rPr>
        <w:t xml:space="preserve"> </w:t>
      </w:r>
      <w:r>
        <w:rPr>
          <w:color w:val="auto"/>
        </w:rPr>
      </w:r>
      <w:r/>
    </w:p>
    <w:p>
      <w:pPr>
        <w:pStyle w:val="876"/>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rPr>
          <w:color w:val="auto"/>
        </w:rPr>
      </w:r>
      <w:r/>
    </w:p>
    <w:p>
      <w:pPr>
        <w:jc w:val="center"/>
        <w:spacing w:before="50" w:after="50"/>
        <w:widowControl/>
        <w:rPr>
          <w:color w:val="auto"/>
          <w:highlight w:val="none"/>
        </w:rPr>
      </w:pPr>
      <w:r>
        <w:rPr>
          <w:color w:val="auto"/>
          <w:highlight w:val="none"/>
        </w:rPr>
        <w:tab/>
      </w:r>
      <w:r>
        <w:rPr>
          <w:color w:val="auto"/>
        </w:rPr>
      </w:r>
      <w:r/>
    </w:p>
    <w:p>
      <w:pPr>
        <w:jc w:val="center"/>
        <w:spacing w:before="50" w:after="50"/>
        <w:widowControl/>
        <w:rPr>
          <w:color w:val="auto"/>
          <w:highlight w:val="none"/>
        </w:rPr>
      </w:pPr>
      <w:r>
        <w:rPr>
          <w:color w:val="auto"/>
          <w:highlight w:val="none"/>
        </w:rPr>
      </w:r>
      <w:r>
        <w:rPr>
          <w:color w:val="auto"/>
        </w:rPr>
      </w:r>
      <w:r/>
    </w:p>
    <w:p>
      <w:pPr>
        <w:spacing w:line="400" w:lineRule="atLeast"/>
        <w:rPr>
          <w:rFonts w:ascii="Calibri" w:hAnsi="Calibri" w:eastAsia="Calibri" w:cs="Calibri"/>
          <w:b/>
          <w:color w:val="auto"/>
          <w:sz w:val="24"/>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24"/>
          <w:highlight w:val="none"/>
        </w:rPr>
      </w:r>
      <w:r>
        <w:rPr>
          <w:color w:val="auto"/>
        </w:rPr>
      </w:r>
      <w:r/>
    </w:p>
    <w:p>
      <w:pPr>
        <w:jc w:val="center"/>
        <w:spacing w:before="50" w:after="50"/>
        <w:widowControl/>
        <w:rPr>
          <w:color w:val="auto"/>
          <w:highlight w:val="none"/>
        </w:rPr>
      </w:pPr>
      <w:r>
        <w:rPr>
          <w:color w:val="auto"/>
          <w:highlight w:val="none"/>
        </w:rPr>
      </w:r>
      <w:r>
        <w:rPr>
          <w:color w:val="auto"/>
        </w:rPr>
      </w:r>
      <w:r/>
    </w:p>
    <w:p>
      <w:pPr>
        <w:jc w:val="center"/>
        <w:spacing w:before="50" w:after="50"/>
        <w:widowControl/>
        <w:rPr>
          <w:color w:val="auto"/>
          <w:highlight w:val="none"/>
        </w:rPr>
      </w:pPr>
      <w:r>
        <w:rPr>
          <w:color w:val="auto"/>
          <w:highlight w:val="none"/>
        </w:rPr>
      </w:r>
      <w:r>
        <w:rPr>
          <w:color w:val="auto"/>
        </w:rPr>
      </w:r>
      <w:r/>
    </w:p>
    <w:p>
      <w:pPr>
        <w:pStyle w:val="865"/>
        <w:rPr>
          <w:color w:val="auto"/>
          <w:highlight w:val="none"/>
        </w:rPr>
      </w:pPr>
      <w:r>
        <w:rPr>
          <w:color w:val="auto"/>
          <w:highlight w:val="none"/>
        </w:rPr>
      </w:r>
      <w:r>
        <w:rPr>
          <w:color w:val="auto"/>
        </w:rPr>
      </w:r>
      <w:r/>
    </w:p>
    <w:p>
      <w:pPr>
        <w:pStyle w:val="865"/>
        <w:rPr>
          <w:color w:val="auto"/>
          <w:highlight w:val="none"/>
        </w:rPr>
      </w:pPr>
      <w:r>
        <w:rPr>
          <w:color w:val="auto"/>
          <w:highlight w:val="none"/>
        </w:rPr>
      </w:r>
      <w:r>
        <w:rPr>
          <w:color w:val="auto"/>
        </w:rPr>
      </w:r>
      <w:r/>
    </w:p>
    <w:p>
      <w:pPr>
        <w:pStyle w:val="865"/>
        <w:rPr>
          <w:color w:val="auto"/>
          <w:highlight w:val="none"/>
        </w:rPr>
      </w:pPr>
      <w:r>
        <w:rPr>
          <w:color w:val="auto"/>
          <w:highlight w:val="none"/>
        </w:rPr>
      </w:r>
      <w:r>
        <w:rPr>
          <w:color w:val="auto"/>
        </w:rPr>
      </w:r>
      <w:r/>
    </w:p>
    <w:p>
      <w:pPr>
        <w:pStyle w:val="865"/>
        <w:rPr>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r>
      <w:r>
        <w:rPr>
          <w:color w:val="auto"/>
        </w:rPr>
      </w:r>
      <w:r/>
    </w:p>
    <w:p>
      <w:pPr>
        <w:pStyle w:val="876"/>
        <w:jc w:val="center"/>
        <w:spacing w:beforeAutospacing="0" w:afterAutospacing="0"/>
        <w:rPr>
          <w:rFonts w:ascii="黑体" w:hAnsi="宋体" w:eastAsia="黑体" w:cs="黑体"/>
          <w:b/>
          <w:color w:val="auto"/>
          <w:sz w:val="32"/>
          <w:szCs w:val="32"/>
          <w:highlight w:val="none"/>
        </w:rPr>
      </w:pPr>
      <w:r>
        <w:rPr>
          <w:rFonts w:hint="eastAsia" w:ascii="黑体" w:hAnsi="宋体" w:eastAsia="黑体" w:cs="黑体"/>
          <w:b/>
          <w:i/>
          <w:color w:val="auto"/>
          <w:sz w:val="32"/>
          <w:szCs w:val="32"/>
          <w:highlight w:val="none"/>
          <w:u w:val="single"/>
        </w:rPr>
        <w:t xml:space="preserve">十四、</w:t>
      </w:r>
      <w:r>
        <w:rPr>
          <w:rFonts w:hint="eastAsia" w:ascii="黑体" w:hAnsi="宋体" w:eastAsia="黑体" w:cs="黑体"/>
          <w:b/>
          <w:color w:val="auto"/>
          <w:sz w:val="32"/>
          <w:szCs w:val="32"/>
          <w:highlight w:val="none"/>
        </w:rPr>
        <w:t xml:space="preserve">2026-2028年环科城雨、污水管网管护服务项目</w:t>
      </w:r>
      <w:r>
        <w:rPr>
          <w:color w:val="auto"/>
        </w:rPr>
      </w:r>
      <w:r/>
    </w:p>
    <w:p>
      <w:pPr>
        <w:pStyle w:val="876"/>
        <w:jc w:val="center"/>
        <w:spacing w:beforeAutospacing="0" w:afterAutospacing="0"/>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报价清单</w:t>
      </w:r>
      <w:r>
        <w:rPr>
          <w:color w:val="auto"/>
        </w:rPr>
      </w:r>
      <w:r/>
    </w:p>
    <w:tbl>
      <w:tblPr>
        <w:tblStyle w:val="8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9"/>
        <w:gridCol w:w="1068"/>
        <w:gridCol w:w="3904"/>
        <w:gridCol w:w="519"/>
        <w:gridCol w:w="728"/>
        <w:gridCol w:w="876"/>
        <w:gridCol w:w="878"/>
      </w:tblGrid>
      <w:tr>
        <w:trPr>
          <w:trHeight w:val="941"/>
          <w:tblHeader/>
        </w:trPr>
        <w:tc>
          <w:tcPr>
            <w:tcW w:w="549" w:type="dxa"/>
            <w:vAlign w:val="center"/>
            <w:textDirection w:val="lrTb"/>
            <w:noWrap/>
          </w:tcPr>
          <w:p>
            <w:pPr>
              <w:jc w:val="center"/>
              <w:rPr>
                <w:rFonts w:eastAsia="宋体"/>
                <w:b/>
                <w:bCs/>
                <w:color w:val="auto"/>
                <w:sz w:val="20"/>
                <w:szCs w:val="20"/>
                <w:highlight w:val="none"/>
              </w:rPr>
            </w:pPr>
            <w:r>
              <w:rPr>
                <w:rFonts w:hint="eastAsia"/>
                <w:b/>
                <w:bCs/>
                <w:color w:val="auto"/>
                <w:sz w:val="20"/>
                <w:szCs w:val="20"/>
                <w:highlight w:val="none"/>
              </w:rPr>
              <w:t xml:space="preserve">序号</w:t>
            </w:r>
            <w:r>
              <w:rPr>
                <w:color w:val="auto"/>
              </w:rPr>
            </w:r>
            <w:r/>
          </w:p>
        </w:tc>
        <w:tc>
          <w:tcPr>
            <w:tcW w:w="1068" w:type="dxa"/>
            <w:vAlign w:val="center"/>
            <w:textDirection w:val="lrTb"/>
            <w:noWrap/>
          </w:tcPr>
          <w:p>
            <w:pPr>
              <w:jc w:val="center"/>
              <w:rPr>
                <w:rFonts w:eastAsia="宋体"/>
                <w:b/>
                <w:bCs/>
                <w:color w:val="auto"/>
                <w:sz w:val="20"/>
                <w:szCs w:val="20"/>
                <w:highlight w:val="none"/>
              </w:rPr>
            </w:pPr>
            <w:r>
              <w:rPr>
                <w:rFonts w:hint="eastAsia"/>
                <w:b/>
                <w:bCs/>
                <w:color w:val="auto"/>
                <w:sz w:val="20"/>
                <w:szCs w:val="20"/>
                <w:highlight w:val="none"/>
              </w:rPr>
              <w:t xml:space="preserve">项目名称</w:t>
            </w:r>
            <w:r>
              <w:rPr>
                <w:color w:val="auto"/>
              </w:rPr>
            </w:r>
            <w:r/>
          </w:p>
        </w:tc>
        <w:tc>
          <w:tcPr>
            <w:tcW w:w="3904" w:type="dxa"/>
            <w:vAlign w:val="center"/>
            <w:textDirection w:val="lrTb"/>
            <w:noWrap/>
          </w:tcPr>
          <w:p>
            <w:pPr>
              <w:jc w:val="center"/>
              <w:rPr>
                <w:rFonts w:eastAsia="宋体"/>
                <w:b/>
                <w:bCs/>
                <w:color w:val="auto"/>
                <w:sz w:val="20"/>
                <w:szCs w:val="20"/>
                <w:highlight w:val="none"/>
              </w:rPr>
            </w:pPr>
            <w:r>
              <w:rPr>
                <w:rFonts w:hint="eastAsia"/>
                <w:b/>
                <w:bCs/>
                <w:color w:val="auto"/>
                <w:sz w:val="20"/>
                <w:szCs w:val="20"/>
                <w:highlight w:val="none"/>
              </w:rPr>
              <w:t xml:space="preserve">项目特征描述</w:t>
            </w:r>
            <w:r>
              <w:rPr>
                <w:color w:val="auto"/>
              </w:rPr>
            </w:r>
            <w:r/>
          </w:p>
        </w:tc>
        <w:tc>
          <w:tcPr>
            <w:tcW w:w="519" w:type="dxa"/>
            <w:vAlign w:val="center"/>
            <w:textDirection w:val="lrTb"/>
            <w:noWrap/>
          </w:tcPr>
          <w:p>
            <w:pPr>
              <w:jc w:val="center"/>
              <w:rPr>
                <w:rFonts w:eastAsia="宋体"/>
                <w:b/>
                <w:bCs/>
                <w:color w:val="auto"/>
                <w:sz w:val="20"/>
                <w:szCs w:val="20"/>
                <w:highlight w:val="none"/>
              </w:rPr>
            </w:pPr>
            <w:r>
              <w:rPr>
                <w:rFonts w:hint="eastAsia"/>
                <w:b/>
                <w:bCs/>
                <w:color w:val="auto"/>
                <w:sz w:val="20"/>
                <w:szCs w:val="20"/>
                <w:highlight w:val="none"/>
              </w:rPr>
              <w:t xml:space="preserve">单位</w:t>
            </w:r>
            <w:r>
              <w:rPr>
                <w:color w:val="auto"/>
              </w:rPr>
            </w:r>
            <w:r/>
          </w:p>
        </w:tc>
        <w:tc>
          <w:tcPr>
            <w:tcW w:w="728" w:type="dxa"/>
            <w:vAlign w:val="center"/>
            <w:textDirection w:val="lrTb"/>
            <w:noWrap/>
          </w:tcPr>
          <w:p>
            <w:pPr>
              <w:jc w:val="center"/>
              <w:rPr>
                <w:rFonts w:eastAsia="宋体"/>
                <w:b/>
                <w:bCs/>
                <w:color w:val="auto"/>
                <w:sz w:val="20"/>
                <w:szCs w:val="20"/>
                <w:highlight w:val="none"/>
              </w:rPr>
            </w:pPr>
            <w:r>
              <w:rPr>
                <w:rFonts w:hint="eastAsia"/>
                <w:b/>
                <w:bCs/>
                <w:color w:val="auto"/>
                <w:sz w:val="20"/>
                <w:szCs w:val="20"/>
                <w:highlight w:val="none"/>
              </w:rPr>
              <w:t xml:space="preserve">工程量</w:t>
            </w:r>
            <w:r>
              <w:rPr>
                <w:color w:val="auto"/>
              </w:rPr>
            </w:r>
            <w:r/>
          </w:p>
        </w:tc>
        <w:tc>
          <w:tcPr>
            <w:tcW w:w="876" w:type="dxa"/>
            <w:vAlign w:val="center"/>
            <w:textDirection w:val="lrTb"/>
            <w:noWrap/>
          </w:tcPr>
          <w:p>
            <w:pPr>
              <w:jc w:val="center"/>
              <w:rPr>
                <w:b/>
                <w:bCs/>
                <w:color w:val="auto"/>
                <w:sz w:val="20"/>
                <w:szCs w:val="20"/>
                <w:highlight w:val="none"/>
              </w:rPr>
            </w:pPr>
            <w:r>
              <w:rPr>
                <w:rFonts w:hint="eastAsia"/>
                <w:b/>
                <w:bCs/>
                <w:color w:val="auto"/>
                <w:sz w:val="20"/>
                <w:szCs w:val="20"/>
                <w:highlight w:val="none"/>
              </w:rPr>
              <w:t xml:space="preserve">全费用单价（元）</w:t>
            </w:r>
            <w:r>
              <w:rPr>
                <w:color w:val="auto"/>
              </w:rPr>
            </w:r>
            <w:r/>
          </w:p>
        </w:tc>
        <w:tc>
          <w:tcPr>
            <w:tcW w:w="878" w:type="dxa"/>
            <w:vAlign w:val="center"/>
            <w:textDirection w:val="lrTb"/>
            <w:noWrap/>
          </w:tcPr>
          <w:p>
            <w:pPr>
              <w:jc w:val="center"/>
              <w:rPr>
                <w:b/>
                <w:bCs/>
                <w:color w:val="auto"/>
                <w:sz w:val="20"/>
                <w:szCs w:val="20"/>
                <w:highlight w:val="none"/>
              </w:rPr>
            </w:pPr>
            <w:r>
              <w:rPr>
                <w:rFonts w:hint="eastAsia"/>
                <w:b/>
                <w:bCs/>
                <w:color w:val="auto"/>
                <w:sz w:val="20"/>
                <w:szCs w:val="20"/>
                <w:highlight w:val="none"/>
              </w:rPr>
              <w:t xml:space="preserve">合价（元）</w:t>
            </w:r>
            <w:r>
              <w:rPr>
                <w:color w:val="auto"/>
              </w:rPr>
            </w:r>
            <w:r/>
          </w:p>
        </w:tc>
      </w:tr>
      <w:tr>
        <w:trPr>
          <w:trHeight w:val="321"/>
        </w:trPr>
        <w:tc>
          <w:tcPr>
            <w:gridSpan w:val="5"/>
            <w:tcW w:w="6768" w:type="dxa"/>
            <w:vAlign w:val="center"/>
            <w:textDirection w:val="lrTb"/>
            <w:noWrap/>
          </w:tcPr>
          <w:p>
            <w:pPr>
              <w:jc w:val="left"/>
              <w:rPr>
                <w:color w:val="auto"/>
                <w:sz w:val="20"/>
                <w:szCs w:val="20"/>
                <w:highlight w:val="none"/>
              </w:rPr>
            </w:pPr>
            <w:r>
              <w:rPr>
                <w:rFonts w:hint="eastAsia"/>
                <w:b/>
                <w:bCs/>
                <w:color w:val="auto"/>
                <w:sz w:val="20"/>
                <w:szCs w:val="20"/>
                <w:highlight w:val="none"/>
              </w:rPr>
              <w:t xml:space="preserve">常态化巡查</w:t>
            </w:r>
            <w:r>
              <w:rPr>
                <w:color w:val="auto"/>
              </w:rPr>
            </w:r>
            <w:r/>
          </w:p>
        </w:tc>
        <w:tc>
          <w:tcPr>
            <w:tcW w:w="876" w:type="dxa"/>
            <w:vAlign w:val="center"/>
            <w:textDirection w:val="lrTb"/>
            <w:noWrap/>
          </w:tcPr>
          <w:p>
            <w:pPr>
              <w:jc w:val="left"/>
              <w:rPr>
                <w:b/>
                <w:bCs/>
                <w:color w:val="auto"/>
                <w:sz w:val="20"/>
                <w:szCs w:val="20"/>
                <w:highlight w:val="none"/>
              </w:rPr>
            </w:pPr>
            <w:r>
              <w:rPr>
                <w:b/>
                <w:bCs/>
                <w:color w:val="auto"/>
                <w:sz w:val="20"/>
                <w:szCs w:val="20"/>
                <w:highlight w:val="none"/>
              </w:rPr>
            </w:r>
            <w:r>
              <w:rPr>
                <w:color w:val="auto"/>
              </w:rPr>
            </w:r>
            <w:r/>
          </w:p>
        </w:tc>
        <w:tc>
          <w:tcPr>
            <w:tcW w:w="878" w:type="dxa"/>
            <w:vAlign w:val="center"/>
            <w:textDirection w:val="lrTb"/>
            <w:noWrap/>
          </w:tcPr>
          <w:p>
            <w:pPr>
              <w:jc w:val="left"/>
              <w:rPr>
                <w:b/>
                <w:bCs/>
                <w:color w:val="auto"/>
                <w:sz w:val="20"/>
                <w:szCs w:val="20"/>
                <w:highlight w:val="none"/>
              </w:rPr>
            </w:pPr>
            <w:r>
              <w:rPr>
                <w:b/>
                <w:bCs/>
                <w:color w:val="auto"/>
                <w:sz w:val="20"/>
                <w:szCs w:val="20"/>
                <w:highlight w:val="none"/>
              </w:rPr>
            </w:r>
            <w:r>
              <w:rPr>
                <w:color w:val="auto"/>
              </w:rPr>
            </w:r>
            <w:r/>
          </w:p>
        </w:tc>
      </w:tr>
      <w:tr>
        <w:trPr>
          <w:trHeight w:val="1455"/>
        </w:trPr>
        <w:tc>
          <w:tcPr>
            <w:tcW w:w="549" w:type="dxa"/>
            <w:vAlign w:val="center"/>
            <w:textDirection w:val="lrTb"/>
            <w:noWrap/>
          </w:tcPr>
          <w:p>
            <w:pPr>
              <w:jc w:val="center"/>
              <w:rPr>
                <w:rFonts w:eastAsia="宋体"/>
                <w:color w:val="auto"/>
                <w:sz w:val="18"/>
                <w:szCs w:val="18"/>
                <w:highlight w:val="none"/>
              </w:rPr>
            </w:pPr>
            <w:r>
              <w:rPr>
                <w:rFonts w:hint="eastAsia"/>
                <w:color w:val="auto"/>
                <w:sz w:val="18"/>
                <w:szCs w:val="18"/>
                <w:highlight w:val="none"/>
              </w:rPr>
              <w:t xml:space="preserve">1</w:t>
            </w:r>
            <w:r>
              <w:rPr>
                <w:color w:val="auto"/>
              </w:rPr>
            </w:r>
            <w:r/>
          </w:p>
        </w:tc>
        <w:tc>
          <w:tcPr>
            <w:tcW w:w="1068" w:type="dxa"/>
            <w:vAlign w:val="center"/>
            <w:textDirection w:val="lrTb"/>
            <w:noWrap/>
          </w:tcPr>
          <w:p>
            <w:pPr>
              <w:jc w:val="center"/>
              <w:widowControl/>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雨污水管网维护巡查</w:t>
            </w:r>
            <w:r>
              <w:rPr>
                <w:color w:val="auto"/>
              </w:rPr>
            </w:r>
            <w:r/>
          </w:p>
        </w:tc>
        <w:tc>
          <w:tcPr>
            <w:tcW w:w="3904" w:type="dxa"/>
            <w:vAlign w:val="center"/>
            <w:textDirection w:val="lrTb"/>
            <w:noWrap/>
          </w:tcPr>
          <w:p>
            <w:pPr>
              <w:jc w:val="left"/>
              <w:spacing w:line="220" w:lineRule="exact"/>
              <w:rPr>
                <w:color w:val="auto"/>
                <w:sz w:val="18"/>
                <w:szCs w:val="18"/>
                <w:highlight w:val="none"/>
              </w:rPr>
            </w:pPr>
            <w:r>
              <w:rPr>
                <w:rFonts w:hint="eastAsia"/>
                <w:color w:val="auto"/>
                <w:sz w:val="18"/>
                <w:szCs w:val="18"/>
                <w:highlight w:val="none"/>
              </w:rPr>
              <w:t xml:space="preserve">1、实施雨污水管网设施全面普查：对所有雨水井、污水井、检查井、雨水口逐点排查、实地定位、统一编号、建档登记，精准采集井位坐标、管线走向、管道管径、覆土埋深、设施破损完好等基础数据；依据普查实测成果编制完整雨污水管网地形图，同步搭建 “一井一档” 电子档案与纸质台账，动态录入、更新巡检、维修、检测、清淤运维记录，全面摸清管网设施底数，消除管网管理盲区。</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2、巡查周期：管护期内每月完成1次全域全覆盖巡查管护，无遗漏、无死角。</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3、巡查内容：全面检查井盖完好、平整、牢固情况，维修更换破损、缺失、松动井盖；检查防坠网完好性，及时修复损坏、脱落防坠网；开展污水水位测量工作；排查管网沿线路面塌陷、污水溢流、积水、管网外露、私接乱排等问题。</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4、巡查要求：每次巡查完整记录设施运行状态，形成月度巡查台账；每月全覆盖普查项目全部设施完好状况并详实留存记录；一般隐患当场处置，重大隐患第一时间拍照留痕、上报甲方，配合核查整改。</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5、巡查设备物资保障：常备大流量排涝泵2组、污水泵2组、柴油发电机2组、输水管道300米、防汛沙袋500只等应急物资设备，设备全程待命、状态完好，可随时投入防汛排涝作业，管护周期结束后相关设备设施由施工单位自行回收处置。管道维修时，能随时搭建临时400以上管道300米及配套口径能力的泵及其他设备。</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6、结合月度巡查同步开展污水井水位测量工作，对园区主干道、易淤积、易溢流重点井位定期测量井内积水深度、水位数据，记录测量时间、点位坐标、水位参数，建立水位监测台账。通过数据对比分析管网淤积、排水不畅隐患，对水位异常点位纳入重点管护清单。</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7、对行政审批事项进行看护，及时发现、制止违法行为。</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8、人员要求：配置3名专职巡查人员，年龄不大于55岁，统一着装，巡查车辆自备。有限空间作业现场监护人员需持有限空间作业监护人特种作业操作证上岗，监护人员不得兼任施工操作工作；全部生产安全事宜由乙方自行负责。</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9、汛期、暴雨预警天气实行24小时2人值班值守及2组突击人员6人，重点巡查园区低洼路段、易积水区域、管网出水口、实时掌握排水情况，随时处置突发积水、溢流问题。</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10、雨污水管网维护期内包含20个及以内污水井盖、70个及以内雨水井盖应急增补更换工作。</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11、配套维修内容：含防坠网更换、井内爬梯维修更换、雨水箅子更换，井盖施工产生的井周道路铺装拆除及恢复。</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注：以上全部工作内容均包含在综合单价中，本项目范围内不再发生工程变更及额外计价。</w:t>
            </w:r>
            <w:r>
              <w:rPr>
                <w:color w:val="auto"/>
              </w:rPr>
            </w:r>
            <w:r/>
          </w:p>
        </w:tc>
        <w:tc>
          <w:tcPr>
            <w:tcW w:w="519" w:type="dxa"/>
            <w:vAlign w:val="center"/>
            <w:textDirection w:val="lrTb"/>
            <w:noWrap/>
          </w:tcPr>
          <w:p>
            <w:pPr>
              <w:jc w:val="center"/>
              <w:rPr>
                <w:rFonts w:eastAsia="宋体"/>
                <w:color w:val="auto"/>
                <w:sz w:val="18"/>
                <w:szCs w:val="18"/>
                <w:highlight w:val="none"/>
              </w:rPr>
            </w:pPr>
            <w:r>
              <w:rPr>
                <w:rFonts w:hint="eastAsia"/>
                <w:color w:val="auto"/>
                <w:sz w:val="18"/>
                <w:szCs w:val="18"/>
                <w:highlight w:val="none"/>
              </w:rPr>
              <w:t xml:space="preserve">月</w:t>
            </w:r>
            <w:r>
              <w:rPr>
                <w:color w:val="auto"/>
              </w:rPr>
            </w:r>
            <w:r/>
          </w:p>
        </w:tc>
        <w:tc>
          <w:tcPr>
            <w:tcW w:w="728" w:type="dxa"/>
            <w:vAlign w:val="center"/>
            <w:textDirection w:val="lrTb"/>
            <w:noWrap/>
          </w:tcPr>
          <w:p>
            <w:pPr>
              <w:jc w:val="center"/>
              <w:rPr>
                <w:rFonts w:eastAsia="宋体"/>
                <w:color w:val="auto"/>
                <w:sz w:val="18"/>
                <w:szCs w:val="18"/>
                <w:highlight w:val="none"/>
              </w:rPr>
            </w:pPr>
            <w:r>
              <w:rPr>
                <w:rFonts w:hint="eastAsia"/>
                <w:color w:val="auto"/>
                <w:sz w:val="18"/>
                <w:szCs w:val="18"/>
                <w:highlight w:val="none"/>
              </w:rPr>
              <w:t xml:space="preserve">12</w:t>
            </w:r>
            <w:r>
              <w:rPr>
                <w:color w:val="auto"/>
              </w:rPr>
            </w:r>
            <w:r/>
          </w:p>
        </w:tc>
        <w:tc>
          <w:tcPr>
            <w:tcW w:w="876"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c>
          <w:tcPr>
            <w:tcW w:w="878"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r>
      <w:tr>
        <w:trPr>
          <w:trHeight w:val="1104"/>
        </w:trPr>
        <w:tc>
          <w:tcPr>
            <w:tcW w:w="549" w:type="dxa"/>
            <w:vAlign w:val="center"/>
            <w:textDirection w:val="lrTb"/>
            <w:noWrap/>
          </w:tcPr>
          <w:p>
            <w:pPr>
              <w:jc w:val="center"/>
              <w:rPr>
                <w:rFonts w:eastAsia="宋体"/>
                <w:color w:val="auto"/>
                <w:sz w:val="18"/>
                <w:szCs w:val="18"/>
                <w:highlight w:val="none"/>
              </w:rPr>
            </w:pPr>
            <w:r>
              <w:rPr>
                <w:rFonts w:hint="eastAsia"/>
                <w:color w:val="auto"/>
                <w:sz w:val="18"/>
                <w:szCs w:val="18"/>
                <w:highlight w:val="none"/>
              </w:rPr>
              <w:t xml:space="preserve">2</w:t>
            </w:r>
            <w:r>
              <w:rPr>
                <w:color w:val="auto"/>
              </w:rPr>
            </w:r>
            <w:r/>
          </w:p>
        </w:tc>
        <w:tc>
          <w:tcPr>
            <w:tcW w:w="106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雨水检查井井盖更换</w:t>
            </w:r>
            <w:r>
              <w:rPr>
                <w:color w:val="auto"/>
              </w:rPr>
            </w:r>
            <w:r/>
          </w:p>
        </w:tc>
        <w:tc>
          <w:tcPr>
            <w:tcW w:w="3904" w:type="dxa"/>
            <w:vAlign w:val="center"/>
            <w:textDirection w:val="lrTb"/>
            <w:noWrap/>
          </w:tcPr>
          <w:p>
            <w:pPr>
              <w:jc w:val="left"/>
              <w:spacing w:line="220" w:lineRule="exact"/>
              <w:rPr>
                <w:color w:val="auto"/>
                <w:sz w:val="18"/>
                <w:szCs w:val="18"/>
                <w:highlight w:val="none"/>
              </w:rPr>
            </w:pPr>
            <w:r>
              <w:rPr>
                <w:rFonts w:hint="eastAsia"/>
                <w:color w:val="auto"/>
                <w:sz w:val="18"/>
                <w:szCs w:val="18"/>
                <w:highlight w:val="none"/>
              </w:rPr>
              <w:t xml:space="preserve">1、原有雨水检查井盖（井座）拆除，拆除后建筑垃圾清理外运</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2、拆除井座后周边修补，调平（局部升降），施工后满足新井盖安装要求，井周边类道路铺装拆除恢复</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3、球墨铸铁井盖（座）安装，井盖上标注“雨”，样式满足建设单位要求</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4、井盖规格：球墨铸铁井盖（座）安装，井盖尺寸大小报价综合考虑</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5、具体更换范围需经建设单位确认后方可实施</w:t>
            </w:r>
            <w:r>
              <w:rPr>
                <w:color w:val="auto"/>
              </w:rPr>
            </w:r>
            <w:r/>
          </w:p>
        </w:tc>
        <w:tc>
          <w:tcPr>
            <w:tcW w:w="519" w:type="dxa"/>
            <w:vAlign w:val="center"/>
            <w:textDirection w:val="lrTb"/>
            <w:noWrap/>
          </w:tcPr>
          <w:p>
            <w:pPr>
              <w:jc w:val="center"/>
              <w:rPr>
                <w:rFonts w:eastAsia="宋体"/>
                <w:color w:val="auto"/>
                <w:sz w:val="18"/>
                <w:szCs w:val="18"/>
                <w:highlight w:val="none"/>
              </w:rPr>
            </w:pPr>
            <w:r>
              <w:rPr>
                <w:rFonts w:hint="eastAsia"/>
                <w:color w:val="auto"/>
                <w:sz w:val="18"/>
                <w:szCs w:val="18"/>
                <w:highlight w:val="none"/>
              </w:rPr>
              <w:t xml:space="preserve">座</w:t>
            </w:r>
            <w:r>
              <w:rPr>
                <w:color w:val="auto"/>
              </w:rPr>
            </w:r>
            <w:r/>
          </w:p>
        </w:tc>
        <w:tc>
          <w:tcPr>
            <w:tcW w:w="728" w:type="dxa"/>
            <w:vAlign w:val="center"/>
            <w:textDirection w:val="lrTb"/>
            <w:noWrap/>
          </w:tcPr>
          <w:p>
            <w:pPr>
              <w:jc w:val="center"/>
              <w:rPr>
                <w:rFonts w:eastAsia="宋体"/>
                <w:color w:val="auto"/>
                <w:sz w:val="18"/>
                <w:szCs w:val="18"/>
                <w:highlight w:val="none"/>
              </w:rPr>
            </w:pPr>
            <w:r>
              <w:rPr>
                <w:rFonts w:hint="eastAsia"/>
                <w:color w:val="auto"/>
                <w:sz w:val="18"/>
                <w:szCs w:val="18"/>
                <w:highlight w:val="none"/>
              </w:rPr>
              <w:t xml:space="preserve">20</w:t>
            </w:r>
            <w:r>
              <w:rPr>
                <w:color w:val="auto"/>
              </w:rPr>
            </w:r>
            <w:r/>
          </w:p>
        </w:tc>
        <w:tc>
          <w:tcPr>
            <w:tcW w:w="876"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c>
          <w:tcPr>
            <w:tcW w:w="878"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r>
      <w:tr>
        <w:trPr>
          <w:trHeight w:val="1104"/>
        </w:trPr>
        <w:tc>
          <w:tcPr>
            <w:tcW w:w="549" w:type="dxa"/>
            <w:vAlign w:val="center"/>
            <w:textDirection w:val="lrTb"/>
            <w:noWrap/>
          </w:tcPr>
          <w:p>
            <w:pPr>
              <w:jc w:val="center"/>
              <w:rPr>
                <w:rFonts w:eastAsia="宋体"/>
                <w:color w:val="auto"/>
                <w:sz w:val="18"/>
                <w:szCs w:val="18"/>
                <w:highlight w:val="none"/>
              </w:rPr>
            </w:pPr>
            <w:r>
              <w:rPr>
                <w:rFonts w:hint="eastAsia"/>
                <w:color w:val="auto"/>
                <w:sz w:val="18"/>
                <w:szCs w:val="18"/>
                <w:highlight w:val="none"/>
              </w:rPr>
              <w:t xml:space="preserve">3</w:t>
            </w:r>
            <w:r>
              <w:rPr>
                <w:color w:val="auto"/>
              </w:rPr>
            </w:r>
            <w:r/>
          </w:p>
        </w:tc>
        <w:tc>
          <w:tcPr>
            <w:tcW w:w="106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雨水检查井井盖更换</w:t>
            </w:r>
            <w:r>
              <w:rPr>
                <w:color w:val="auto"/>
              </w:rPr>
            </w:r>
            <w:r/>
          </w:p>
        </w:tc>
        <w:tc>
          <w:tcPr>
            <w:tcW w:w="3904" w:type="dxa"/>
            <w:vAlign w:val="center"/>
            <w:textDirection w:val="lrTb"/>
            <w:noWrap/>
          </w:tcPr>
          <w:p>
            <w:pPr>
              <w:jc w:val="left"/>
              <w:spacing w:line="220" w:lineRule="exact"/>
              <w:rPr>
                <w:color w:val="auto"/>
                <w:sz w:val="18"/>
                <w:szCs w:val="18"/>
                <w:highlight w:val="none"/>
              </w:rPr>
            </w:pPr>
            <w:r>
              <w:rPr>
                <w:rFonts w:hint="eastAsia"/>
                <w:color w:val="auto"/>
                <w:sz w:val="18"/>
                <w:szCs w:val="18"/>
                <w:highlight w:val="none"/>
              </w:rPr>
              <w:t xml:space="preserve">1、原有雨水检查井盖（井座）拆除，拆除后建筑垃圾清理外运</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2、拆除井座后周边修补，调平（局部升降），施工后满足新井盖安装要求，井周边类道路铺装拆除恢复</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3、钢纤维井盖（座）安装，井盖上标注“雨”，样式满足建设单位要求</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4、井盖规格：钢纤维井盖（座）安装，井盖尺寸大小报价综合考虑</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5、具体更换范围需经建设单位确认后方可实施</w:t>
            </w:r>
            <w:r>
              <w:rPr>
                <w:color w:val="auto"/>
              </w:rPr>
            </w:r>
            <w:r/>
          </w:p>
        </w:tc>
        <w:tc>
          <w:tcPr>
            <w:tcW w:w="519" w:type="dxa"/>
            <w:vAlign w:val="center"/>
            <w:textDirection w:val="lrTb"/>
            <w:noWrap/>
          </w:tcPr>
          <w:p>
            <w:pPr>
              <w:jc w:val="center"/>
              <w:rPr>
                <w:color w:val="auto"/>
                <w:sz w:val="18"/>
                <w:szCs w:val="18"/>
                <w:highlight w:val="none"/>
              </w:rPr>
            </w:pPr>
            <w:r>
              <w:rPr>
                <w:rFonts w:hint="eastAsia"/>
                <w:color w:val="auto"/>
                <w:sz w:val="18"/>
                <w:szCs w:val="18"/>
                <w:highlight w:val="none"/>
              </w:rPr>
              <w:t xml:space="preserve">座</w:t>
            </w:r>
            <w:r>
              <w:rPr>
                <w:color w:val="auto"/>
              </w:rPr>
            </w:r>
            <w:r/>
          </w:p>
        </w:tc>
        <w:tc>
          <w:tcPr>
            <w:tcW w:w="72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20</w:t>
            </w:r>
            <w:r>
              <w:rPr>
                <w:color w:val="auto"/>
              </w:rPr>
            </w:r>
            <w:r/>
          </w:p>
        </w:tc>
        <w:tc>
          <w:tcPr>
            <w:tcW w:w="876"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c>
          <w:tcPr>
            <w:tcW w:w="878"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r>
      <w:tr>
        <w:trPr>
          <w:trHeight w:val="1104"/>
        </w:trPr>
        <w:tc>
          <w:tcPr>
            <w:tcW w:w="549" w:type="dxa"/>
            <w:vAlign w:val="center"/>
            <w:textDirection w:val="lrTb"/>
            <w:noWrap/>
          </w:tcPr>
          <w:p>
            <w:pPr>
              <w:jc w:val="center"/>
              <w:rPr>
                <w:rFonts w:eastAsia="宋体"/>
                <w:color w:val="auto"/>
                <w:sz w:val="18"/>
                <w:szCs w:val="18"/>
                <w:highlight w:val="none"/>
              </w:rPr>
            </w:pPr>
            <w:r>
              <w:rPr>
                <w:rFonts w:hint="eastAsia"/>
                <w:color w:val="auto"/>
                <w:sz w:val="18"/>
                <w:szCs w:val="18"/>
                <w:highlight w:val="none"/>
              </w:rPr>
              <w:t xml:space="preserve">4</w:t>
            </w:r>
            <w:r>
              <w:rPr>
                <w:color w:val="auto"/>
              </w:rPr>
            </w:r>
            <w:r/>
          </w:p>
        </w:tc>
        <w:tc>
          <w:tcPr>
            <w:tcW w:w="106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污水检查井井盖更换</w:t>
            </w:r>
            <w:r>
              <w:rPr>
                <w:color w:val="auto"/>
              </w:rPr>
            </w:r>
            <w:r/>
          </w:p>
        </w:tc>
        <w:tc>
          <w:tcPr>
            <w:tcW w:w="3904" w:type="dxa"/>
            <w:vAlign w:val="center"/>
            <w:textDirection w:val="lrTb"/>
            <w:noWrap/>
          </w:tcPr>
          <w:p>
            <w:pPr>
              <w:jc w:val="left"/>
              <w:spacing w:line="220" w:lineRule="exact"/>
              <w:rPr>
                <w:color w:val="auto"/>
                <w:sz w:val="18"/>
                <w:szCs w:val="18"/>
                <w:highlight w:val="none"/>
              </w:rPr>
            </w:pPr>
            <w:r>
              <w:rPr>
                <w:rFonts w:hint="eastAsia"/>
                <w:color w:val="auto"/>
                <w:sz w:val="18"/>
                <w:szCs w:val="18"/>
                <w:highlight w:val="none"/>
              </w:rPr>
              <w:t xml:space="preserve">1、原有污水检查井盖（井座）拆除，拆除后建筑垃圾清理外运</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2、拆除井座后周边修补，调平（局部升降），施工后满足新井盖安装要求，井周边类道路铺装拆除恢复</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3、球墨铸铁井盖（座）安装，井盖上标注“污”，样式满足建设单位要求</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4、井盖规格：球墨铸铁井盖（座）安装，井盖尺寸大小报价综合考虑</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5、具体更换范围需经建设单位确认后方可实施</w:t>
            </w:r>
            <w:r>
              <w:rPr>
                <w:color w:val="auto"/>
              </w:rPr>
            </w:r>
            <w:r/>
          </w:p>
        </w:tc>
        <w:tc>
          <w:tcPr>
            <w:tcW w:w="519" w:type="dxa"/>
            <w:vAlign w:val="center"/>
            <w:textDirection w:val="lrTb"/>
            <w:noWrap/>
          </w:tcPr>
          <w:p>
            <w:pPr>
              <w:jc w:val="center"/>
              <w:rPr>
                <w:color w:val="auto"/>
                <w:sz w:val="18"/>
                <w:szCs w:val="18"/>
                <w:highlight w:val="none"/>
              </w:rPr>
            </w:pPr>
            <w:r>
              <w:rPr>
                <w:rFonts w:hint="eastAsia"/>
                <w:color w:val="auto"/>
                <w:sz w:val="18"/>
                <w:szCs w:val="18"/>
                <w:highlight w:val="none"/>
              </w:rPr>
              <w:t xml:space="preserve">座</w:t>
            </w:r>
            <w:r>
              <w:rPr>
                <w:color w:val="auto"/>
              </w:rPr>
            </w:r>
            <w:r/>
          </w:p>
        </w:tc>
        <w:tc>
          <w:tcPr>
            <w:tcW w:w="72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20</w:t>
            </w:r>
            <w:r>
              <w:rPr>
                <w:color w:val="auto"/>
              </w:rPr>
            </w:r>
            <w:r/>
          </w:p>
        </w:tc>
        <w:tc>
          <w:tcPr>
            <w:tcW w:w="876"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c>
          <w:tcPr>
            <w:tcW w:w="878"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r>
      <w:tr>
        <w:trPr>
          <w:trHeight w:val="1104"/>
        </w:trPr>
        <w:tc>
          <w:tcPr>
            <w:tcW w:w="549" w:type="dxa"/>
            <w:vAlign w:val="center"/>
            <w:textDirection w:val="lrTb"/>
            <w:noWrap/>
          </w:tcPr>
          <w:p>
            <w:pPr>
              <w:jc w:val="center"/>
              <w:rPr>
                <w:rFonts w:eastAsia="宋体"/>
                <w:color w:val="auto"/>
                <w:sz w:val="18"/>
                <w:szCs w:val="18"/>
                <w:highlight w:val="none"/>
              </w:rPr>
            </w:pPr>
            <w:r>
              <w:rPr>
                <w:rFonts w:hint="eastAsia"/>
                <w:color w:val="auto"/>
                <w:sz w:val="18"/>
                <w:szCs w:val="18"/>
                <w:highlight w:val="none"/>
              </w:rPr>
              <w:t xml:space="preserve">5</w:t>
            </w:r>
            <w:r>
              <w:rPr>
                <w:color w:val="auto"/>
              </w:rPr>
            </w:r>
            <w:r/>
          </w:p>
        </w:tc>
        <w:tc>
          <w:tcPr>
            <w:tcW w:w="106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污水检查井井盖更换</w:t>
            </w:r>
            <w:r>
              <w:rPr>
                <w:color w:val="auto"/>
              </w:rPr>
            </w:r>
            <w:r/>
          </w:p>
        </w:tc>
        <w:tc>
          <w:tcPr>
            <w:tcW w:w="3904" w:type="dxa"/>
            <w:vAlign w:val="center"/>
            <w:textDirection w:val="lrTb"/>
            <w:noWrap/>
          </w:tcPr>
          <w:p>
            <w:pPr>
              <w:jc w:val="left"/>
              <w:spacing w:line="220" w:lineRule="exact"/>
              <w:rPr>
                <w:color w:val="auto"/>
                <w:sz w:val="18"/>
                <w:szCs w:val="18"/>
                <w:highlight w:val="none"/>
              </w:rPr>
            </w:pPr>
            <w:r>
              <w:rPr>
                <w:rFonts w:hint="eastAsia"/>
                <w:color w:val="auto"/>
                <w:sz w:val="18"/>
                <w:szCs w:val="18"/>
                <w:highlight w:val="none"/>
              </w:rPr>
              <w:t xml:space="preserve">1、原有雨水检查井盖（井座）拆除，拆除后建筑垃圾清理外运</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2、拆除井座后周边修补，调平（局部升降），施工后满足新井盖安装要求，井周边类道路铺装拆除恢复</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3、钢纤维井盖（座）安装，井盖上标注“污”，样式满足建设单位要求</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4、井盖规格：钢纤维井盖（座）安装，井盖尺寸大小报价综合考虑</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5、具体更换范围需经建设单位确认后方可实施</w:t>
            </w:r>
            <w:r>
              <w:rPr>
                <w:color w:val="auto"/>
              </w:rPr>
            </w:r>
            <w:r/>
          </w:p>
        </w:tc>
        <w:tc>
          <w:tcPr>
            <w:tcW w:w="519" w:type="dxa"/>
            <w:vAlign w:val="center"/>
            <w:textDirection w:val="lrTb"/>
            <w:noWrap/>
          </w:tcPr>
          <w:p>
            <w:pPr>
              <w:jc w:val="center"/>
              <w:rPr>
                <w:color w:val="auto"/>
                <w:sz w:val="18"/>
                <w:szCs w:val="18"/>
                <w:highlight w:val="none"/>
              </w:rPr>
            </w:pPr>
            <w:r>
              <w:rPr>
                <w:rFonts w:hint="eastAsia"/>
                <w:color w:val="auto"/>
                <w:sz w:val="18"/>
                <w:szCs w:val="18"/>
                <w:highlight w:val="none"/>
              </w:rPr>
              <w:t xml:space="preserve">座</w:t>
            </w:r>
            <w:r>
              <w:rPr>
                <w:color w:val="auto"/>
              </w:rPr>
            </w:r>
            <w:r/>
          </w:p>
        </w:tc>
        <w:tc>
          <w:tcPr>
            <w:tcW w:w="72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20</w:t>
            </w:r>
            <w:r>
              <w:rPr>
                <w:color w:val="auto"/>
              </w:rPr>
            </w:r>
            <w:r/>
          </w:p>
        </w:tc>
        <w:tc>
          <w:tcPr>
            <w:tcW w:w="876"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c>
          <w:tcPr>
            <w:tcW w:w="878"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r>
      <w:tr>
        <w:trPr>
          <w:trHeight w:val="321"/>
        </w:trPr>
        <w:tc>
          <w:tcPr>
            <w:gridSpan w:val="5"/>
            <w:tcW w:w="6768" w:type="dxa"/>
            <w:vAlign w:val="center"/>
            <w:textDirection w:val="lrTb"/>
            <w:noWrap/>
          </w:tcPr>
          <w:p>
            <w:pPr>
              <w:jc w:val="left"/>
              <w:rPr>
                <w:color w:val="auto"/>
                <w:sz w:val="18"/>
                <w:szCs w:val="18"/>
                <w:highlight w:val="none"/>
              </w:rPr>
            </w:pPr>
            <w:r>
              <w:rPr>
                <w:rFonts w:hint="eastAsia"/>
                <w:b/>
                <w:bCs/>
                <w:color w:val="auto"/>
                <w:sz w:val="20"/>
                <w:szCs w:val="20"/>
                <w:highlight w:val="none"/>
              </w:rPr>
              <w:t xml:space="preserve">雨水管网疏通</w:t>
            </w:r>
            <w:r>
              <w:rPr>
                <w:color w:val="auto"/>
              </w:rPr>
            </w:r>
            <w:r/>
          </w:p>
        </w:tc>
        <w:tc>
          <w:tcPr>
            <w:tcW w:w="876" w:type="dxa"/>
            <w:vAlign w:val="center"/>
            <w:textDirection w:val="lrTb"/>
            <w:noWrap/>
          </w:tcPr>
          <w:p>
            <w:pPr>
              <w:jc w:val="left"/>
              <w:rPr>
                <w:b/>
                <w:bCs/>
                <w:color w:val="auto"/>
                <w:sz w:val="20"/>
                <w:szCs w:val="20"/>
                <w:highlight w:val="none"/>
              </w:rPr>
            </w:pPr>
            <w:r>
              <w:rPr>
                <w:b/>
                <w:bCs/>
                <w:color w:val="auto"/>
                <w:sz w:val="20"/>
                <w:szCs w:val="20"/>
                <w:highlight w:val="none"/>
              </w:rPr>
            </w:r>
            <w:r>
              <w:rPr>
                <w:color w:val="auto"/>
              </w:rPr>
            </w:r>
            <w:r/>
          </w:p>
        </w:tc>
        <w:tc>
          <w:tcPr>
            <w:tcW w:w="878" w:type="dxa"/>
            <w:vAlign w:val="center"/>
            <w:textDirection w:val="lrTb"/>
            <w:noWrap/>
          </w:tcPr>
          <w:p>
            <w:pPr>
              <w:jc w:val="left"/>
              <w:rPr>
                <w:b/>
                <w:bCs/>
                <w:color w:val="auto"/>
                <w:sz w:val="20"/>
                <w:szCs w:val="20"/>
                <w:highlight w:val="none"/>
              </w:rPr>
            </w:pPr>
            <w:r>
              <w:rPr>
                <w:b/>
                <w:bCs/>
                <w:color w:val="auto"/>
                <w:sz w:val="20"/>
                <w:szCs w:val="20"/>
                <w:highlight w:val="none"/>
              </w:rPr>
            </w:r>
            <w:r>
              <w:rPr>
                <w:color w:val="auto"/>
              </w:rPr>
            </w:r>
            <w:r/>
          </w:p>
        </w:tc>
      </w:tr>
      <w:tr>
        <w:trPr>
          <w:trHeight w:val="1760"/>
        </w:trPr>
        <w:tc>
          <w:tcPr>
            <w:tcW w:w="549" w:type="dxa"/>
            <w:vAlign w:val="center"/>
            <w:textDirection w:val="lrTb"/>
            <w:noWrap/>
          </w:tcPr>
          <w:p>
            <w:pPr>
              <w:jc w:val="center"/>
              <w:rPr>
                <w:rFonts w:eastAsia="宋体"/>
                <w:color w:val="auto"/>
                <w:sz w:val="18"/>
                <w:szCs w:val="18"/>
                <w:highlight w:val="none"/>
              </w:rPr>
            </w:pPr>
            <w:r>
              <w:rPr>
                <w:rFonts w:hint="eastAsia"/>
                <w:color w:val="auto"/>
                <w:sz w:val="18"/>
                <w:szCs w:val="18"/>
                <w:highlight w:val="none"/>
              </w:rPr>
              <w:t xml:space="preserve">6</w:t>
            </w:r>
            <w:r>
              <w:rPr>
                <w:color w:val="auto"/>
              </w:rPr>
            </w:r>
            <w:r/>
          </w:p>
        </w:tc>
        <w:tc>
          <w:tcPr>
            <w:tcW w:w="106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雨水管网清疏</w:t>
            </w:r>
            <w:r>
              <w:rPr>
                <w:color w:val="auto"/>
              </w:rPr>
            </w:r>
            <w:r/>
          </w:p>
        </w:tc>
        <w:tc>
          <w:tcPr>
            <w:tcW w:w="3904" w:type="dxa"/>
            <w:vAlign w:val="center"/>
            <w:textDirection w:val="lrTb"/>
            <w:noWrap/>
          </w:tcPr>
          <w:p>
            <w:pPr>
              <w:jc w:val="left"/>
              <w:spacing w:line="220" w:lineRule="exact"/>
              <w:rPr>
                <w:color w:val="auto"/>
                <w:sz w:val="18"/>
                <w:szCs w:val="18"/>
                <w:highlight w:val="none"/>
              </w:rPr>
            </w:pPr>
            <w:r>
              <w:rPr>
                <w:rFonts w:hint="eastAsia"/>
                <w:color w:val="auto"/>
                <w:sz w:val="18"/>
                <w:szCs w:val="18"/>
                <w:highlight w:val="none"/>
              </w:rPr>
              <w:t xml:space="preserve">1、雨水管网清淤、疏浚养护，包含管道疏通、管内淤泥清掏；检查井、收水井清掏清理；井下作业安全检查（井盖启闭、井内通风、有害气体检测）；杂物与淤泥密闭装车外运，含场内转运及污泥无害化处置费；本清单所含全部工序、人工、机械、运输、环保处置费用均包含在综合单价中，本项目范围内不再发生工程变更及额外计价。</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2、清淤及疏通的施工方案及机械设备选用均由投标人自行考虑，结算时单价不调整</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3、疏通管径：投标人自行考虑</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4、按1年费用报价，一年须疏通两次</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5、清单工程量按主管网检查井中心累计长度计算，支管、支管雨水口的清疏费用在报价中考虑</w:t>
            </w:r>
            <w:r>
              <w:rPr>
                <w:color w:val="auto"/>
              </w:rPr>
            </w:r>
            <w:r/>
          </w:p>
        </w:tc>
        <w:tc>
          <w:tcPr>
            <w:tcW w:w="519" w:type="dxa"/>
            <w:vAlign w:val="center"/>
            <w:textDirection w:val="lrTb"/>
            <w:noWrap/>
          </w:tcPr>
          <w:p>
            <w:pPr>
              <w:jc w:val="center"/>
              <w:rPr>
                <w:rFonts w:eastAsia="宋体"/>
                <w:color w:val="auto"/>
                <w:sz w:val="18"/>
                <w:szCs w:val="18"/>
                <w:highlight w:val="none"/>
              </w:rPr>
            </w:pPr>
            <w:r>
              <w:rPr>
                <w:rFonts w:hint="eastAsia"/>
                <w:color w:val="auto"/>
                <w:sz w:val="18"/>
                <w:szCs w:val="18"/>
                <w:highlight w:val="none"/>
              </w:rPr>
              <w:t xml:space="preserve">m</w:t>
            </w:r>
            <w:r>
              <w:rPr>
                <w:color w:val="auto"/>
              </w:rPr>
            </w:r>
            <w:r/>
          </w:p>
        </w:tc>
        <w:tc>
          <w:tcPr>
            <w:tcW w:w="72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89360</w:t>
            </w:r>
            <w:r>
              <w:rPr>
                <w:color w:val="auto"/>
              </w:rPr>
            </w:r>
            <w:r/>
          </w:p>
        </w:tc>
        <w:tc>
          <w:tcPr>
            <w:tcW w:w="876"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c>
          <w:tcPr>
            <w:tcW w:w="878"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r>
      <w:tr>
        <w:trPr>
          <w:trHeight w:val="321"/>
        </w:trPr>
        <w:tc>
          <w:tcPr>
            <w:gridSpan w:val="5"/>
            <w:tcW w:w="6768" w:type="dxa"/>
            <w:vAlign w:val="center"/>
            <w:textDirection w:val="lrTb"/>
            <w:noWrap/>
          </w:tcPr>
          <w:p>
            <w:pPr>
              <w:jc w:val="left"/>
              <w:rPr>
                <w:b/>
                <w:bCs/>
                <w:color w:val="auto"/>
                <w:sz w:val="20"/>
                <w:szCs w:val="20"/>
                <w:highlight w:val="none"/>
              </w:rPr>
            </w:pPr>
            <w:r>
              <w:rPr>
                <w:rFonts w:hint="eastAsia"/>
                <w:b/>
                <w:bCs/>
                <w:color w:val="auto"/>
                <w:sz w:val="20"/>
                <w:szCs w:val="20"/>
                <w:highlight w:val="none"/>
              </w:rPr>
              <w:t xml:space="preserve">污水管网疏通</w:t>
            </w:r>
            <w:r>
              <w:rPr>
                <w:color w:val="auto"/>
              </w:rPr>
            </w:r>
            <w:r/>
          </w:p>
        </w:tc>
        <w:tc>
          <w:tcPr>
            <w:tcW w:w="876" w:type="dxa"/>
            <w:vAlign w:val="center"/>
            <w:textDirection w:val="lrTb"/>
            <w:noWrap/>
          </w:tcPr>
          <w:p>
            <w:pPr>
              <w:jc w:val="left"/>
              <w:rPr>
                <w:b/>
                <w:bCs/>
                <w:color w:val="auto"/>
                <w:sz w:val="20"/>
                <w:szCs w:val="20"/>
                <w:highlight w:val="none"/>
              </w:rPr>
            </w:pPr>
            <w:r>
              <w:rPr>
                <w:b/>
                <w:bCs/>
                <w:color w:val="auto"/>
                <w:sz w:val="20"/>
                <w:szCs w:val="20"/>
                <w:highlight w:val="none"/>
              </w:rPr>
            </w:r>
            <w:r>
              <w:rPr>
                <w:color w:val="auto"/>
              </w:rPr>
            </w:r>
            <w:r/>
          </w:p>
        </w:tc>
        <w:tc>
          <w:tcPr>
            <w:tcW w:w="878" w:type="dxa"/>
            <w:vAlign w:val="center"/>
            <w:textDirection w:val="lrTb"/>
            <w:noWrap/>
          </w:tcPr>
          <w:p>
            <w:pPr>
              <w:jc w:val="left"/>
              <w:rPr>
                <w:b/>
                <w:bCs/>
                <w:color w:val="auto"/>
                <w:sz w:val="20"/>
                <w:szCs w:val="20"/>
                <w:highlight w:val="none"/>
              </w:rPr>
            </w:pPr>
            <w:r>
              <w:rPr>
                <w:b/>
                <w:bCs/>
                <w:color w:val="auto"/>
                <w:sz w:val="20"/>
                <w:szCs w:val="20"/>
                <w:highlight w:val="none"/>
              </w:rPr>
            </w:r>
            <w:r>
              <w:rPr>
                <w:color w:val="auto"/>
              </w:rPr>
            </w:r>
            <w:r/>
          </w:p>
        </w:tc>
      </w:tr>
      <w:tr>
        <w:trPr>
          <w:trHeight w:val="1541"/>
        </w:trPr>
        <w:tc>
          <w:tcPr>
            <w:tcW w:w="549" w:type="dxa"/>
            <w:vAlign w:val="center"/>
            <w:textDirection w:val="lrTb"/>
            <w:noWrap/>
          </w:tcPr>
          <w:p>
            <w:pPr>
              <w:jc w:val="center"/>
              <w:rPr>
                <w:rFonts w:eastAsia="宋体"/>
                <w:color w:val="auto"/>
                <w:sz w:val="18"/>
                <w:szCs w:val="18"/>
                <w:highlight w:val="none"/>
              </w:rPr>
            </w:pPr>
            <w:r>
              <w:rPr>
                <w:rFonts w:hint="eastAsia"/>
                <w:color w:val="auto"/>
                <w:sz w:val="18"/>
                <w:szCs w:val="18"/>
                <w:highlight w:val="none"/>
              </w:rPr>
              <w:t xml:space="preserve">7</w:t>
            </w:r>
            <w:r>
              <w:rPr>
                <w:color w:val="auto"/>
              </w:rPr>
            </w:r>
            <w:r/>
          </w:p>
        </w:tc>
        <w:tc>
          <w:tcPr>
            <w:tcW w:w="106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污水管网清疏</w:t>
            </w:r>
            <w:r>
              <w:rPr>
                <w:color w:val="auto"/>
              </w:rPr>
            </w:r>
            <w:r/>
          </w:p>
        </w:tc>
        <w:tc>
          <w:tcPr>
            <w:tcW w:w="3904" w:type="dxa"/>
            <w:vAlign w:val="center"/>
            <w:textDirection w:val="lrTb"/>
            <w:noWrap/>
          </w:tcPr>
          <w:p>
            <w:pPr>
              <w:jc w:val="left"/>
              <w:spacing w:line="220" w:lineRule="exact"/>
              <w:rPr>
                <w:color w:val="auto"/>
                <w:sz w:val="18"/>
                <w:szCs w:val="18"/>
                <w:highlight w:val="none"/>
              </w:rPr>
            </w:pPr>
            <w:r>
              <w:rPr>
                <w:rFonts w:hint="eastAsia"/>
                <w:color w:val="auto"/>
                <w:sz w:val="18"/>
                <w:szCs w:val="18"/>
                <w:highlight w:val="none"/>
              </w:rPr>
              <w:t xml:space="preserve">1、污水管网清淤、疏浚养护，包含管道疏通、管内淤泥清掏、井室清掏清理、井下作业安全检查（井盖启闭、井内通风、有害气体检测）；杂物与淤泥密闭装车外运，含场内转运及污泥无害化处置费；本清单所含全部工序、人工、机械、运输、环保处置费用均包含在综合单价中，本项目范围内不再发生工程变更及额外计价。</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2、清淤及疏通的施工方案及机械设备选用均由投标人自行考虑，结算时单价不调整</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3、疏通管径φ315</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4、按1年费用报价，一年须疏通两次</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5、清单工程量按主管网检查井中心累计长度计算，支管的清疏费用在报价中考虑</w:t>
            </w:r>
            <w:r>
              <w:rPr>
                <w:color w:val="auto"/>
              </w:rPr>
            </w:r>
            <w:r/>
          </w:p>
        </w:tc>
        <w:tc>
          <w:tcPr>
            <w:tcW w:w="519" w:type="dxa"/>
            <w:vAlign w:val="center"/>
            <w:textDirection w:val="lrTb"/>
            <w:noWrap/>
          </w:tcPr>
          <w:p>
            <w:pPr>
              <w:jc w:val="center"/>
              <w:rPr>
                <w:color w:val="auto"/>
                <w:sz w:val="18"/>
                <w:szCs w:val="18"/>
                <w:highlight w:val="none"/>
              </w:rPr>
            </w:pPr>
            <w:r>
              <w:rPr>
                <w:rFonts w:hint="eastAsia"/>
                <w:color w:val="auto"/>
                <w:sz w:val="18"/>
                <w:szCs w:val="18"/>
                <w:highlight w:val="none"/>
              </w:rPr>
              <w:t xml:space="preserve">m</w:t>
            </w:r>
            <w:r>
              <w:rPr>
                <w:color w:val="auto"/>
              </w:rPr>
            </w:r>
            <w:r/>
          </w:p>
        </w:tc>
        <w:tc>
          <w:tcPr>
            <w:tcW w:w="72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1696</w:t>
            </w:r>
            <w:r>
              <w:rPr>
                <w:color w:val="auto"/>
              </w:rPr>
            </w:r>
            <w:r/>
          </w:p>
        </w:tc>
        <w:tc>
          <w:tcPr>
            <w:tcW w:w="876"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c>
          <w:tcPr>
            <w:tcW w:w="878"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r>
      <w:tr>
        <w:trPr>
          <w:trHeight w:val="1541"/>
        </w:trPr>
        <w:tc>
          <w:tcPr>
            <w:tcW w:w="549" w:type="dxa"/>
            <w:vAlign w:val="center"/>
            <w:textDirection w:val="lrTb"/>
            <w:noWrap/>
          </w:tcPr>
          <w:p>
            <w:pPr>
              <w:jc w:val="center"/>
              <w:rPr>
                <w:rFonts w:eastAsia="宋体"/>
                <w:color w:val="auto"/>
                <w:sz w:val="18"/>
                <w:szCs w:val="18"/>
                <w:highlight w:val="none"/>
              </w:rPr>
            </w:pPr>
            <w:r>
              <w:rPr>
                <w:rFonts w:hint="eastAsia"/>
                <w:color w:val="auto"/>
                <w:sz w:val="18"/>
                <w:szCs w:val="18"/>
                <w:highlight w:val="none"/>
              </w:rPr>
              <w:t xml:space="preserve">8</w:t>
            </w:r>
            <w:r>
              <w:rPr>
                <w:color w:val="auto"/>
              </w:rPr>
            </w:r>
            <w:r/>
          </w:p>
        </w:tc>
        <w:tc>
          <w:tcPr>
            <w:tcW w:w="106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污水管网清疏</w:t>
            </w:r>
            <w:r>
              <w:rPr>
                <w:color w:val="auto"/>
              </w:rPr>
            </w:r>
            <w:r/>
          </w:p>
        </w:tc>
        <w:tc>
          <w:tcPr>
            <w:tcW w:w="3904" w:type="dxa"/>
            <w:vAlign w:val="center"/>
            <w:textDirection w:val="lrTb"/>
            <w:noWrap/>
          </w:tcPr>
          <w:p>
            <w:pPr>
              <w:jc w:val="left"/>
              <w:spacing w:line="220" w:lineRule="exact"/>
              <w:rPr>
                <w:color w:val="auto"/>
                <w:sz w:val="18"/>
                <w:szCs w:val="18"/>
                <w:highlight w:val="none"/>
              </w:rPr>
            </w:pPr>
            <w:r>
              <w:rPr>
                <w:rFonts w:hint="eastAsia"/>
                <w:color w:val="auto"/>
                <w:sz w:val="18"/>
                <w:szCs w:val="18"/>
                <w:highlight w:val="none"/>
              </w:rPr>
              <w:t xml:space="preserve">1、污水管网清淤、疏浚养护，包含管道疏通、管内淤泥清掏、井室清掏清理、井下作业安全检查（井盖启闭、井内通风、有害气体检测）；杂物与淤泥密闭装车外运，含场内转运及污泥无害化处置费；本清单所含全部工序、人工、机械、运输、环保处置费用均包含在综合单价中，本项目范围内不再发生工程变更及额外计价。</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2、清淤及疏通的施工方案及机械设备选用均由投标人自行考虑，结算时单价不调整</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3、疏通管径φ400</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4、按1年费用报价，一年须疏通两次</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5、清单工程量按主管网检查井中心累计长度计算，支管的清疏费用在报价中考虑</w:t>
            </w:r>
            <w:r>
              <w:rPr>
                <w:color w:val="auto"/>
              </w:rPr>
            </w:r>
            <w:r/>
          </w:p>
        </w:tc>
        <w:tc>
          <w:tcPr>
            <w:tcW w:w="519" w:type="dxa"/>
            <w:vAlign w:val="center"/>
            <w:textDirection w:val="lrTb"/>
            <w:noWrap/>
          </w:tcPr>
          <w:p>
            <w:pPr>
              <w:jc w:val="center"/>
              <w:rPr>
                <w:color w:val="auto"/>
                <w:sz w:val="18"/>
                <w:szCs w:val="18"/>
                <w:highlight w:val="none"/>
              </w:rPr>
            </w:pPr>
            <w:r>
              <w:rPr>
                <w:rFonts w:hint="eastAsia"/>
                <w:color w:val="auto"/>
                <w:sz w:val="18"/>
                <w:szCs w:val="18"/>
                <w:highlight w:val="none"/>
              </w:rPr>
              <w:t xml:space="preserve">m</w:t>
            </w:r>
            <w:r>
              <w:rPr>
                <w:color w:val="auto"/>
              </w:rPr>
            </w:r>
            <w:r/>
          </w:p>
        </w:tc>
        <w:tc>
          <w:tcPr>
            <w:tcW w:w="72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16533</w:t>
            </w:r>
            <w:r>
              <w:rPr>
                <w:color w:val="auto"/>
              </w:rPr>
            </w:r>
            <w:r/>
          </w:p>
        </w:tc>
        <w:tc>
          <w:tcPr>
            <w:tcW w:w="876"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c>
          <w:tcPr>
            <w:tcW w:w="878"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r>
      <w:tr>
        <w:trPr>
          <w:trHeight w:val="1541"/>
        </w:trPr>
        <w:tc>
          <w:tcPr>
            <w:tcW w:w="549" w:type="dxa"/>
            <w:vAlign w:val="center"/>
            <w:textDirection w:val="lrTb"/>
            <w:noWrap/>
          </w:tcPr>
          <w:p>
            <w:pPr>
              <w:jc w:val="center"/>
              <w:rPr>
                <w:rFonts w:eastAsia="宋体"/>
                <w:color w:val="auto"/>
                <w:sz w:val="18"/>
                <w:szCs w:val="18"/>
                <w:highlight w:val="none"/>
              </w:rPr>
            </w:pPr>
            <w:r>
              <w:rPr>
                <w:rFonts w:hint="eastAsia"/>
                <w:color w:val="auto"/>
                <w:sz w:val="18"/>
                <w:szCs w:val="18"/>
                <w:highlight w:val="none"/>
              </w:rPr>
              <w:t xml:space="preserve">9</w:t>
            </w:r>
            <w:r>
              <w:rPr>
                <w:color w:val="auto"/>
              </w:rPr>
            </w:r>
            <w:r/>
          </w:p>
        </w:tc>
        <w:tc>
          <w:tcPr>
            <w:tcW w:w="106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污水管网清疏</w:t>
            </w:r>
            <w:r>
              <w:rPr>
                <w:color w:val="auto"/>
              </w:rPr>
            </w:r>
            <w:r/>
          </w:p>
        </w:tc>
        <w:tc>
          <w:tcPr>
            <w:tcW w:w="3904" w:type="dxa"/>
            <w:vAlign w:val="center"/>
            <w:textDirection w:val="lrTb"/>
            <w:noWrap/>
          </w:tcPr>
          <w:p>
            <w:pPr>
              <w:jc w:val="left"/>
              <w:spacing w:line="220" w:lineRule="exact"/>
              <w:rPr>
                <w:color w:val="auto"/>
                <w:sz w:val="18"/>
                <w:szCs w:val="18"/>
                <w:highlight w:val="none"/>
              </w:rPr>
            </w:pPr>
            <w:r>
              <w:rPr>
                <w:rFonts w:hint="eastAsia"/>
                <w:color w:val="auto"/>
                <w:sz w:val="18"/>
                <w:szCs w:val="18"/>
                <w:highlight w:val="none"/>
              </w:rPr>
              <w:t xml:space="preserve">1、污水管网清淤、疏浚养护，包含管道疏通、管内淤泥清掏、井室清掏清理、井下作业安全检查（井盖启闭、井内通风、有害气体检测）；杂物与淤泥密闭装车外运，含场内转运及污泥无害化处置费；本清单所含全部工序、人工、机械、运输、环保处置费用均包含在综合单价中，本项目范围内不再发生工程变更及额外计价。</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2、清淤及疏通的施工方案及机械设备选用均由投标人自行考虑，结算时单价不调整</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3、疏通管径φ500</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4、按1年费用报价，一年须疏通两次</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5、清单工程量按主管网检查井中心累计长度计算，支管的清疏费用在报价中考虑</w:t>
            </w:r>
            <w:r>
              <w:rPr>
                <w:color w:val="auto"/>
              </w:rPr>
            </w:r>
            <w:r/>
          </w:p>
        </w:tc>
        <w:tc>
          <w:tcPr>
            <w:tcW w:w="519" w:type="dxa"/>
            <w:vAlign w:val="center"/>
            <w:textDirection w:val="lrTb"/>
            <w:noWrap/>
          </w:tcPr>
          <w:p>
            <w:pPr>
              <w:jc w:val="center"/>
              <w:rPr>
                <w:color w:val="auto"/>
                <w:sz w:val="18"/>
                <w:szCs w:val="18"/>
                <w:highlight w:val="none"/>
              </w:rPr>
            </w:pPr>
            <w:r>
              <w:rPr>
                <w:rFonts w:hint="eastAsia"/>
                <w:color w:val="auto"/>
                <w:sz w:val="18"/>
                <w:szCs w:val="18"/>
                <w:highlight w:val="none"/>
              </w:rPr>
              <w:t xml:space="preserve">m</w:t>
            </w:r>
            <w:r>
              <w:rPr>
                <w:color w:val="auto"/>
              </w:rPr>
            </w:r>
            <w:r/>
          </w:p>
        </w:tc>
        <w:tc>
          <w:tcPr>
            <w:tcW w:w="72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9085</w:t>
            </w:r>
            <w:r>
              <w:rPr>
                <w:color w:val="auto"/>
              </w:rPr>
            </w:r>
            <w:r/>
          </w:p>
        </w:tc>
        <w:tc>
          <w:tcPr>
            <w:tcW w:w="876"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c>
          <w:tcPr>
            <w:tcW w:w="878"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r>
      <w:tr>
        <w:trPr>
          <w:trHeight w:val="1322"/>
        </w:trPr>
        <w:tc>
          <w:tcPr>
            <w:tcW w:w="549" w:type="dxa"/>
            <w:vAlign w:val="center"/>
            <w:textDirection w:val="lrTb"/>
            <w:noWrap/>
          </w:tcPr>
          <w:p>
            <w:pPr>
              <w:jc w:val="center"/>
              <w:rPr>
                <w:rFonts w:eastAsia="宋体"/>
                <w:color w:val="auto"/>
                <w:sz w:val="18"/>
                <w:szCs w:val="18"/>
                <w:highlight w:val="none"/>
              </w:rPr>
            </w:pPr>
            <w:r>
              <w:rPr>
                <w:rFonts w:hint="eastAsia"/>
                <w:color w:val="auto"/>
                <w:sz w:val="18"/>
                <w:szCs w:val="18"/>
                <w:highlight w:val="none"/>
              </w:rPr>
              <w:t xml:space="preserve">10</w:t>
            </w:r>
            <w:r>
              <w:rPr>
                <w:color w:val="auto"/>
              </w:rPr>
            </w:r>
            <w:r/>
          </w:p>
        </w:tc>
        <w:tc>
          <w:tcPr>
            <w:tcW w:w="106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污水管网清疏</w:t>
            </w:r>
            <w:r>
              <w:rPr>
                <w:color w:val="auto"/>
              </w:rPr>
            </w:r>
            <w:r/>
          </w:p>
        </w:tc>
        <w:tc>
          <w:tcPr>
            <w:tcW w:w="3904" w:type="dxa"/>
            <w:vAlign w:val="center"/>
            <w:textDirection w:val="lrTb"/>
            <w:noWrap/>
          </w:tcPr>
          <w:p>
            <w:pPr>
              <w:jc w:val="left"/>
              <w:spacing w:line="220" w:lineRule="exact"/>
              <w:rPr>
                <w:color w:val="auto"/>
                <w:sz w:val="18"/>
                <w:szCs w:val="18"/>
                <w:highlight w:val="none"/>
              </w:rPr>
            </w:pPr>
            <w:r>
              <w:rPr>
                <w:rFonts w:hint="eastAsia"/>
                <w:color w:val="auto"/>
                <w:sz w:val="18"/>
                <w:szCs w:val="18"/>
                <w:highlight w:val="none"/>
              </w:rPr>
              <w:t xml:space="preserve">1、污水管网清淤、疏浚养护，包含管道疏通、管内淤泥清掏、井室清掏清理、井下作业安全检查（井盖启闭、井内通风、有害气体检测）；杂物与淤泥密闭装车外运，含场内转运及污泥无害化处置费；本清单所含全部工序、人工、机械、运输、环保处置费用均包含在综合单价中，本项目范围内不再发生工程变更及额外计价。</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2、清淤及疏通的施工方案及机械设备选用均由投标人自行考虑，结算时单价不调整</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3、疏通管径φ600</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4、按1年费用报价，一年须疏通两次</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5、清单工程量按主管网检查井中心累计长度计算，支管的清疏费用在报价中考虑</w:t>
            </w:r>
            <w:r>
              <w:rPr>
                <w:color w:val="auto"/>
              </w:rPr>
            </w:r>
            <w:r/>
          </w:p>
        </w:tc>
        <w:tc>
          <w:tcPr>
            <w:tcW w:w="519" w:type="dxa"/>
            <w:vAlign w:val="center"/>
            <w:textDirection w:val="lrTb"/>
            <w:noWrap/>
          </w:tcPr>
          <w:p>
            <w:pPr>
              <w:jc w:val="center"/>
              <w:rPr>
                <w:color w:val="auto"/>
                <w:sz w:val="18"/>
                <w:szCs w:val="18"/>
                <w:highlight w:val="none"/>
              </w:rPr>
            </w:pPr>
            <w:r>
              <w:rPr>
                <w:rFonts w:hint="eastAsia"/>
                <w:color w:val="auto"/>
                <w:sz w:val="18"/>
                <w:szCs w:val="18"/>
                <w:highlight w:val="none"/>
              </w:rPr>
              <w:t xml:space="preserve">m</w:t>
            </w:r>
            <w:r>
              <w:rPr>
                <w:color w:val="auto"/>
              </w:rPr>
            </w:r>
            <w:r/>
          </w:p>
        </w:tc>
        <w:tc>
          <w:tcPr>
            <w:tcW w:w="72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14586</w:t>
            </w:r>
            <w:r>
              <w:rPr>
                <w:color w:val="auto"/>
              </w:rPr>
            </w:r>
            <w:r/>
          </w:p>
        </w:tc>
        <w:tc>
          <w:tcPr>
            <w:tcW w:w="876"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c>
          <w:tcPr>
            <w:tcW w:w="878"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r>
      <w:tr>
        <w:trPr>
          <w:trHeight w:val="1541"/>
        </w:trPr>
        <w:tc>
          <w:tcPr>
            <w:tcW w:w="549" w:type="dxa"/>
            <w:vAlign w:val="center"/>
            <w:textDirection w:val="lrTb"/>
            <w:noWrap/>
          </w:tcPr>
          <w:p>
            <w:pPr>
              <w:jc w:val="center"/>
              <w:rPr>
                <w:rFonts w:eastAsia="宋体"/>
                <w:color w:val="auto"/>
                <w:sz w:val="18"/>
                <w:szCs w:val="18"/>
                <w:highlight w:val="none"/>
              </w:rPr>
            </w:pPr>
            <w:r>
              <w:rPr>
                <w:rFonts w:hint="eastAsia"/>
                <w:color w:val="auto"/>
                <w:sz w:val="18"/>
                <w:szCs w:val="18"/>
                <w:highlight w:val="none"/>
              </w:rPr>
              <w:t xml:space="preserve">11</w:t>
            </w:r>
            <w:r>
              <w:rPr>
                <w:color w:val="auto"/>
              </w:rPr>
            </w:r>
            <w:r/>
          </w:p>
        </w:tc>
        <w:tc>
          <w:tcPr>
            <w:tcW w:w="106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污水管网清疏</w:t>
            </w:r>
            <w:r>
              <w:rPr>
                <w:color w:val="auto"/>
              </w:rPr>
            </w:r>
            <w:r/>
          </w:p>
        </w:tc>
        <w:tc>
          <w:tcPr>
            <w:tcW w:w="3904" w:type="dxa"/>
            <w:vAlign w:val="center"/>
            <w:textDirection w:val="lrTb"/>
            <w:noWrap/>
          </w:tcPr>
          <w:p>
            <w:pPr>
              <w:jc w:val="left"/>
              <w:spacing w:line="220" w:lineRule="exact"/>
              <w:rPr>
                <w:color w:val="auto"/>
                <w:sz w:val="18"/>
                <w:szCs w:val="18"/>
                <w:highlight w:val="none"/>
              </w:rPr>
            </w:pPr>
            <w:r>
              <w:rPr>
                <w:rFonts w:hint="eastAsia"/>
                <w:color w:val="auto"/>
                <w:sz w:val="18"/>
                <w:szCs w:val="18"/>
                <w:highlight w:val="none"/>
              </w:rPr>
              <w:t xml:space="preserve">1、污水管网清淤、疏浚养护，包含管道疏通、管内淤泥清掏、井室清掏清理、井下作业安全检查（井盖启闭、井内通风、有害气体检测）；杂物与淤泥密闭装车外运，含场内转运及污泥无害化处置费；本清单所含全部工序、人工、机械、运输、环保处置费用均包含在综合单价中，本项目范围内不再发生工程变更及额外计价。</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2、清淤及疏通的施工方案及机械设备选用均由投标人自行考虑，结算时单价不调整</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3、疏通管径φ800</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4、按1年费用报价，一年须疏通两次</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5、清单工程量按主管网检查井中心累计长度计算，支管的清疏费用在报价中考虑</w:t>
            </w:r>
            <w:r>
              <w:rPr>
                <w:color w:val="auto"/>
              </w:rPr>
            </w:r>
            <w:r/>
          </w:p>
        </w:tc>
        <w:tc>
          <w:tcPr>
            <w:tcW w:w="519" w:type="dxa"/>
            <w:vAlign w:val="center"/>
            <w:textDirection w:val="lrTb"/>
            <w:noWrap/>
          </w:tcPr>
          <w:p>
            <w:pPr>
              <w:jc w:val="center"/>
              <w:rPr>
                <w:color w:val="auto"/>
                <w:sz w:val="18"/>
                <w:szCs w:val="18"/>
                <w:highlight w:val="none"/>
              </w:rPr>
            </w:pPr>
            <w:r>
              <w:rPr>
                <w:rFonts w:hint="eastAsia"/>
                <w:color w:val="auto"/>
                <w:sz w:val="18"/>
                <w:szCs w:val="18"/>
                <w:highlight w:val="none"/>
              </w:rPr>
              <w:t xml:space="preserve">m</w:t>
            </w:r>
            <w:r>
              <w:rPr>
                <w:color w:val="auto"/>
              </w:rPr>
            </w:r>
            <w:r/>
          </w:p>
        </w:tc>
        <w:tc>
          <w:tcPr>
            <w:tcW w:w="72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2573</w:t>
            </w:r>
            <w:r>
              <w:rPr>
                <w:color w:val="auto"/>
              </w:rPr>
            </w:r>
            <w:r/>
          </w:p>
        </w:tc>
        <w:tc>
          <w:tcPr>
            <w:tcW w:w="876"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c>
          <w:tcPr>
            <w:tcW w:w="878"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r>
      <w:tr>
        <w:trPr>
          <w:trHeight w:val="1541"/>
        </w:trPr>
        <w:tc>
          <w:tcPr>
            <w:tcW w:w="549" w:type="dxa"/>
            <w:vAlign w:val="center"/>
            <w:textDirection w:val="lrTb"/>
            <w:noWrap/>
          </w:tcPr>
          <w:p>
            <w:pPr>
              <w:jc w:val="center"/>
              <w:rPr>
                <w:color w:val="auto"/>
                <w:sz w:val="18"/>
                <w:szCs w:val="18"/>
                <w:highlight w:val="none"/>
              </w:rPr>
            </w:pPr>
            <w:r>
              <w:rPr>
                <w:rFonts w:hint="eastAsia"/>
                <w:color w:val="auto"/>
                <w:sz w:val="18"/>
                <w:szCs w:val="18"/>
                <w:highlight w:val="none"/>
              </w:rPr>
              <w:t xml:space="preserve">12</w:t>
            </w:r>
            <w:r>
              <w:rPr>
                <w:color w:val="auto"/>
              </w:rPr>
            </w:r>
            <w:r/>
          </w:p>
        </w:tc>
        <w:tc>
          <w:tcPr>
            <w:tcW w:w="106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污水管网清疏</w:t>
            </w:r>
            <w:r>
              <w:rPr>
                <w:color w:val="auto"/>
              </w:rPr>
            </w:r>
            <w:r/>
          </w:p>
        </w:tc>
        <w:tc>
          <w:tcPr>
            <w:tcW w:w="3904" w:type="dxa"/>
            <w:vAlign w:val="center"/>
            <w:textDirection w:val="lrTb"/>
            <w:noWrap/>
          </w:tcPr>
          <w:p>
            <w:pPr>
              <w:jc w:val="left"/>
              <w:spacing w:line="220" w:lineRule="exact"/>
              <w:rPr>
                <w:color w:val="auto"/>
                <w:sz w:val="18"/>
                <w:szCs w:val="18"/>
                <w:highlight w:val="none"/>
              </w:rPr>
            </w:pPr>
            <w:r>
              <w:rPr>
                <w:rFonts w:hint="eastAsia"/>
                <w:color w:val="auto"/>
                <w:sz w:val="18"/>
                <w:szCs w:val="18"/>
                <w:highlight w:val="none"/>
              </w:rPr>
              <w:t xml:space="preserve">1、污水管网清淤、疏浚养护，包含管道疏通、管内淤泥清掏、井室清掏清理、井下作业安全检查（井盖启闭、井内通风、有害气体检测）；杂物与淤泥密闭装车外运，含场内转运及污泥无害化处置费；本清单所含全部工序、人工、机械、运输、环保处置费用均包含在综合单价中，本项目范围内不再发生工程变更及额外计价。</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2、清淤及疏通的施工方案及机械设备选用均由投标人自行考虑，结算时单价不调整</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3、疏通管径φ1500</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4、按1年费用报价，一年须疏通两次</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5、清单工程量按主管网检查井中心累计长度计算，支管的清疏费用在报价中考虑</w:t>
            </w:r>
            <w:r>
              <w:rPr>
                <w:color w:val="auto"/>
              </w:rPr>
            </w:r>
            <w:r/>
          </w:p>
        </w:tc>
        <w:tc>
          <w:tcPr>
            <w:tcW w:w="519" w:type="dxa"/>
            <w:vAlign w:val="center"/>
            <w:textDirection w:val="lrTb"/>
            <w:noWrap/>
          </w:tcPr>
          <w:p>
            <w:pPr>
              <w:jc w:val="center"/>
              <w:rPr>
                <w:color w:val="auto"/>
                <w:sz w:val="18"/>
                <w:szCs w:val="18"/>
                <w:highlight w:val="none"/>
              </w:rPr>
            </w:pPr>
            <w:r>
              <w:rPr>
                <w:rFonts w:hint="eastAsia"/>
                <w:color w:val="auto"/>
                <w:sz w:val="18"/>
                <w:szCs w:val="18"/>
                <w:highlight w:val="none"/>
              </w:rPr>
              <w:t xml:space="preserve">m</w:t>
            </w:r>
            <w:r>
              <w:rPr>
                <w:color w:val="auto"/>
              </w:rPr>
            </w:r>
            <w:r/>
          </w:p>
        </w:tc>
        <w:tc>
          <w:tcPr>
            <w:tcW w:w="72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220</w:t>
            </w:r>
            <w:r>
              <w:rPr>
                <w:color w:val="auto"/>
              </w:rPr>
            </w:r>
            <w:r/>
          </w:p>
        </w:tc>
        <w:tc>
          <w:tcPr>
            <w:tcW w:w="876"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c>
          <w:tcPr>
            <w:tcW w:w="878"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r>
      <w:tr>
        <w:trPr>
          <w:trHeight w:val="1760"/>
        </w:trPr>
        <w:tc>
          <w:tcPr>
            <w:tcW w:w="549" w:type="dxa"/>
            <w:vAlign w:val="center"/>
            <w:textDirection w:val="lrTb"/>
            <w:noWrap/>
          </w:tcPr>
          <w:p>
            <w:pPr>
              <w:jc w:val="center"/>
              <w:rPr>
                <w:color w:val="auto"/>
                <w:sz w:val="18"/>
                <w:szCs w:val="18"/>
                <w:highlight w:val="none"/>
              </w:rPr>
            </w:pPr>
            <w:r>
              <w:rPr>
                <w:rFonts w:hint="eastAsia"/>
                <w:color w:val="auto"/>
                <w:sz w:val="18"/>
                <w:szCs w:val="18"/>
                <w:highlight w:val="none"/>
              </w:rPr>
              <w:t xml:space="preserve">13</w:t>
            </w:r>
            <w:r>
              <w:rPr>
                <w:color w:val="auto"/>
              </w:rPr>
            </w:r>
            <w:r/>
          </w:p>
        </w:tc>
        <w:tc>
          <w:tcPr>
            <w:tcW w:w="106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污水泵站维护</w:t>
            </w:r>
            <w:r>
              <w:rPr>
                <w:color w:val="auto"/>
              </w:rPr>
            </w:r>
            <w:r/>
          </w:p>
        </w:tc>
        <w:tc>
          <w:tcPr>
            <w:tcW w:w="3904" w:type="dxa"/>
            <w:vAlign w:val="center"/>
            <w:textDirection w:val="lrTb"/>
            <w:noWrap/>
          </w:tcPr>
          <w:p>
            <w:pPr>
              <w:jc w:val="left"/>
              <w:spacing w:line="220" w:lineRule="exact"/>
              <w:rPr>
                <w:color w:val="auto"/>
                <w:sz w:val="18"/>
                <w:szCs w:val="18"/>
                <w:highlight w:val="none"/>
              </w:rPr>
            </w:pPr>
            <w:r>
              <w:rPr>
                <w:rFonts w:hint="eastAsia"/>
                <w:color w:val="auto"/>
                <w:sz w:val="18"/>
                <w:szCs w:val="18"/>
                <w:highlight w:val="none"/>
              </w:rPr>
              <w:t xml:space="preserve">1、污水泵站管护，泵站运行、机电设备巡查、保养，汛期、暴雨预警天气实行24小时值班，建立台账</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2、对行政审批事项进行看护，及时发现、制止违法行为</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3、统一着装，服从招标人调度</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4、发现泵站设施损坏第一时间上报并做好警示标志</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5、防汛、抢险，含启闭机及时开启和关闭</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6、泵站保洁，日常垃圾清运，泵站清淤（含淤泥、垃圾外运处置）</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7、泵站设备每年开展1次全面保养维修，包含设备检修、润滑调试、故障排查、配件维护等，维保费用全部包含在年度服务费内</w:t>
            </w:r>
            <w:r>
              <w:rPr>
                <w:color w:val="auto"/>
              </w:rPr>
            </w:r>
            <w:r/>
          </w:p>
        </w:tc>
        <w:tc>
          <w:tcPr>
            <w:tcW w:w="519" w:type="dxa"/>
            <w:vAlign w:val="center"/>
            <w:textDirection w:val="lrTb"/>
            <w:noWrap/>
          </w:tcPr>
          <w:p>
            <w:pPr>
              <w:jc w:val="center"/>
              <w:rPr>
                <w:rFonts w:eastAsia="宋体"/>
                <w:color w:val="auto"/>
                <w:sz w:val="18"/>
                <w:szCs w:val="18"/>
                <w:highlight w:val="none"/>
              </w:rPr>
            </w:pPr>
            <w:r>
              <w:rPr>
                <w:rFonts w:eastAsia="宋体"/>
                <w:color w:val="auto"/>
                <w:sz w:val="18"/>
                <w:szCs w:val="18"/>
                <w:highlight w:val="none"/>
              </w:rPr>
              <w:t xml:space="preserve">座*年</w:t>
            </w:r>
            <w:r>
              <w:rPr>
                <w:color w:val="auto"/>
              </w:rPr>
            </w:r>
            <w:r/>
          </w:p>
        </w:tc>
        <w:tc>
          <w:tcPr>
            <w:tcW w:w="728" w:type="dxa"/>
            <w:vAlign w:val="center"/>
            <w:textDirection w:val="lrTb"/>
            <w:noWrap/>
          </w:tcPr>
          <w:p>
            <w:pPr>
              <w:jc w:val="center"/>
              <w:rPr>
                <w:rFonts w:eastAsia="宋体"/>
                <w:color w:val="auto"/>
                <w:sz w:val="18"/>
                <w:szCs w:val="18"/>
                <w:highlight w:val="none"/>
              </w:rPr>
            </w:pPr>
            <w:r>
              <w:rPr>
                <w:rFonts w:hint="eastAsia"/>
                <w:color w:val="auto"/>
                <w:sz w:val="18"/>
                <w:szCs w:val="18"/>
                <w:highlight w:val="none"/>
              </w:rPr>
              <w:t xml:space="preserve">2</w:t>
            </w:r>
            <w:r>
              <w:rPr>
                <w:color w:val="auto"/>
              </w:rPr>
            </w:r>
            <w:r/>
          </w:p>
        </w:tc>
        <w:tc>
          <w:tcPr>
            <w:tcW w:w="876"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c>
          <w:tcPr>
            <w:tcW w:w="878"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r>
      <w:tr>
        <w:trPr>
          <w:trHeight w:val="321"/>
        </w:trPr>
        <w:tc>
          <w:tcPr>
            <w:gridSpan w:val="5"/>
            <w:tcW w:w="6768" w:type="dxa"/>
            <w:vAlign w:val="center"/>
            <w:textDirection w:val="lrTb"/>
            <w:noWrap/>
          </w:tcPr>
          <w:p>
            <w:pPr>
              <w:jc w:val="left"/>
              <w:rPr>
                <w:color w:val="auto"/>
                <w:sz w:val="18"/>
                <w:szCs w:val="18"/>
                <w:highlight w:val="none"/>
              </w:rPr>
            </w:pPr>
            <w:r>
              <w:rPr>
                <w:rFonts w:hint="eastAsia"/>
                <w:b/>
                <w:bCs/>
                <w:color w:val="auto"/>
                <w:sz w:val="20"/>
                <w:szCs w:val="20"/>
                <w:highlight w:val="none"/>
              </w:rPr>
              <w:t xml:space="preserve">管道检测</w:t>
            </w:r>
            <w:r>
              <w:rPr>
                <w:color w:val="auto"/>
              </w:rPr>
            </w:r>
            <w:r/>
          </w:p>
        </w:tc>
        <w:tc>
          <w:tcPr>
            <w:tcW w:w="876" w:type="dxa"/>
            <w:vAlign w:val="center"/>
            <w:textDirection w:val="lrTb"/>
            <w:noWrap/>
          </w:tcPr>
          <w:p>
            <w:pPr>
              <w:jc w:val="left"/>
              <w:rPr>
                <w:b/>
                <w:bCs/>
                <w:color w:val="auto"/>
                <w:sz w:val="20"/>
                <w:szCs w:val="20"/>
                <w:highlight w:val="none"/>
              </w:rPr>
            </w:pPr>
            <w:r>
              <w:rPr>
                <w:b/>
                <w:bCs/>
                <w:color w:val="auto"/>
                <w:sz w:val="20"/>
                <w:szCs w:val="20"/>
                <w:highlight w:val="none"/>
              </w:rPr>
            </w:r>
            <w:r>
              <w:rPr>
                <w:color w:val="auto"/>
              </w:rPr>
            </w:r>
            <w:r/>
          </w:p>
        </w:tc>
        <w:tc>
          <w:tcPr>
            <w:tcW w:w="878" w:type="dxa"/>
            <w:vAlign w:val="center"/>
            <w:textDirection w:val="lrTb"/>
            <w:noWrap/>
          </w:tcPr>
          <w:p>
            <w:pPr>
              <w:jc w:val="left"/>
              <w:rPr>
                <w:b/>
                <w:bCs/>
                <w:color w:val="auto"/>
                <w:sz w:val="20"/>
                <w:szCs w:val="20"/>
                <w:highlight w:val="none"/>
              </w:rPr>
            </w:pPr>
            <w:r>
              <w:rPr>
                <w:b/>
                <w:bCs/>
                <w:color w:val="auto"/>
                <w:sz w:val="20"/>
                <w:szCs w:val="20"/>
                <w:highlight w:val="none"/>
              </w:rPr>
            </w:r>
            <w:r>
              <w:rPr>
                <w:color w:val="auto"/>
              </w:rPr>
            </w:r>
            <w:r/>
          </w:p>
        </w:tc>
      </w:tr>
      <w:tr>
        <w:trPr>
          <w:trHeight w:val="895"/>
        </w:trPr>
        <w:tc>
          <w:tcPr>
            <w:tcW w:w="549" w:type="dxa"/>
            <w:vAlign w:val="center"/>
            <w:textDirection w:val="lrTb"/>
            <w:noWrap/>
          </w:tcPr>
          <w:p>
            <w:pPr>
              <w:jc w:val="center"/>
              <w:rPr>
                <w:color w:val="auto"/>
                <w:sz w:val="18"/>
                <w:szCs w:val="18"/>
                <w:highlight w:val="none"/>
              </w:rPr>
            </w:pPr>
            <w:r>
              <w:rPr>
                <w:rFonts w:hint="eastAsia"/>
                <w:color w:val="auto"/>
                <w:sz w:val="18"/>
                <w:szCs w:val="18"/>
                <w:highlight w:val="none"/>
              </w:rPr>
              <w:t xml:space="preserve">14</w:t>
            </w:r>
            <w:r>
              <w:rPr>
                <w:color w:val="auto"/>
              </w:rPr>
            </w:r>
            <w:r/>
          </w:p>
        </w:tc>
        <w:tc>
          <w:tcPr>
            <w:tcW w:w="106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CCTV管道检测</w:t>
            </w:r>
            <w:r>
              <w:rPr>
                <w:color w:val="auto"/>
              </w:rPr>
            </w:r>
            <w:r/>
          </w:p>
        </w:tc>
        <w:tc>
          <w:tcPr>
            <w:tcW w:w="3904" w:type="dxa"/>
            <w:vAlign w:val="center"/>
            <w:textDirection w:val="lrTb"/>
            <w:noWrap/>
          </w:tcPr>
          <w:p>
            <w:pPr>
              <w:jc w:val="left"/>
              <w:spacing w:line="220" w:lineRule="exact"/>
              <w:rPr>
                <w:color w:val="auto"/>
                <w:sz w:val="18"/>
                <w:szCs w:val="18"/>
                <w:highlight w:val="none"/>
              </w:rPr>
            </w:pPr>
            <w:r>
              <w:rPr>
                <w:rFonts w:hint="eastAsia"/>
                <w:color w:val="auto"/>
                <w:sz w:val="18"/>
                <w:szCs w:val="18"/>
                <w:highlight w:val="none"/>
              </w:rPr>
              <w:t xml:space="preserve">1、CCTV检测</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2、至少检测一次（含检测报告、管线示意图、污水溯源、影像资料等）</w:t>
            </w:r>
            <w:r>
              <w:rPr>
                <w:color w:val="auto"/>
              </w:rPr>
            </w:r>
            <w:r/>
          </w:p>
          <w:p>
            <w:pPr>
              <w:jc w:val="left"/>
              <w:spacing w:line="220" w:lineRule="exact"/>
              <w:rPr>
                <w:color w:val="auto"/>
                <w:sz w:val="18"/>
                <w:szCs w:val="18"/>
                <w:highlight w:val="none"/>
              </w:rPr>
            </w:pPr>
            <w:r>
              <w:rPr>
                <w:rFonts w:hint="eastAsia"/>
                <w:color w:val="auto"/>
                <w:sz w:val="18"/>
                <w:szCs w:val="18"/>
                <w:highlight w:val="none"/>
              </w:rPr>
              <w:t xml:space="preserve">3、检测施工期间，每周向甲方报送当日机器人施工视频，视频需包含作业坐标、时间、施工进度，确保作业可追溯；发现重大管网异常立即上报甲方，配合现场核查处置</w:t>
            </w:r>
            <w:r>
              <w:rPr>
                <w:color w:val="auto"/>
              </w:rPr>
            </w:r>
            <w:r/>
          </w:p>
        </w:tc>
        <w:tc>
          <w:tcPr>
            <w:tcW w:w="519" w:type="dxa"/>
            <w:vAlign w:val="center"/>
            <w:textDirection w:val="lrTb"/>
            <w:noWrap/>
          </w:tcPr>
          <w:p>
            <w:pPr>
              <w:jc w:val="center"/>
              <w:rPr>
                <w:color w:val="auto"/>
                <w:sz w:val="18"/>
                <w:szCs w:val="18"/>
                <w:highlight w:val="none"/>
              </w:rPr>
            </w:pPr>
            <w:r>
              <w:rPr>
                <w:rFonts w:hint="eastAsia"/>
                <w:color w:val="auto"/>
                <w:sz w:val="18"/>
                <w:szCs w:val="18"/>
                <w:highlight w:val="none"/>
              </w:rPr>
              <w:t xml:space="preserve">m</w:t>
            </w:r>
            <w:r>
              <w:rPr>
                <w:color w:val="auto"/>
              </w:rPr>
            </w:r>
            <w:r/>
          </w:p>
        </w:tc>
        <w:tc>
          <w:tcPr>
            <w:tcW w:w="728" w:type="dxa"/>
            <w:vAlign w:val="center"/>
            <w:textDirection w:val="lrTb"/>
            <w:noWrap/>
          </w:tcPr>
          <w:p>
            <w:pPr>
              <w:jc w:val="center"/>
              <w:rPr>
                <w:color w:val="auto"/>
                <w:sz w:val="18"/>
                <w:szCs w:val="18"/>
                <w:highlight w:val="none"/>
              </w:rPr>
            </w:pPr>
            <w:r>
              <w:rPr>
                <w:rFonts w:hint="eastAsia"/>
                <w:color w:val="auto"/>
                <w:sz w:val="18"/>
                <w:szCs w:val="18"/>
                <w:highlight w:val="none"/>
              </w:rPr>
              <w:t xml:space="preserve">44693</w:t>
            </w:r>
            <w:r>
              <w:rPr>
                <w:color w:val="auto"/>
              </w:rPr>
            </w:r>
            <w:r/>
          </w:p>
        </w:tc>
        <w:tc>
          <w:tcPr>
            <w:tcW w:w="876"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c>
          <w:tcPr>
            <w:tcW w:w="878" w:type="dxa"/>
            <w:vAlign w:val="center"/>
            <w:textDirection w:val="lrTb"/>
            <w:noWrap/>
          </w:tcPr>
          <w:p>
            <w:pPr>
              <w:jc w:val="center"/>
              <w:rPr>
                <w:color w:val="auto"/>
                <w:sz w:val="18"/>
                <w:szCs w:val="18"/>
                <w:highlight w:val="none"/>
              </w:rPr>
            </w:pPr>
            <w:r>
              <w:rPr>
                <w:color w:val="auto"/>
                <w:sz w:val="18"/>
                <w:szCs w:val="18"/>
                <w:highlight w:val="none"/>
              </w:rPr>
            </w:r>
            <w:r>
              <w:rPr>
                <w:color w:val="auto"/>
              </w:rPr>
            </w:r>
            <w:r/>
          </w:p>
        </w:tc>
      </w:tr>
    </w:tbl>
    <w:p>
      <w:pPr>
        <w:rPr>
          <w:color w:val="auto"/>
          <w:highlight w:val="none"/>
        </w:rPr>
      </w:pPr>
      <w:r>
        <w:rPr>
          <w:rFonts w:hint="eastAsia"/>
          <w:color w:val="auto"/>
          <w:highlight w:val="none"/>
        </w:rPr>
        <w:t xml:space="preserve">备注： </w:t>
      </w:r>
      <w:r>
        <w:rPr>
          <w:color w:val="auto"/>
        </w:rPr>
      </w:r>
      <w:r/>
    </w:p>
    <w:p>
      <w:pPr>
        <w:jc w:val="left"/>
        <w:rPr>
          <w:color w:val="auto"/>
          <w:highlight w:val="none"/>
        </w:rPr>
      </w:pPr>
      <w:r>
        <w:rPr>
          <w:rFonts w:hint="eastAsia"/>
          <w:color w:val="auto"/>
          <w:highlight w:val="none"/>
        </w:rPr>
        <w:t xml:space="preserve">本项目投标报价及合同采用“固定单价”，包括：服务期限内完成服务工作所需的全部费用，包括但不限于：为实施并完成本项目所需的资料搜集、人工、材料及设备、排水管道清淤所产生的淤泥和垃圾处置费用、交通差旅、验收、管理费、利润、税金及其它一切费用，投标人充分考虑实际供货期间市场风险和国家政策性风险系数。结算以采购人确认的工程量为准，中标单价不变。</w:t>
      </w:r>
      <w:r>
        <w:rPr>
          <w:color w:val="auto"/>
        </w:rPr>
      </w:r>
      <w:r/>
    </w:p>
    <w:p>
      <w:pPr>
        <w:pStyle w:val="876"/>
        <w:spacing w:beforeAutospacing="0" w:afterAutospacing="0"/>
        <w:rPr>
          <w:rFonts w:cstheme="minorBidi"/>
          <w:color w:val="auto"/>
          <w:sz w:val="21"/>
          <w:highlight w:val="none"/>
        </w:rPr>
      </w:pPr>
      <w:r>
        <w:rPr>
          <w:rFonts w:hint="eastAsia" w:cstheme="minorBidi"/>
          <w:color w:val="auto"/>
          <w:sz w:val="21"/>
          <w:highlight w:val="none"/>
        </w:rPr>
        <w:t xml:space="preserve">投标人应根据招标要求并结合市场行情、自身综合实力、管理水平、充分考虑到项目实施期间各类市场风险等各项因素自主确定不低于成本价进行投标报价。 </w:t>
      </w:r>
      <w:r>
        <w:rPr>
          <w:color w:val="auto"/>
        </w:rPr>
      </w:r>
      <w:r/>
    </w:p>
    <w:p>
      <w:pPr>
        <w:pStyle w:val="865"/>
        <w:rPr>
          <w:color w:val="auto"/>
          <w:highlight w:val="none"/>
        </w:rPr>
      </w:pPr>
      <w:r>
        <w:rPr>
          <w:color w:val="auto"/>
          <w:highlight w:val="none"/>
        </w:rPr>
      </w:r>
      <w:r>
        <w:rPr>
          <w:color w:val="auto"/>
        </w:rPr>
      </w:r>
      <w:r/>
    </w:p>
    <w:p>
      <w:pPr>
        <w:pStyle w:val="865"/>
        <w:rPr>
          <w:color w:val="auto"/>
          <w:highlight w:val="none"/>
        </w:rPr>
      </w:pPr>
      <w:r>
        <w:rPr>
          <w:color w:val="auto"/>
          <w:highlight w:val="none"/>
        </w:rPr>
      </w:r>
      <w:r>
        <w:rPr>
          <w:color w:val="auto"/>
        </w:rPr>
      </w:r>
      <w:r/>
    </w:p>
    <w:p>
      <w:pPr>
        <w:pStyle w:val="865"/>
        <w:rPr>
          <w:color w:val="auto"/>
          <w:highlight w:val="none"/>
        </w:rPr>
      </w:pPr>
      <w:r>
        <w:rPr>
          <w:color w:val="auto"/>
          <w:highlight w:val="none"/>
        </w:rPr>
      </w:r>
      <w:r>
        <w:rPr>
          <w:color w:val="auto"/>
        </w:rPr>
      </w:r>
      <w:r/>
    </w:p>
    <w:p>
      <w:pPr>
        <w:pStyle w:val="865"/>
        <w:rPr>
          <w:color w:val="auto"/>
          <w:highlight w:val="none"/>
        </w:rPr>
      </w:pPr>
      <w:r>
        <w:rPr>
          <w:color w:val="auto"/>
          <w:highlight w:val="none"/>
        </w:rPr>
      </w:r>
      <w:r>
        <w:rPr>
          <w:color w:val="auto"/>
        </w:rPr>
      </w:r>
      <w:r/>
    </w:p>
    <w:p>
      <w:pPr>
        <w:pStyle w:val="865"/>
        <w:rPr>
          <w:color w:val="auto"/>
          <w:highlight w:val="none"/>
        </w:rPr>
      </w:pPr>
      <w:r>
        <w:rPr>
          <w:color w:val="auto"/>
          <w:highlight w:val="none"/>
        </w:rPr>
      </w:r>
      <w:r>
        <w:rPr>
          <w:color w:val="auto"/>
        </w:rPr>
      </w:r>
      <w:r/>
    </w:p>
    <w:p>
      <w:pPr>
        <w:pStyle w:val="865"/>
        <w:rPr>
          <w:color w:val="auto"/>
          <w:highlight w:val="none"/>
        </w:rPr>
      </w:pPr>
      <w:r>
        <w:rPr>
          <w:color w:val="auto"/>
          <w:highlight w:val="none"/>
        </w:rPr>
      </w:r>
      <w:r>
        <w:rPr>
          <w:color w:val="auto"/>
        </w:rPr>
      </w:r>
      <w:r/>
    </w:p>
    <w:p>
      <w:pPr>
        <w:pStyle w:val="865"/>
        <w:rPr>
          <w:color w:val="auto"/>
          <w:highlight w:val="none"/>
        </w:rPr>
      </w:pPr>
      <w:r>
        <w:rPr>
          <w:color w:val="auto"/>
          <w:highlight w:val="none"/>
        </w:rPr>
      </w:r>
      <w:r>
        <w:rPr>
          <w:color w:val="auto"/>
        </w:rPr>
      </w:r>
      <w:r/>
    </w:p>
    <w:p>
      <w:pPr>
        <w:jc w:val="center"/>
        <w:spacing w:before="50" w:after="50"/>
        <w:widowControl/>
        <w:rPr>
          <w:rFonts w:ascii="宋体" w:hAnsi="宋体" w:eastAsia="宋体" w:cs="宋体"/>
          <w:b/>
          <w:bCs/>
          <w:i/>
          <w:iCs/>
          <w:color w:val="auto"/>
          <w:sz w:val="32"/>
          <w:szCs w:val="32"/>
          <w:highlight w:val="none"/>
          <w:u w:val="singl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
          <w:bCs/>
          <w:i/>
          <w:iCs/>
          <w:color w:val="auto"/>
          <w:sz w:val="32"/>
          <w:szCs w:val="32"/>
          <w:highlight w:val="none"/>
          <w:u w:val="single"/>
        </w:rPr>
      </w:r>
      <w:r>
        <w:rPr>
          <w:color w:val="auto"/>
        </w:rPr>
      </w:r>
      <w:r/>
    </w:p>
    <w:p>
      <w:pPr>
        <w:jc w:val="center"/>
        <w:spacing w:before="50" w:after="50"/>
        <w:widowControl/>
        <w:rPr>
          <w:rFonts w:ascii="宋体" w:hAnsi="宋体" w:eastAsia="宋体" w:cs="宋体"/>
          <w:b/>
          <w:bCs/>
          <w:i/>
          <w:iCs/>
          <w:color w:val="auto"/>
          <w:sz w:val="24"/>
          <w:highlight w:val="none"/>
          <w:u w:val="single"/>
        </w:rPr>
      </w:pPr>
      <w:r>
        <w:rPr>
          <w:rFonts w:hint="eastAsia" w:ascii="宋体" w:hAnsi="宋体" w:eastAsia="宋体" w:cs="宋体"/>
          <w:b/>
          <w:bCs/>
          <w:i/>
          <w:iCs/>
          <w:color w:val="auto"/>
          <w:sz w:val="32"/>
          <w:szCs w:val="32"/>
          <w:highlight w:val="none"/>
          <w:u w:val="single"/>
        </w:rPr>
        <w:t xml:space="preserve">十五、技术解决方案、服务方案等</w:t>
      </w:r>
      <w:r>
        <w:rPr>
          <w:color w:val="auto"/>
        </w:rPr>
      </w:r>
      <w:r/>
    </w:p>
    <w:p>
      <w:pPr>
        <w:pStyle w:val="876"/>
        <w:jc w:val="both"/>
        <w:spacing w:beforeAutospacing="0" w:afterAutospacing="0"/>
        <w:tabs>
          <w:tab w:val="left" w:pos="2160" w:leader="none"/>
        </w:tabs>
        <w:rPr>
          <w:color w:val="auto"/>
          <w:highlight w:val="none"/>
        </w:rPr>
      </w:pPr>
      <w:r>
        <w:rPr>
          <w:color w:val="auto"/>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rPr>
          <w:color w:val="auto"/>
        </w:rPr>
      </w:r>
      <w:r/>
    </w:p>
    <w:p>
      <w:pPr>
        <w:spacing w:line="499" w:lineRule="atLeast"/>
        <w:widowControl/>
        <w:rPr>
          <w:rFonts w:ascii="宋体" w:hAnsi="宋体" w:eastAsia="宋体" w:cs="宋体"/>
          <w:b/>
          <w:bCs/>
          <w:i/>
          <w:iCs/>
          <w:color w:val="auto"/>
          <w:sz w:val="32"/>
          <w:szCs w:val="32"/>
          <w:highlight w:val="none"/>
          <w:u w:val="single"/>
        </w:rPr>
      </w:pPr>
      <w:r>
        <w:rPr>
          <w:rFonts w:ascii="宋体" w:hAnsi="宋体" w:eastAsia="宋体" w:cs="宋体"/>
          <w:b/>
          <w:bCs/>
          <w:i/>
          <w:iCs/>
          <w:color w:val="auto"/>
          <w:sz w:val="32"/>
          <w:szCs w:val="32"/>
          <w:highlight w:val="none"/>
          <w:u w:val="single"/>
        </w:rPr>
      </w:r>
      <w:r>
        <w:rPr>
          <w:color w:val="auto"/>
        </w:rPr>
      </w:r>
      <w:r/>
    </w:p>
    <w:p>
      <w:pPr>
        <w:shd w:val="nil" w:color="auto"/>
        <w:rPr>
          <w:rFonts w:ascii="宋体" w:hAnsi="宋体" w:eastAsia="宋体" w:cs="宋体"/>
          <w:b/>
          <w:bCs/>
          <w:i/>
          <w:color w:val="auto"/>
          <w:sz w:val="24"/>
          <w:szCs w:val="24"/>
          <w:highlight w:val="none"/>
          <w:u w:val="single"/>
        </w:rPr>
      </w:pPr>
      <w:r>
        <w:rPr>
          <w:rFonts w:hint="eastAsia" w:ascii="宋体" w:hAnsi="宋体" w:eastAsia="宋体" w:cs="宋体"/>
          <w:b/>
          <w:bCs/>
          <w:i/>
          <w:iCs/>
          <w:color w:val="auto"/>
          <w:sz w:val="32"/>
          <w:szCs w:val="32"/>
          <w:highlight w:val="none"/>
          <w:u w:val="single"/>
        </w:rPr>
        <w:br w:type="page" w:clear="all"/>
      </w:r>
      <w:r>
        <w:rPr>
          <w:color w:val="auto"/>
        </w:rPr>
      </w:r>
      <w:r/>
    </w:p>
    <w:p>
      <w:pPr>
        <w:ind w:firstLine="1600"/>
        <w:spacing w:line="499" w:lineRule="atLeast"/>
        <w:widowControl/>
        <w:rPr>
          <w:rFonts w:hint="eastAsia" w:ascii="宋体" w:hAnsi="宋体" w:eastAsia="宋体" w:cs="宋体"/>
          <w:b/>
          <w:bCs/>
          <w:i/>
          <w:iCs/>
          <w:color w:val="auto"/>
          <w:sz w:val="32"/>
          <w:szCs w:val="32"/>
          <w:highlight w:val="none"/>
          <w:u w:val="single"/>
        </w:rPr>
      </w:pPr>
      <w:r>
        <w:rPr>
          <w:rFonts w:hint="eastAsia" w:ascii="宋体" w:hAnsi="宋体" w:eastAsia="宋体" w:cs="宋体"/>
          <w:b/>
          <w:bCs/>
          <w:i/>
          <w:iCs/>
          <w:color w:val="auto"/>
          <w:sz w:val="32"/>
          <w:szCs w:val="32"/>
          <w:highlight w:val="none"/>
          <w:u w:val="single"/>
        </w:rPr>
        <w:t xml:space="preserve">十六、盐城市政府采购事前信用承诺书</w:t>
      </w:r>
      <w:r>
        <w:rPr>
          <w:color w:val="auto"/>
        </w:rPr>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rPr>
          <w:color w:val="auto"/>
        </w:rPr>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rPr>
          <w:color w:val="auto"/>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color w:val="auto"/>
        </w:rPr>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color w:val="auto"/>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rPr>
          <w:color w:val="auto"/>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rPr>
          <w:color w:val="auto"/>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color w:val="auto"/>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rPr>
          <w:color w:val="auto"/>
        </w:rPr>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color w:val="auto"/>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rPr>
          <w:color w:val="auto"/>
        </w:rPr>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rPr>
          <w:color w:val="auto"/>
        </w:rPr>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单位名称（加盖CA电子公章）：</w:t>
      </w:r>
      <w:r>
        <w:rPr>
          <w:color w:val="auto"/>
        </w:rPr>
      </w:r>
      <w:r/>
    </w:p>
    <w:p>
      <w:pPr>
        <w:jc w:val="center"/>
        <w:spacing w:line="499" w:lineRule="atLeast"/>
        <w:widowControl/>
        <w:rPr>
          <w:color w:val="auto"/>
          <w:highlight w:val="none"/>
        </w:rPr>
      </w:pPr>
      <w:r>
        <w:rPr>
          <w:rFonts w:hint="eastAsia" w:ascii="宋体" w:hAnsi="宋体" w:eastAsia="宋体" w:cs="宋体"/>
          <w:color w:val="auto"/>
          <w:sz w:val="24"/>
          <w:highlight w:val="none"/>
        </w:rPr>
        <w:t xml:space="preserve">                      年月日</w:t>
      </w:r>
      <w:bookmarkEnd w:id="31"/>
      <w:r>
        <w:rPr>
          <w:color w:val="auto"/>
        </w:rPr>
      </w:r>
      <w:bookmarkEnd w:id="48"/>
      <w:r>
        <w:rPr>
          <w:color w:val="auto"/>
        </w:rPr>
      </w:r>
      <w:bookmarkEnd w:id="93"/>
      <w:r>
        <w:rPr>
          <w:color w:val="auto"/>
        </w:rPr>
      </w:r>
      <w:bookmarkEnd w:id="94"/>
      <w:r>
        <w:rPr>
          <w:color w:val="auto"/>
        </w:rPr>
      </w:r>
      <w:bookmarkEnd w:id="95"/>
      <w:r>
        <w:rPr>
          <w:color w:val="auto"/>
        </w:rPr>
      </w:r>
      <w:bookmarkEnd w:id="98"/>
      <w:r>
        <w:rPr>
          <w:color w:val="auto"/>
        </w:rPr>
      </w:r>
      <w:bookmarkEnd w:id="99"/>
      <w:r>
        <w:rPr>
          <w:color w:val="auto"/>
        </w:rPr>
      </w:r>
      <w:bookmarkEnd w:id="100"/>
      <w:r>
        <w:rPr>
          <w:color w:val="auto"/>
        </w:rPr>
      </w:r>
      <w:bookmarkEnd w:id="101"/>
      <w:r>
        <w:rPr>
          <w:color w:val="auto"/>
        </w:rPr>
      </w:r>
      <w:bookmarkEnd w:id="102"/>
      <w:r>
        <w:rPr>
          <w:color w:val="auto"/>
        </w:rPr>
      </w:r>
      <w:bookmarkEnd w:id="103"/>
      <w:r>
        <w:rPr>
          <w:color w:val="auto"/>
        </w:rPr>
      </w:r>
      <w:bookmarkEnd w:id="104"/>
      <w:r>
        <w:rPr>
          <w:color w:val="auto"/>
        </w:rPr>
      </w:r>
      <w:bookmarkEnd w:id="105"/>
      <w:r>
        <w:rPr>
          <w:color w:val="auto"/>
        </w:rPr>
      </w:r>
      <w:bookmarkEnd w:id="106"/>
      <w:r>
        <w:rPr>
          <w:color w:val="auto"/>
        </w:rPr>
      </w:r>
      <w:bookmarkEnd w:id="107"/>
      <w:r>
        <w:rPr>
          <w:color w:val="auto"/>
        </w:rPr>
      </w:r>
      <w:bookmarkEnd w:id="108"/>
      <w:r>
        <w:rPr>
          <w:color w:val="auto"/>
        </w:rPr>
      </w:r>
      <w:bookmarkEnd w:id="109"/>
      <w:r>
        <w:rPr>
          <w:color w:val="auto"/>
        </w:rPr>
      </w:r>
      <w:bookmarkEnd w:id="110"/>
      <w:r>
        <w:rPr>
          <w:color w:val="auto"/>
        </w:rPr>
      </w:r>
      <w:bookmarkEnd w:id="115"/>
      <w:r>
        <w:rPr>
          <w:color w:val="auto"/>
        </w:rPr>
      </w:r>
      <w:bookmarkEnd w:id="116"/>
      <w:r>
        <w:rPr>
          <w:color w:val="auto"/>
        </w:rPr>
      </w:r>
      <w:bookmarkEnd w:id="117"/>
      <w:r>
        <w:rPr>
          <w:color w:val="auto"/>
        </w:rPr>
      </w:r>
      <w:bookmarkEnd w:id="122"/>
      <w:r>
        <w:rPr>
          <w:color w:val="auto"/>
        </w:rPr>
      </w:r>
      <w:bookmarkEnd w:id="123"/>
      <w:r>
        <w:rPr>
          <w:color w:val="auto"/>
        </w:rPr>
      </w:r>
      <w:bookmarkEnd w:id="130"/>
      <w:r>
        <w:rPr>
          <w:color w:val="auto"/>
        </w:rPr>
      </w:r>
      <w:bookmarkEnd w:id="177"/>
      <w:r>
        <w:rPr>
          <w:color w:val="auto"/>
        </w:rPr>
      </w:r>
      <w:bookmarkEnd w:id="180"/>
      <w:r>
        <w:rPr>
          <w:color w:val="auto"/>
        </w:rPr>
      </w:r>
      <w:bookmarkEnd w:id="184"/>
      <w:r>
        <w:rPr>
          <w:color w:val="auto"/>
        </w:rPr>
      </w:r>
      <w:bookmarkEnd w:id="185"/>
      <w:r>
        <w:rPr>
          <w:color w:val="auto"/>
        </w:rPr>
      </w:r>
      <w:bookmarkEnd w:id="187"/>
      <w:r>
        <w:rPr>
          <w:color w:val="auto"/>
        </w:rPr>
      </w:r>
      <w:bookmarkEnd w:id="188"/>
      <w:r>
        <w:rPr>
          <w:color w:val="auto"/>
        </w:rPr>
      </w:r>
      <w:bookmarkEnd w:id="189"/>
      <w:r>
        <w:rPr>
          <w:color w:val="auto"/>
        </w:rPr>
      </w:r>
      <w:bookmarkEnd w:id="190"/>
      <w:r>
        <w:rPr>
          <w:color w:val="auto"/>
        </w:rPr>
      </w:r>
      <w:bookmarkEnd w:id="199"/>
      <w:r>
        <w:rPr>
          <w:color w:val="auto"/>
        </w:rPr>
      </w:r>
      <w:bookmarkEnd w:id="200"/>
      <w:r>
        <w:rPr>
          <w:color w:val="auto"/>
        </w:rPr>
      </w:r>
      <w:bookmarkEnd w:id="201"/>
      <w:r>
        <w:rPr>
          <w:color w:val="auto"/>
        </w:rPr>
      </w:r>
      <w:bookmarkEnd w:id="202"/>
      <w:r>
        <w:rPr>
          <w:color w:val="auto"/>
        </w:rPr>
      </w:r>
      <w:bookmarkEnd w:id="203"/>
      <w:r>
        <w:rPr>
          <w:color w:val="auto"/>
        </w:rPr>
      </w:r>
      <w:r/>
    </w:p>
    <w:p>
      <w:pPr>
        <w:pStyle w:val="87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color w:val="auto"/>
        </w:rPr>
      </w:r>
      <w:r/>
    </w:p>
    <w:p>
      <w:pPr>
        <w:shd w:val="nil" w:color="auto"/>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br w:type="page" w:clear="all"/>
      </w:r>
      <w:r>
        <w:rPr>
          <w:color w:val="auto"/>
        </w:rPr>
      </w:r>
      <w:r/>
    </w:p>
    <w:p>
      <w:pPr>
        <w:pStyle w:val="876"/>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质疑函范本</w:t>
      </w:r>
      <w:r>
        <w:rPr>
          <w:color w:val="auto"/>
        </w:rPr>
      </w:r>
      <w:r/>
    </w:p>
    <w:p>
      <w:pPr>
        <w:pStyle w:val="876"/>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rPr>
          <w:color w:val="auto"/>
        </w:rPr>
      </w:r>
      <w:r/>
    </w:p>
    <w:p>
      <w:pPr>
        <w:pStyle w:val="87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color w:val="auto"/>
        </w:rPr>
      </w:r>
      <w:r/>
    </w:p>
    <w:p>
      <w:pPr>
        <w:pStyle w:val="87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color w:val="auto"/>
        </w:rPr>
      </w:r>
      <w:r/>
    </w:p>
    <w:p>
      <w:pPr>
        <w:pStyle w:val="87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color w:val="auto"/>
        </w:rPr>
      </w:r>
      <w:r/>
    </w:p>
    <w:p>
      <w:pPr>
        <w:pStyle w:val="87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color w:val="auto"/>
        </w:rPr>
      </w:r>
      <w:r/>
    </w:p>
    <w:p>
      <w:pPr>
        <w:pStyle w:val="87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color w:val="auto"/>
        </w:rPr>
      </w:r>
      <w:r/>
    </w:p>
    <w:p>
      <w:pPr>
        <w:pStyle w:val="87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color w:val="auto"/>
        </w:rPr>
      </w:r>
      <w:r/>
    </w:p>
    <w:p>
      <w:pPr>
        <w:pStyle w:val="87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color w:val="auto"/>
        </w:rPr>
      </w:r>
      <w:r/>
    </w:p>
    <w:p>
      <w:pPr>
        <w:pStyle w:val="87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color w:val="auto"/>
        </w:rPr>
      </w:r>
      <w:r/>
    </w:p>
    <w:p>
      <w:pPr>
        <w:pStyle w:val="87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color w:val="auto"/>
        </w:rPr>
      </w:r>
      <w:r/>
    </w:p>
    <w:p>
      <w:pPr>
        <w:pStyle w:val="87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rPr>
          <w:color w:val="auto"/>
        </w:rPr>
      </w:r>
      <w:r/>
    </w:p>
    <w:p>
      <w:pPr>
        <w:pStyle w:val="87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rPr>
          <w:color w:val="auto"/>
        </w:rPr>
      </w:r>
      <w:r/>
    </w:p>
    <w:p>
      <w:pPr>
        <w:pStyle w:val="87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rPr>
          <w:color w:val="auto"/>
        </w:rPr>
      </w:r>
      <w:r/>
    </w:p>
    <w:p>
      <w:pPr>
        <w:pStyle w:val="87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color w:val="auto"/>
        </w:rPr>
      </w:r>
      <w:r/>
    </w:p>
    <w:p>
      <w:pPr>
        <w:pStyle w:val="87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rPr>
          <w:color w:val="auto"/>
        </w:rPr>
      </w:r>
      <w:r/>
    </w:p>
    <w:p>
      <w:pPr>
        <w:pStyle w:val="87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rPr>
          <w:color w:val="auto"/>
        </w:rPr>
      </w:r>
      <w:r/>
    </w:p>
    <w:p>
      <w:pPr>
        <w:pStyle w:val="87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rPr>
          <w:color w:val="auto"/>
        </w:rPr>
      </w:r>
      <w:r/>
    </w:p>
    <w:p>
      <w:pPr>
        <w:pStyle w:val="87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rPr>
          <w:color w:val="auto"/>
        </w:rPr>
      </w:r>
      <w:r/>
    </w:p>
    <w:p>
      <w:pPr>
        <w:pStyle w:val="876"/>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rPr>
          <w:color w:val="auto"/>
        </w:rPr>
      </w:r>
      <w:r/>
    </w:p>
    <w:p>
      <w:pPr>
        <w:pStyle w:val="87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rPr>
          <w:color w:val="auto"/>
        </w:rPr>
      </w:r>
      <w:r/>
    </w:p>
    <w:p>
      <w:pPr>
        <w:pStyle w:val="87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rPr>
          <w:color w:val="auto"/>
        </w:rPr>
      </w:r>
      <w:r/>
    </w:p>
    <w:p>
      <w:pPr>
        <w:pStyle w:val="87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rPr>
          <w:color w:val="auto"/>
        </w:rPr>
      </w:r>
      <w:r/>
    </w:p>
    <w:p>
      <w:pPr>
        <w:pStyle w:val="87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rPr>
          <w:color w:val="auto"/>
        </w:rPr>
      </w:r>
      <w:r/>
    </w:p>
    <w:p>
      <w:pPr>
        <w:pStyle w:val="87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rPr>
          <w:color w:val="auto"/>
        </w:rPr>
      </w:r>
      <w:r/>
    </w:p>
    <w:p>
      <w:pPr>
        <w:pStyle w:val="876"/>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rPr>
          <w:color w:val="auto"/>
        </w:rPr>
      </w:r>
      <w:r/>
    </w:p>
    <w:p>
      <w:pPr>
        <w:pStyle w:val="876"/>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rPr>
          <w:color w:val="auto"/>
        </w:rPr>
      </w:r>
      <w:r/>
    </w:p>
    <w:p>
      <w:pPr>
        <w:pStyle w:val="87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rPr>
          <w:color w:val="auto"/>
        </w:rPr>
      </w:r>
      <w:r/>
    </w:p>
    <w:p>
      <w:pPr>
        <w:pStyle w:val="87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auto"/>
        </w:rPr>
      </w:r>
      <w:r/>
    </w:p>
    <w:p>
      <w:pPr>
        <w:pStyle w:val="87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rPr>
          <w:color w:val="auto"/>
        </w:rPr>
      </w:r>
      <w:r/>
    </w:p>
    <w:p>
      <w:pPr>
        <w:pStyle w:val="87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rPr>
          <w:color w:val="auto"/>
        </w:rPr>
      </w:r>
      <w:r/>
    </w:p>
    <w:p>
      <w:pPr>
        <w:pStyle w:val="87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rPr>
          <w:color w:val="auto"/>
        </w:rPr>
      </w:r>
      <w:r/>
    </w:p>
    <w:p>
      <w:pPr>
        <w:pStyle w:val="87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rPr>
          <w:color w:val="auto"/>
        </w:rPr>
      </w:r>
      <w:r/>
    </w:p>
    <w:p>
      <w:pPr>
        <w:pStyle w:val="876"/>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rPr>
          <w:color w:val="auto"/>
        </w:rPr>
      </w:r>
      <w:r/>
    </w:p>
    <w:p>
      <w:pPr>
        <w:rPr>
          <w:color w:val="auto"/>
          <w:highlight w:val="none"/>
        </w:rPr>
      </w:pPr>
      <w:r>
        <w:rPr>
          <w:color w:val="auto"/>
          <w:highlight w:val="none"/>
        </w:rPr>
      </w:r>
      <w:r>
        <w:rPr>
          <w:color w:va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黑体">
    <w:panose1 w:val="02010609060101010101"/>
  </w:font>
  <w:font w:name="仿宋_GB2312">
    <w:panose1 w:val="02010609060101010101"/>
  </w:font>
  <w:font w:name="Wingdings">
    <w:panose1 w:val="05000000000000000000"/>
  </w:font>
  <w:font w:name="Courier New">
    <w:panose1 w:val="02070309020205020404"/>
  </w:font>
  <w:font w:name="等线">
    <w:panose1 w:val="02010600030101010101"/>
  </w:font>
  <w:font w:name="仿宋">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rPr>
        <w:sz w:val="24"/>
      </w:rPr>
    </w:pPr>
    <w:r>
      <w:rPr>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fldSimple w:instr="PAGE \* MERGEFORMAT">
      <w:r>
        <w:t xml:space="preserve">1</w:t>
      </w:r>
    </w:fldSimple>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8"/>
  </w:num>
  <w:num w:numId="5">
    <w:abstractNumId w:val="0"/>
  </w:num>
  <w:num w:numId="6">
    <w:abstractNumId w:val="9"/>
  </w:num>
  <w:num w:numId="7">
    <w:abstractNumId w:val="6"/>
  </w:num>
  <w:num w:numId="8">
    <w:abstractNumId w:val="4"/>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63"/>
    <w:link w:val="860"/>
    <w:uiPriority w:val="9"/>
    <w:rPr>
      <w:rFonts w:ascii="Arial" w:hAnsi="Arial" w:eastAsia="Arial" w:cs="Arial"/>
      <w:sz w:val="40"/>
      <w:szCs w:val="40"/>
    </w:rPr>
  </w:style>
  <w:style w:type="character" w:styleId="691">
    <w:name w:val="Heading 2 Char"/>
    <w:basedOn w:val="863"/>
    <w:link w:val="861"/>
    <w:uiPriority w:val="9"/>
    <w:rPr>
      <w:rFonts w:ascii="Arial" w:hAnsi="Arial" w:eastAsia="Arial" w:cs="Arial"/>
      <w:sz w:val="34"/>
    </w:rPr>
  </w:style>
  <w:style w:type="character" w:styleId="692">
    <w:name w:val="Heading 3 Char"/>
    <w:basedOn w:val="863"/>
    <w:link w:val="862"/>
    <w:uiPriority w:val="9"/>
    <w:rPr>
      <w:rFonts w:ascii="Arial" w:hAnsi="Arial" w:eastAsia="Arial" w:cs="Arial"/>
      <w:sz w:val="30"/>
      <w:szCs w:val="30"/>
    </w:rPr>
  </w:style>
  <w:style w:type="paragraph" w:styleId="693">
    <w:name w:val="Heading 4"/>
    <w:basedOn w:val="859"/>
    <w:next w:val="859"/>
    <w:link w:val="694"/>
    <w:uiPriority w:val="9"/>
    <w:unhideWhenUsed/>
    <w:qFormat/>
    <w:pPr>
      <w:keepLines/>
      <w:keepNext/>
      <w:spacing w:before="320" w:after="200"/>
      <w:outlineLvl w:val="3"/>
    </w:pPr>
    <w:rPr>
      <w:rFonts w:ascii="Arial" w:hAnsi="Arial" w:eastAsia="Arial" w:cs="Arial"/>
      <w:b/>
      <w:bCs/>
      <w:sz w:val="26"/>
      <w:szCs w:val="26"/>
    </w:rPr>
  </w:style>
  <w:style w:type="character" w:styleId="694">
    <w:name w:val="Heading 4 Char"/>
    <w:basedOn w:val="863"/>
    <w:link w:val="693"/>
    <w:uiPriority w:val="9"/>
    <w:rPr>
      <w:rFonts w:ascii="Arial" w:hAnsi="Arial" w:eastAsia="Arial" w:cs="Arial"/>
      <w:b/>
      <w:bCs/>
      <w:sz w:val="26"/>
      <w:szCs w:val="26"/>
    </w:rPr>
  </w:style>
  <w:style w:type="paragraph" w:styleId="695">
    <w:name w:val="Heading 5"/>
    <w:basedOn w:val="859"/>
    <w:next w:val="859"/>
    <w:link w:val="696"/>
    <w:uiPriority w:val="9"/>
    <w:unhideWhenUsed/>
    <w:qFormat/>
    <w:pPr>
      <w:keepLines/>
      <w:keepNext/>
      <w:spacing w:before="320" w:after="200"/>
      <w:outlineLvl w:val="4"/>
    </w:pPr>
    <w:rPr>
      <w:rFonts w:ascii="Arial" w:hAnsi="Arial" w:eastAsia="Arial" w:cs="Arial"/>
      <w:b/>
      <w:bCs/>
      <w:sz w:val="24"/>
      <w:szCs w:val="24"/>
    </w:rPr>
  </w:style>
  <w:style w:type="character" w:styleId="696">
    <w:name w:val="Heading 5 Char"/>
    <w:basedOn w:val="863"/>
    <w:link w:val="695"/>
    <w:uiPriority w:val="9"/>
    <w:rPr>
      <w:rFonts w:ascii="Arial" w:hAnsi="Arial" w:eastAsia="Arial" w:cs="Arial"/>
      <w:b/>
      <w:bCs/>
      <w:sz w:val="24"/>
      <w:szCs w:val="24"/>
    </w:rPr>
  </w:style>
  <w:style w:type="paragraph" w:styleId="697">
    <w:name w:val="Heading 6"/>
    <w:basedOn w:val="859"/>
    <w:next w:val="859"/>
    <w:link w:val="698"/>
    <w:uiPriority w:val="9"/>
    <w:unhideWhenUsed/>
    <w:qFormat/>
    <w:pPr>
      <w:keepLines/>
      <w:keepNext/>
      <w:spacing w:before="320" w:after="200"/>
      <w:outlineLvl w:val="5"/>
    </w:pPr>
    <w:rPr>
      <w:rFonts w:ascii="Arial" w:hAnsi="Arial" w:eastAsia="Arial" w:cs="Arial"/>
      <w:b/>
      <w:bCs/>
      <w:sz w:val="22"/>
      <w:szCs w:val="22"/>
    </w:rPr>
  </w:style>
  <w:style w:type="character" w:styleId="698">
    <w:name w:val="Heading 6 Char"/>
    <w:basedOn w:val="863"/>
    <w:link w:val="697"/>
    <w:uiPriority w:val="9"/>
    <w:rPr>
      <w:rFonts w:ascii="Arial" w:hAnsi="Arial" w:eastAsia="Arial" w:cs="Arial"/>
      <w:b/>
      <w:bCs/>
      <w:sz w:val="22"/>
      <w:szCs w:val="22"/>
    </w:rPr>
  </w:style>
  <w:style w:type="paragraph" w:styleId="699">
    <w:name w:val="Heading 7"/>
    <w:basedOn w:val="859"/>
    <w:next w:val="859"/>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basedOn w:val="863"/>
    <w:link w:val="699"/>
    <w:uiPriority w:val="9"/>
    <w:rPr>
      <w:rFonts w:ascii="Arial" w:hAnsi="Arial" w:eastAsia="Arial" w:cs="Arial"/>
      <w:b/>
      <w:bCs/>
      <w:i/>
      <w:iCs/>
      <w:sz w:val="22"/>
      <w:szCs w:val="22"/>
    </w:rPr>
  </w:style>
  <w:style w:type="paragraph" w:styleId="701">
    <w:name w:val="Heading 8"/>
    <w:basedOn w:val="859"/>
    <w:next w:val="859"/>
    <w:link w:val="702"/>
    <w:uiPriority w:val="9"/>
    <w:unhideWhenUsed/>
    <w:qFormat/>
    <w:pPr>
      <w:keepLines/>
      <w:keepNext/>
      <w:spacing w:before="320" w:after="200"/>
      <w:outlineLvl w:val="7"/>
    </w:pPr>
    <w:rPr>
      <w:rFonts w:ascii="Arial" w:hAnsi="Arial" w:eastAsia="Arial" w:cs="Arial"/>
      <w:i/>
      <w:iCs/>
      <w:sz w:val="22"/>
      <w:szCs w:val="22"/>
    </w:rPr>
  </w:style>
  <w:style w:type="character" w:styleId="702">
    <w:name w:val="Heading 8 Char"/>
    <w:basedOn w:val="863"/>
    <w:link w:val="701"/>
    <w:uiPriority w:val="9"/>
    <w:rPr>
      <w:rFonts w:ascii="Arial" w:hAnsi="Arial" w:eastAsia="Arial" w:cs="Arial"/>
      <w:i/>
      <w:iCs/>
      <w:sz w:val="22"/>
      <w:szCs w:val="22"/>
    </w:rPr>
  </w:style>
  <w:style w:type="paragraph" w:styleId="703">
    <w:name w:val="Heading 9"/>
    <w:basedOn w:val="859"/>
    <w:next w:val="859"/>
    <w:link w:val="704"/>
    <w:uiPriority w:val="9"/>
    <w:unhideWhenUsed/>
    <w:qFormat/>
    <w:pPr>
      <w:keepLines/>
      <w:keepNext/>
      <w:spacing w:before="320" w:after="200"/>
      <w:outlineLvl w:val="8"/>
    </w:pPr>
    <w:rPr>
      <w:rFonts w:ascii="Arial" w:hAnsi="Arial" w:eastAsia="Arial" w:cs="Arial"/>
      <w:i/>
      <w:iCs/>
      <w:sz w:val="21"/>
      <w:szCs w:val="21"/>
    </w:rPr>
  </w:style>
  <w:style w:type="character" w:styleId="704">
    <w:name w:val="Heading 9 Char"/>
    <w:basedOn w:val="863"/>
    <w:link w:val="703"/>
    <w:uiPriority w:val="9"/>
    <w:rPr>
      <w:rFonts w:ascii="Arial" w:hAnsi="Arial" w:eastAsia="Arial" w:cs="Arial"/>
      <w:i/>
      <w:iCs/>
      <w:sz w:val="21"/>
      <w:szCs w:val="21"/>
    </w:rPr>
  </w:style>
  <w:style w:type="paragraph" w:styleId="705">
    <w:name w:val="No Spacing"/>
    <w:uiPriority w:val="1"/>
    <w:qFormat/>
    <w:pPr>
      <w:spacing w:before="0" w:after="0" w:line="240" w:lineRule="auto"/>
    </w:pPr>
  </w:style>
  <w:style w:type="paragraph" w:styleId="706">
    <w:name w:val="Title"/>
    <w:basedOn w:val="859"/>
    <w:next w:val="859"/>
    <w:link w:val="707"/>
    <w:uiPriority w:val="10"/>
    <w:qFormat/>
    <w:pPr>
      <w:contextualSpacing/>
      <w:spacing w:before="300" w:after="200"/>
    </w:pPr>
    <w:rPr>
      <w:sz w:val="48"/>
      <w:szCs w:val="48"/>
    </w:rPr>
  </w:style>
  <w:style w:type="character" w:styleId="707">
    <w:name w:val="Title Char"/>
    <w:basedOn w:val="863"/>
    <w:link w:val="706"/>
    <w:uiPriority w:val="10"/>
    <w:rPr>
      <w:sz w:val="48"/>
      <w:szCs w:val="48"/>
    </w:rPr>
  </w:style>
  <w:style w:type="paragraph" w:styleId="708">
    <w:name w:val="Subtitle"/>
    <w:basedOn w:val="859"/>
    <w:next w:val="859"/>
    <w:link w:val="709"/>
    <w:uiPriority w:val="11"/>
    <w:qFormat/>
    <w:pPr>
      <w:spacing w:before="200" w:after="200"/>
    </w:pPr>
    <w:rPr>
      <w:sz w:val="24"/>
      <w:szCs w:val="24"/>
    </w:rPr>
  </w:style>
  <w:style w:type="character" w:styleId="709">
    <w:name w:val="Subtitle Char"/>
    <w:basedOn w:val="863"/>
    <w:link w:val="708"/>
    <w:uiPriority w:val="11"/>
    <w:rPr>
      <w:sz w:val="24"/>
      <w:szCs w:val="24"/>
    </w:rPr>
  </w:style>
  <w:style w:type="paragraph" w:styleId="710">
    <w:name w:val="Quote"/>
    <w:basedOn w:val="859"/>
    <w:next w:val="859"/>
    <w:link w:val="711"/>
    <w:uiPriority w:val="29"/>
    <w:qFormat/>
    <w:pPr>
      <w:ind w:left="720" w:right="720"/>
    </w:pPr>
    <w:rPr>
      <w:i/>
    </w:rPr>
  </w:style>
  <w:style w:type="character" w:styleId="711">
    <w:name w:val="Quote Char"/>
    <w:link w:val="710"/>
    <w:uiPriority w:val="29"/>
    <w:rPr>
      <w:i/>
    </w:rPr>
  </w:style>
  <w:style w:type="paragraph" w:styleId="712">
    <w:name w:val="Intense Quote"/>
    <w:basedOn w:val="859"/>
    <w:next w:val="859"/>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63"/>
    <w:link w:val="873"/>
    <w:uiPriority w:val="99"/>
  </w:style>
  <w:style w:type="character" w:styleId="715">
    <w:name w:val="Footer Char"/>
    <w:basedOn w:val="863"/>
    <w:link w:val="872"/>
    <w:uiPriority w:val="99"/>
  </w:style>
  <w:style w:type="paragraph" w:styleId="716">
    <w:name w:val="Caption"/>
    <w:basedOn w:val="859"/>
    <w:next w:val="859"/>
    <w:uiPriority w:val="35"/>
    <w:semiHidden/>
    <w:unhideWhenUsed/>
    <w:qFormat/>
    <w:pPr>
      <w:spacing w:line="276" w:lineRule="auto"/>
    </w:pPr>
    <w:rPr>
      <w:b/>
      <w:bCs/>
      <w:color w:val="4f81bd" w:themeColor="accent1"/>
      <w:sz w:val="18"/>
      <w:szCs w:val="18"/>
    </w:rPr>
  </w:style>
  <w:style w:type="character" w:styleId="717">
    <w:name w:val="Caption Char"/>
    <w:basedOn w:val="716"/>
    <w:link w:val="872"/>
    <w:uiPriority w:val="99"/>
  </w:style>
  <w:style w:type="table" w:styleId="718">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4">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5">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6">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7">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8">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9">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6">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9">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0">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1">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2">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3">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4">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6">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7">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8">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9">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0">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1">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0">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1">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2">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3">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4">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5">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7">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8">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9">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0">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1">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2">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4">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8">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1">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5">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3">
    <w:name w:val="Hyperlink"/>
    <w:uiPriority w:val="99"/>
    <w:unhideWhenUsed/>
    <w:rPr>
      <w:color w:val="0000ff" w:themeColor="hyperlink"/>
      <w:u w:val="single"/>
    </w:rPr>
  </w:style>
  <w:style w:type="paragraph" w:styleId="844">
    <w:name w:val="footnote text"/>
    <w:basedOn w:val="859"/>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basedOn w:val="863"/>
    <w:uiPriority w:val="99"/>
    <w:unhideWhenUsed/>
    <w:rPr>
      <w:vertAlign w:val="superscript"/>
    </w:rPr>
  </w:style>
  <w:style w:type="paragraph" w:styleId="847">
    <w:name w:val="endnote text"/>
    <w:basedOn w:val="859"/>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basedOn w:val="863"/>
    <w:uiPriority w:val="99"/>
    <w:semiHidden/>
    <w:unhideWhenUsed/>
    <w:rPr>
      <w:vertAlign w:val="superscript"/>
    </w:rPr>
  </w:style>
  <w:style w:type="paragraph" w:styleId="850">
    <w:name w:val="toc 1"/>
    <w:basedOn w:val="859"/>
    <w:next w:val="859"/>
    <w:uiPriority w:val="39"/>
    <w:unhideWhenUsed/>
    <w:pPr>
      <w:ind w:left="0" w:right="0" w:firstLine="0"/>
      <w:spacing w:after="57"/>
    </w:pPr>
  </w:style>
  <w:style w:type="paragraph" w:styleId="851">
    <w:name w:val="toc 2"/>
    <w:basedOn w:val="859"/>
    <w:next w:val="859"/>
    <w:uiPriority w:val="39"/>
    <w:unhideWhenUsed/>
    <w:pPr>
      <w:ind w:left="283" w:right="0" w:firstLine="0"/>
      <w:spacing w:after="57"/>
    </w:pPr>
  </w:style>
  <w:style w:type="paragraph" w:styleId="852">
    <w:name w:val="toc 3"/>
    <w:basedOn w:val="859"/>
    <w:next w:val="859"/>
    <w:uiPriority w:val="39"/>
    <w:unhideWhenUsed/>
    <w:pPr>
      <w:ind w:left="567" w:right="0" w:firstLine="0"/>
      <w:spacing w:after="57"/>
    </w:pPr>
  </w:style>
  <w:style w:type="paragraph" w:styleId="853">
    <w:name w:val="toc 4"/>
    <w:basedOn w:val="859"/>
    <w:next w:val="859"/>
    <w:uiPriority w:val="39"/>
    <w:unhideWhenUsed/>
    <w:pPr>
      <w:ind w:left="850" w:right="0" w:firstLine="0"/>
      <w:spacing w:after="57"/>
    </w:pPr>
  </w:style>
  <w:style w:type="paragraph" w:styleId="854">
    <w:name w:val="toc 5"/>
    <w:basedOn w:val="859"/>
    <w:next w:val="859"/>
    <w:uiPriority w:val="39"/>
    <w:unhideWhenUsed/>
    <w:pPr>
      <w:ind w:left="1134" w:right="0" w:firstLine="0"/>
      <w:spacing w:after="57"/>
    </w:pPr>
  </w:style>
  <w:style w:type="paragraph" w:styleId="855">
    <w:name w:val="toc 7"/>
    <w:basedOn w:val="859"/>
    <w:next w:val="859"/>
    <w:uiPriority w:val="39"/>
    <w:unhideWhenUsed/>
    <w:pPr>
      <w:ind w:left="1701" w:right="0" w:firstLine="0"/>
      <w:spacing w:after="57"/>
    </w:pPr>
  </w:style>
  <w:style w:type="paragraph" w:styleId="856">
    <w:name w:val="toc 8"/>
    <w:basedOn w:val="859"/>
    <w:next w:val="859"/>
    <w:uiPriority w:val="39"/>
    <w:unhideWhenUsed/>
    <w:pPr>
      <w:ind w:left="1984" w:right="0" w:firstLine="0"/>
      <w:spacing w:after="57"/>
    </w:pPr>
  </w:style>
  <w:style w:type="paragraph" w:styleId="857">
    <w:name w:val="toc 9"/>
    <w:basedOn w:val="859"/>
    <w:next w:val="859"/>
    <w:uiPriority w:val="39"/>
    <w:unhideWhenUsed/>
    <w:pPr>
      <w:ind w:left="2268" w:right="0" w:firstLine="0"/>
      <w:spacing w:after="57"/>
    </w:pPr>
  </w:style>
  <w:style w:type="paragraph" w:styleId="858">
    <w:name w:val="TOC Heading"/>
    <w:uiPriority w:val="39"/>
    <w:unhideWhenUsed/>
  </w:style>
  <w:style w:type="paragraph" w:styleId="859" w:default="1">
    <w:name w:val="Normal"/>
    <w:next w:val="86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60">
    <w:name w:val="Heading 1"/>
    <w:basedOn w:val="859"/>
    <w:next w:val="859"/>
    <w:uiPriority w:val="0"/>
    <w:qFormat/>
    <w:pPr>
      <w:jc w:val="center"/>
      <w:keepNext/>
      <w:outlineLvl w:val="0"/>
    </w:pPr>
    <w:rPr>
      <w:rFonts w:ascii="楷体_GB2312" w:eastAsia="楷体_GB2312"/>
      <w:sz w:val="28"/>
      <w:szCs w:val="28"/>
    </w:rPr>
  </w:style>
  <w:style w:type="paragraph" w:styleId="861">
    <w:name w:val="Heading 2"/>
    <w:basedOn w:val="859"/>
    <w:next w:val="859"/>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62">
    <w:name w:val="Heading 3"/>
    <w:basedOn w:val="859"/>
    <w:next w:val="859"/>
    <w:uiPriority w:val="9"/>
    <w:unhideWhenUsed/>
    <w:qFormat/>
    <w:pPr>
      <w:keepLines/>
      <w:keepNext/>
      <w:spacing w:before="320" w:after="200"/>
      <w:outlineLvl w:val="2"/>
    </w:pPr>
    <w:rPr>
      <w:rFonts w:ascii="Arial" w:hAnsi="Arial" w:eastAsia="Arial" w:cs="Arial"/>
      <w:sz w:val="30"/>
      <w:szCs w:val="30"/>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customStyle="1">
    <w:name w:val="Default"/>
    <w:basedOn w:val="859"/>
    <w:uiPriority w:val="0"/>
    <w:semiHidden/>
    <w:qFormat/>
    <w:pPr>
      <w:jc w:val="left"/>
    </w:pPr>
    <w:rPr>
      <w:rFonts w:ascii="宋体" w:hAnsi="Calibri" w:cs="宋体"/>
      <w:color w:val="000000"/>
      <w:sz w:val="24"/>
    </w:rPr>
  </w:style>
  <w:style w:type="paragraph" w:styleId="866">
    <w:name w:val="Normal Indent"/>
    <w:basedOn w:val="859"/>
    <w:next w:val="859"/>
    <w:uiPriority w:val="0"/>
    <w:qFormat/>
    <w:pPr>
      <w:ind w:firstLine="420"/>
    </w:pPr>
  </w:style>
  <w:style w:type="paragraph" w:styleId="867">
    <w:name w:val="annotation text"/>
    <w:basedOn w:val="859"/>
    <w:uiPriority w:val="0"/>
    <w:qFormat/>
    <w:pPr>
      <w:jc w:val="left"/>
    </w:pPr>
  </w:style>
  <w:style w:type="paragraph" w:styleId="868">
    <w:name w:val="Body Text"/>
    <w:basedOn w:val="859"/>
    <w:uiPriority w:val="0"/>
    <w:semiHidden/>
    <w:qFormat/>
    <w:rPr>
      <w:rFonts w:ascii="仿宋" w:hAnsi="仿宋" w:eastAsia="仿宋" w:cs="仿宋"/>
      <w:sz w:val="31"/>
      <w:szCs w:val="31"/>
      <w:lang w:eastAsia="en-US"/>
    </w:rPr>
  </w:style>
  <w:style w:type="paragraph" w:styleId="869">
    <w:name w:val="Body Text Indent"/>
    <w:basedOn w:val="859"/>
    <w:next w:val="870"/>
    <w:uiPriority w:val="99"/>
    <w:unhideWhenUsed/>
    <w:qFormat/>
    <w:pPr>
      <w:ind w:left="420"/>
      <w:spacing w:after="120"/>
    </w:pPr>
  </w:style>
  <w:style w:type="paragraph" w:styleId="870">
    <w:name w:val="envelope return"/>
    <w:basedOn w:val="859"/>
    <w:uiPriority w:val="99"/>
    <w:qFormat/>
    <w:rPr>
      <w:rFonts w:ascii="Arial" w:hAnsi="Arial" w:cs="Arial"/>
    </w:rPr>
  </w:style>
  <w:style w:type="paragraph" w:styleId="871">
    <w:name w:val="Plain Text"/>
    <w:basedOn w:val="859"/>
    <w:uiPriority w:val="99"/>
    <w:qFormat/>
    <w:rPr>
      <w:rFonts w:ascii="宋体" w:hAnsi="Courier New"/>
    </w:rPr>
  </w:style>
  <w:style w:type="paragraph" w:styleId="872">
    <w:name w:val="Footer"/>
    <w:basedOn w:val="859"/>
    <w:link w:val="891"/>
    <w:uiPriority w:val="0"/>
    <w:qFormat/>
    <w:pPr>
      <w:jc w:val="left"/>
      <w:tabs>
        <w:tab w:val="center" w:pos="4153" w:leader="none"/>
        <w:tab w:val="right" w:pos="8306" w:leader="none"/>
      </w:tabs>
    </w:pPr>
    <w:rPr>
      <w:sz w:val="18"/>
      <w:szCs w:val="18"/>
    </w:rPr>
  </w:style>
  <w:style w:type="paragraph" w:styleId="873">
    <w:name w:val="Header"/>
    <w:basedOn w:val="859"/>
    <w:link w:val="890"/>
    <w:uiPriority w:val="0"/>
    <w:qFormat/>
    <w:pPr>
      <w:jc w:val="center"/>
      <w:tabs>
        <w:tab w:val="center" w:pos="4153" w:leader="none"/>
        <w:tab w:val="right" w:pos="8306" w:leader="none"/>
      </w:tabs>
      <w:pBdr>
        <w:bottom w:val="single" w:color="auto" w:sz="6" w:space="1"/>
      </w:pBdr>
    </w:pPr>
    <w:rPr>
      <w:sz w:val="18"/>
      <w:szCs w:val="18"/>
    </w:rPr>
  </w:style>
  <w:style w:type="paragraph" w:styleId="874">
    <w:name w:val="toc 6"/>
    <w:basedOn w:val="859"/>
    <w:next w:val="859"/>
    <w:uiPriority w:val="0"/>
    <w:qFormat/>
    <w:pPr>
      <w:ind w:left="2100"/>
    </w:pPr>
    <w:rPr>
      <w:rFonts w:ascii="Times New Roman" w:hAnsi="Times New Roman" w:eastAsia="宋体" w:cs="Times New Roman"/>
    </w:rPr>
  </w:style>
  <w:style w:type="paragraph" w:styleId="875">
    <w:name w:val="table of figures"/>
    <w:basedOn w:val="859"/>
    <w:next w:val="859"/>
    <w:uiPriority w:val="0"/>
    <w:unhideWhenUsed/>
    <w:qFormat/>
    <w:pPr>
      <w:ind w:left="200" w:hanging="200"/>
      <w:spacing w:before="100" w:beforeAutospacing="1" w:after="100" w:afterAutospacing="1"/>
    </w:pPr>
    <w:rPr>
      <w:rFonts w:ascii="Wingdings" w:hAnsi="Wingdings" w:eastAsia="仿宋_GB2312" w:cs="宋体"/>
      <w:sz w:val="28"/>
      <w:szCs w:val="28"/>
    </w:rPr>
  </w:style>
  <w:style w:type="paragraph" w:styleId="876">
    <w:name w:val="Normal (Web)"/>
    <w:basedOn w:val="859"/>
    <w:uiPriority w:val="0"/>
    <w:qFormat/>
    <w:pPr>
      <w:jc w:val="left"/>
      <w:spacing w:beforeAutospacing="1" w:afterAutospacing="1"/>
    </w:pPr>
    <w:rPr>
      <w:rFonts w:cs="Times New Roman"/>
      <w:sz w:val="24"/>
    </w:rPr>
  </w:style>
  <w:style w:type="paragraph" w:styleId="877">
    <w:name w:val="Body Text First Indent"/>
    <w:basedOn w:val="859"/>
    <w:next w:val="874"/>
    <w:uiPriority w:val="0"/>
    <w:qFormat/>
    <w:pPr>
      <w:ind w:firstLine="200"/>
      <w:spacing w:line="360" w:lineRule="auto"/>
    </w:pPr>
  </w:style>
  <w:style w:type="paragraph" w:styleId="878">
    <w:name w:val="Body Text First Indent 2"/>
    <w:basedOn w:val="869"/>
    <w:next w:val="859"/>
    <w:uiPriority w:val="0"/>
    <w:qFormat/>
    <w:pPr>
      <w:ind w:firstLine="420"/>
    </w:pPr>
  </w:style>
  <w:style w:type="table" w:styleId="879">
    <w:name w:val="Table Grid"/>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Strong"/>
    <w:basedOn w:val="863"/>
    <w:uiPriority w:val="0"/>
    <w:qFormat/>
    <w:rPr>
      <w:b/>
    </w:rPr>
  </w:style>
  <w:style w:type="character" w:styleId="881">
    <w:name w:val="page number"/>
    <w:uiPriority w:val="0"/>
    <w:qFormat/>
  </w:style>
  <w:style w:type="character" w:styleId="882">
    <w:name w:val="Emphasis"/>
    <w:uiPriority w:val="0"/>
    <w:qFormat/>
    <w:rPr>
      <w:i/>
    </w:rPr>
  </w:style>
  <w:style w:type="paragraph" w:styleId="883" w:customStyle="1">
    <w:name w:val="正文文本113"/>
    <w:basedOn w:val="859"/>
    <w:next w:val="884"/>
    <w:uiPriority w:val="0"/>
    <w:qFormat/>
    <w:pPr>
      <w:spacing w:after="120"/>
    </w:pPr>
    <w:rPr>
      <w:sz w:val="28"/>
    </w:rPr>
  </w:style>
  <w:style w:type="paragraph" w:styleId="884" w:customStyle="1">
    <w:name w:val="一级条标题"/>
    <w:basedOn w:val="885"/>
    <w:next w:val="886"/>
    <w:uiPriority w:val="0"/>
    <w:qFormat/>
    <w:pPr>
      <w:ind w:left="907" w:hanging="907"/>
      <w:spacing w:before="0" w:after="0"/>
      <w:outlineLvl w:val="2"/>
    </w:pPr>
    <w:rPr>
      <w:rFonts w:hAnsi="宋体"/>
      <w:sz w:val="20"/>
      <w:szCs w:val="20"/>
    </w:rPr>
  </w:style>
  <w:style w:type="paragraph" w:styleId="885" w:customStyle="1">
    <w:name w:val="章标题"/>
    <w:next w:val="859"/>
    <w:uiPriority w:val="0"/>
    <w:qFormat/>
    <w:pPr>
      <w:ind w:left="810" w:hanging="810"/>
      <w:jc w:val="both"/>
      <w:spacing w:before="50" w:after="50"/>
      <w:outlineLvl w:val="1"/>
    </w:pPr>
    <w:rPr>
      <w:rFonts w:ascii="黑体" w:hAnsi="Calibri" w:eastAsia="黑体" w:cs="Times New Roman"/>
      <w:sz w:val="21"/>
      <w:szCs w:val="22"/>
      <w:lang w:val="en-US" w:eastAsia="zh-CN" w:bidi="ar-SA"/>
    </w:rPr>
  </w:style>
  <w:style w:type="paragraph" w:styleId="886" w:customStyle="1">
    <w:name w:val="段"/>
    <w:next w:val="88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87" w:customStyle="1">
    <w:name w:val="正文 A"/>
    <w:next w:val="886"/>
    <w:uiPriority w:val="0"/>
    <w:qFormat/>
    <w:pPr>
      <w:jc w:val="both"/>
      <w:widowControl w:val="off"/>
    </w:pPr>
    <w:rPr>
      <w:rFonts w:ascii="Calibri" w:hAnsi="Calibri" w:eastAsia="Calibri" w:cs="Calibri"/>
      <w:color w:val="000000"/>
      <w:sz w:val="21"/>
      <w:szCs w:val="21"/>
      <w:lang w:val="en-US" w:eastAsia="zh-CN" w:bidi="ar-SA"/>
    </w:rPr>
  </w:style>
  <w:style w:type="paragraph" w:styleId="888" w:customStyle="1">
    <w:name w:val="正文首行缩进11"/>
    <w:basedOn w:val="883"/>
    <w:next w:val="859"/>
    <w:uiPriority w:val="99"/>
    <w:unhideWhenUsed/>
    <w:qFormat/>
    <w:pPr>
      <w:ind w:firstLine="420"/>
    </w:pPr>
    <w:rPr>
      <w:rFonts w:ascii="Times New Roman" w:hAnsi="Times New Roman"/>
    </w:rPr>
  </w:style>
  <w:style w:type="paragraph" w:styleId="889" w:customStyle="1">
    <w:name w:val="正文文本11"/>
    <w:basedOn w:val="859"/>
    <w:next w:val="859"/>
    <w:uiPriority w:val="0"/>
    <w:qFormat/>
    <w:rPr>
      <w:rFonts w:ascii="楷体_GB2312" w:hAnsi="Arial" w:eastAsia="楷体_GB2312"/>
      <w:sz w:val="28"/>
      <w:szCs w:val="28"/>
      <w:lang w:eastAsia="en-US"/>
    </w:rPr>
  </w:style>
  <w:style w:type="character" w:styleId="890" w:customStyle="1">
    <w:name w:val="页眉 Char"/>
    <w:basedOn w:val="863"/>
    <w:link w:val="873"/>
    <w:uiPriority w:val="0"/>
    <w:qFormat/>
    <w:rPr>
      <w:rFonts w:asciiTheme="minorHAnsi" w:hAnsiTheme="minorHAnsi" w:eastAsiaTheme="minorEastAsia" w:cstheme="minorBidi"/>
      <w:sz w:val="18"/>
      <w:szCs w:val="18"/>
    </w:rPr>
  </w:style>
  <w:style w:type="character" w:styleId="891" w:customStyle="1">
    <w:name w:val="页脚 Char"/>
    <w:basedOn w:val="863"/>
    <w:link w:val="872"/>
    <w:uiPriority w:val="0"/>
    <w:qFormat/>
    <w:rPr>
      <w:rFonts w:asciiTheme="minorHAnsi" w:hAnsiTheme="minorHAnsi" w:eastAsiaTheme="minorEastAsia" w:cstheme="minorBidi"/>
      <w:sz w:val="18"/>
      <w:szCs w:val="18"/>
    </w:rPr>
  </w:style>
  <w:style w:type="paragraph" w:styleId="892" w:customStyle="1">
    <w:name w:val="普通正文"/>
    <w:basedOn w:val="859"/>
    <w:uiPriority w:val="0"/>
    <w:qFormat/>
    <w:pPr>
      <w:ind w:firstLine="480"/>
      <w:jc w:val="left"/>
      <w:spacing w:before="120" w:after="120" w:line="360" w:lineRule="auto"/>
    </w:pPr>
    <w:rPr>
      <w:rFonts w:ascii="Arial" w:hAnsi="Arial" w:eastAsia="等线" w:cs="Arial"/>
      <w:sz w:val="24"/>
    </w:rPr>
  </w:style>
  <w:style w:type="paragraph" w:styleId="893" w:customStyle="1">
    <w:name w:val="正文首行缩进 21"/>
    <w:basedOn w:val="894"/>
    <w:uiPriority w:val="0"/>
    <w:qFormat/>
    <w:pPr>
      <w:ind w:firstLine="420"/>
    </w:pPr>
  </w:style>
  <w:style w:type="paragraph" w:styleId="894" w:customStyle="1">
    <w:name w:val="正文文本缩进1"/>
    <w:basedOn w:val="859"/>
    <w:uiPriority w:val="0"/>
    <w:qFormat/>
    <w:pPr>
      <w:ind w:left="420"/>
      <w:spacing w:after="120"/>
    </w:pPr>
  </w:style>
  <w:style w:type="paragraph" w:styleId="895" w:customStyle="1">
    <w:name w:val="普通(网站)1"/>
    <w:basedOn w:val="859"/>
    <w:uiPriority w:val="0"/>
    <w:qFormat/>
    <w:pPr>
      <w:jc w:val="left"/>
      <w:spacing w:beforeAutospacing="1" w:afterAutospacing="1"/>
    </w:pPr>
    <w:rPr>
      <w:rFonts w:cs="Times New Roman"/>
      <w:sz w:val="24"/>
    </w:rPr>
  </w:style>
  <w:style w:type="paragraph" w:styleId="896" w:customStyle="1">
    <w:name w:val="Table Text"/>
    <w:basedOn w:val="859"/>
    <w:uiPriority w:val="0"/>
    <w:semiHidden/>
    <w:qFormat/>
    <w:rPr>
      <w:rFonts w:ascii="宋体" w:hAnsi="宋体" w:eastAsia="宋体" w:cs="宋体"/>
      <w:sz w:val="20"/>
      <w:szCs w:val="20"/>
      <w:lang w:eastAsia="en-US"/>
    </w:rPr>
  </w:style>
  <w:style w:type="table" w:styleId="897" w:customStyle="1">
    <w:name w:val="Table Normal"/>
    <w:uiPriority w:val="0"/>
    <w:semiHidden/>
    <w:unhideWhenUsed/>
    <w:qFormat/>
    <w:tblPr>
      <w:tblCellMar>
        <w:left w:w="0" w:type="dxa"/>
        <w:top w:w="0" w:type="dxa"/>
        <w:right w:w="0" w:type="dxa"/>
        <w:bottom w:w="0" w:type="dxa"/>
      </w:tblCellMar>
    </w:tblPr>
  </w:style>
  <w:style w:type="paragraph" w:styleId="898" w:customStyle="1">
    <w:name w:val="纯文本1"/>
    <w:basedOn w:val="859"/>
    <w:uiPriority w:val="0"/>
    <w:qFormat/>
    <w:rPr>
      <w:rFonts w:ascii="宋体" w:hAnsi="Courier New"/>
      <w:sz w:val="28"/>
    </w:rPr>
  </w:style>
  <w:style w:type="paragraph" w:styleId="899" w:customStyle="1">
    <w:name w:val="标题 21"/>
    <w:basedOn w:val="859"/>
    <w:next w:val="859"/>
    <w:uiPriority w:val="0"/>
    <w:qFormat/>
    <w:pPr>
      <w:jc w:val="center"/>
      <w:spacing w:before="100" w:beforeAutospacing="1" w:after="100" w:afterAutospacing="1" w:line="480" w:lineRule="exact"/>
      <w:outlineLvl w:val="1"/>
    </w:pPr>
    <w:rPr>
      <w:rFonts w:ascii="宋体" w:hAnsi="宋体" w:eastAsia="宋体" w:cs="Times New Roman"/>
      <w:b/>
      <w:bCs/>
      <w:sz w:val="30"/>
      <w:szCs w:val="30"/>
    </w:rPr>
  </w:style>
  <w:style w:type="paragraph" w:styleId="900" w:customStyle="1">
    <w:name w:val="纯文本111"/>
    <w:basedOn w:val="859"/>
    <w:next w:val="859"/>
    <w:uiPriority w:val="0"/>
    <w:qFormat/>
    <w:rPr>
      <w:rFonts w:ascii="宋体" w:hAnsi="Courier New"/>
      <w:szCs w:val="22"/>
    </w:rPr>
  </w:style>
  <w:style w:type="paragraph" w:styleId="901" w:customStyle="1">
    <w:name w:val="正文缩进11"/>
    <w:basedOn w:val="859"/>
    <w:uiPriority w:val="0"/>
    <w:qFormat/>
    <w:pPr>
      <w:ind w:firstLine="420"/>
    </w:pPr>
  </w:style>
  <w:style w:type="paragraph" w:styleId="902" w:customStyle="1">
    <w:name w:val="纯文本11"/>
    <w:basedOn w:val="859"/>
    <w:next w:val="903"/>
    <w:uiPriority w:val="99"/>
    <w:qFormat/>
    <w:rPr>
      <w:rFonts w:ascii="宋体" w:hAnsi="Courier New" w:cs="Courier New"/>
      <w:szCs w:val="21"/>
    </w:rPr>
  </w:style>
  <w:style w:type="paragraph" w:styleId="903" w:customStyle="1">
    <w:name w:val="正文缩进1"/>
    <w:basedOn w:val="859"/>
    <w:uiPriority w:val="99"/>
    <w:unhideWhenUsed/>
    <w:qFormat/>
    <w:pPr>
      <w:ind w:firstLine="420"/>
      <w:jc w:val="left"/>
    </w:pPr>
    <w:rPr>
      <w:rFonts w:ascii="宋体"/>
      <w:sz w:val="24"/>
    </w:rPr>
  </w:style>
  <w:style w:type="paragraph" w:styleId="904" w:customStyle="1">
    <w:name w:val="正文首行缩进1"/>
    <w:basedOn w:val="859"/>
    <w:next w:val="859"/>
    <w:uiPriority w:val="0"/>
    <w:qFormat/>
    <w:pPr>
      <w:ind w:firstLine="420"/>
    </w:pPr>
    <w:rPr>
      <w:rFonts w:ascii="Times New Roman" w:hAnsi="Times New Roman"/>
    </w:rPr>
  </w:style>
  <w:style w:type="paragraph" w:styleId="905" w:customStyle="1">
    <w:name w:val="_Style 7"/>
    <w:basedOn w:val="859"/>
    <w:next w:val="906"/>
    <w:uiPriority w:val="34"/>
    <w:qFormat/>
    <w:pPr>
      <w:ind w:firstLine="420"/>
    </w:pPr>
    <w:rPr>
      <w:rFonts w:ascii="Calibri" w:hAnsi="Calibri"/>
      <w:lang w:val="zh-CN"/>
    </w:rPr>
  </w:style>
  <w:style w:type="paragraph" w:styleId="906">
    <w:name w:val="List Paragraph"/>
    <w:basedOn w:val="859"/>
    <w:uiPriority w:val="99"/>
    <w:qFormat/>
    <w:pPr>
      <w:ind w:firstLine="420"/>
    </w:pPr>
  </w:style>
  <w:style w:type="paragraph" w:styleId="907" w:customStyle="1">
    <w:name w:val="正文1"/>
    <w:basedOn w:val="859"/>
    <w:uiPriority w:val="99"/>
    <w:qFormat/>
    <w:pPr>
      <w:ind w:right="-167"/>
      <w:spacing w:line="440" w:lineRule="exact"/>
      <w:widowControl/>
    </w:pPr>
    <w:rPr>
      <w:b/>
    </w:rPr>
  </w:style>
  <w:style w:type="character" w:styleId="908" w:customStyle="1">
    <w:name w:val="UserStyle_1"/>
    <w:uiPriority w:val="0"/>
    <w:qFormat/>
  </w:style>
  <w:style w:type="paragraph" w:styleId="909" w:customStyle="1">
    <w:name w:val="列出段落1"/>
    <w:basedOn w:val="859"/>
    <w:uiPriority w:val="0"/>
    <w:qFormat/>
    <w:pPr>
      <w:contextualSpacing/>
      <w:ind w:left="720"/>
      <w:jc w:val="left"/>
      <w:widowControl/>
    </w:pPr>
    <w:rPr>
      <w:rFonts w:ascii="Arial" w:hAnsi="Arial" w:eastAsia="黑体"/>
      <w:sz w:val="24"/>
      <w:lang w:eastAsia="en-US"/>
    </w:rPr>
  </w:style>
  <w:style w:type="numbering" w:styleId="9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F6C3210-E6FA-4A38-A50B-7DF73F63280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建业咨询</cp:lastModifiedBy>
  <cp:revision>283</cp:revision>
  <dcterms:created xsi:type="dcterms:W3CDTF">2014-10-30T20:08:00Z</dcterms:created>
  <dcterms:modified xsi:type="dcterms:W3CDTF">2026-09-09T02:09:46Z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CD2F8B69582F4E719F6C2178119540B6_13</vt:lpwstr>
  </property>
  <property fmtid="{D5CDD505-2E9C-101B-9397-08002B2CF9AE}" pid="4" name="KSOTemplateDocerSaveRecord">
    <vt:lpwstr>eyJoZGlkIjoiNjZjNjVmNjhiM2E5ZGE4YWY1NDlmYmExNGYwMTZmYTMiLCJ1c2VySWQiOiIxMDEzODc5NzIzIn0=</vt:lpwstr>
  </property>
</Properties>
</file>