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spacing w:before="120" w:beforeAutospacing="0" w:after="120" w:afterAutospacing="0" w:line="360" w:lineRule="auto"/>
        <w:rPr>
          <w:rFonts w:hint="eastAsia" w:ascii="宋体" w:hAnsi="宋体" w:eastAsia="宋体" w:cs="宋体"/>
          <w:color w:val="auto"/>
          <w:highlight w:val="none"/>
        </w:rPr>
      </w:pPr>
      <w:r>
        <w:rPr>
          <w:color w:val="auto"/>
          <w:highlight w:val="none"/>
        </w:rPr>
        <w:t xml:space="preserve"> </w:t>
      </w:r>
      <w:r/>
    </w:p>
    <w:p>
      <w:pPr>
        <w:jc w:val="center"/>
        <w:spacing w:before="156" w:after="156" w:line="1320" w:lineRule="exact"/>
        <w:rPr>
          <w:rFonts w:hint="eastAsia" w:ascii="宋体" w:hAnsi="宋体" w:eastAsia="宋体" w:cs="宋体"/>
          <w:b/>
          <w:color w:val="auto"/>
          <w:sz w:val="96"/>
          <w:szCs w:val="96"/>
          <w:highlight w:val="none"/>
          <w:lang w:eastAsia="zh-CN"/>
        </w:rPr>
        <w:outlineLvl w:val="0"/>
      </w:pPr>
      <w:r>
        <w:rPr>
          <w:rFonts w:hint="eastAsia" w:ascii="宋体" w:hAnsi="宋体" w:eastAsia="宋体" w:cs="宋体"/>
          <w:b/>
          <w:bCs w:val="0"/>
          <w:color w:val="auto"/>
          <w:sz w:val="60"/>
          <w:szCs w:val="112"/>
          <w:highlight w:val="none"/>
          <w:lang w:eastAsia="zh-CN"/>
        </w:rPr>
        <w:t xml:space="preserve">2026年东台市垃圾分类房运营服务采购项目</w:t>
      </w:r>
      <w:r/>
    </w:p>
    <w:p>
      <w:pPr>
        <w:jc w:val="center"/>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856" w:lineRule="atLeast"/>
        <w:tabs>
          <w:tab w:val="left" w:pos="2160" w:leader="none"/>
          <w:tab w:val="left" w:pos="2340" w:leader="none"/>
          <w:tab w:val="left" w:pos="5940" w:leader="none"/>
          <w:tab w:val="left" w:pos="6120" w:leader="none"/>
        </w:tabs>
        <w:rPr>
          <w:rFonts w:hint="eastAsia" w:ascii="宋体" w:hAnsi="宋体" w:eastAsia="宋体" w:cs="宋体"/>
          <w:color w:val="auto"/>
          <w:sz w:val="84"/>
          <w:highlight w:val="none"/>
        </w:rPr>
        <w:outlineLvl w:val="0"/>
      </w:pPr>
      <w:r>
        <w:rPr>
          <w:rFonts w:hint="eastAsia" w:ascii="宋体" w:hAnsi="宋体" w:eastAsia="宋体" w:cs="宋体"/>
          <w:b/>
          <w:color w:val="auto"/>
          <w:sz w:val="84"/>
          <w:highlight w:val="none"/>
          <w:lang w:val="en-US" w:eastAsia="zh-CN"/>
        </w:rPr>
        <w:t xml:space="preserve">招 标</w:t>
      </w:r>
      <w:r>
        <w:rPr>
          <w:rFonts w:hint="eastAsia" w:ascii="宋体" w:hAnsi="宋体" w:eastAsia="宋体" w:cs="宋体"/>
          <w:b/>
          <w:color w:val="auto"/>
          <w:sz w:val="84"/>
          <w:highlight w:val="none"/>
        </w:rPr>
        <w:t xml:space="preserve"> 文 件</w:t>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b/>
          <w:bCs/>
          <w:color w:val="auto"/>
          <w:highlight w:val="none"/>
          <w:u w:val="single"/>
          <w:lang w:eastAsia="zh-CN"/>
        </w:rPr>
      </w:pPr>
      <w:r>
        <w:rPr>
          <w:rFonts w:hint="eastAsia" w:ascii="宋体" w:hAnsi="宋体" w:eastAsia="宋体" w:cs="宋体"/>
          <w:b/>
          <w:bCs/>
          <w:color w:val="auto"/>
          <w:sz w:val="32"/>
          <w:szCs w:val="32"/>
          <w:highlight w:val="none"/>
        </w:rPr>
        <w:t xml:space="preserve">编号：JSZC-320981-XHZB-G2026-0010</w:t>
      </w:r>
      <w:r/>
    </w:p>
    <w:p>
      <w:pPr>
        <w:spacing w:line="413"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p>
      <w:pPr>
        <w:ind w:firstLine="620"/>
        <w:jc w:val="left"/>
        <w:spacing w:line="453" w:lineRule="atLeast"/>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pStyle w:val="671"/>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u w:val="single"/>
          <w:lang w:eastAsia="zh-CN"/>
        </w:rPr>
        <w:t xml:space="preserve">东台市环境卫生管理处</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（盖章）</w:t>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spacing w:line="480" w:lineRule="auto"/>
        <w:rPr>
          <w:rFonts w:hint="eastAsia" w:ascii="宋体" w:hAnsi="宋体" w:eastAsia="宋体" w:cs="宋体"/>
          <w:b/>
          <w:color w:val="auto"/>
          <w:sz w:val="31"/>
          <w:highlight w:val="none"/>
        </w:rPr>
      </w:pPr>
      <w:r>
        <w:rPr>
          <w:rFonts w:hint="eastAsia" w:ascii="宋体" w:hAnsi="宋体" w:eastAsia="宋体" w:cs="宋体"/>
          <w:b/>
          <w:color w:val="auto"/>
          <w:sz w:val="31"/>
          <w:highlight w:val="none"/>
        </w:rPr>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采购代理机构：</w:t>
      </w:r>
      <w:r>
        <w:rPr>
          <w:rFonts w:hint="eastAsia" w:ascii="宋体" w:hAnsi="宋体" w:eastAsia="宋体" w:cs="宋体"/>
          <w:b/>
          <w:color w:val="auto"/>
          <w:sz w:val="31"/>
          <w:highlight w:val="none"/>
          <w:u w:val="single"/>
        </w:rPr>
        <w:t xml:space="preserve">  东台市兴华招标代理有限公司   </w:t>
      </w:r>
      <w:r>
        <w:rPr>
          <w:rFonts w:hint="eastAsia" w:ascii="宋体" w:hAnsi="宋体" w:eastAsia="宋体" w:cs="宋体"/>
          <w:b/>
          <w:color w:val="auto"/>
          <w:sz w:val="31"/>
          <w:highlight w:val="none"/>
        </w:rPr>
        <w:t xml:space="preserve">（盖章）</w:t>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pStyle w:val="672"/>
        <w:jc w:val="center"/>
        <w:spacing w:before="0" w:after="0" w:line="453"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63"/>
        <w:jc w:val="center"/>
        <w:spacing w:beforeAutospacing="0" w:afterAutospacing="0" w:line="480" w:lineRule="auto"/>
        <w:rPr>
          <w:rFonts w:hint="eastAsia" w:ascii="宋体" w:hAnsi="宋体" w:eastAsia="宋体" w:cs="宋体"/>
          <w:b/>
          <w:color w:val="auto"/>
          <w:sz w:val="31"/>
          <w:highlight w:val="none"/>
        </w:rPr>
      </w:pPr>
      <w:r>
        <w:rPr>
          <w:rFonts w:hint="eastAsia" w:ascii="宋体" w:hAnsi="宋体" w:eastAsia="宋体" w:cs="宋体"/>
          <w:b/>
          <w:color w:val="auto"/>
          <w:sz w:val="31"/>
          <w:highlight w:val="none"/>
          <w:u w:val="single"/>
        </w:rPr>
        <w:t xml:space="preserve"> 202</w:t>
      </w:r>
      <w:r>
        <w:rPr>
          <w:rFonts w:hint="eastAsia" w:ascii="宋体" w:hAnsi="宋体" w:eastAsia="宋体" w:cs="宋体"/>
          <w:b/>
          <w:color w:val="auto"/>
          <w:sz w:val="31"/>
          <w:highlight w:val="none"/>
          <w:u w:val="single"/>
          <w:lang w:val="en-US" w:eastAsia="zh-CN"/>
        </w:rPr>
        <w:t xml:space="preserve">6</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年</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5</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月</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7</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日</w:t>
      </w:r>
      <w:r/>
    </w:p>
    <w:p>
      <w:pPr>
        <w:pStyle w:val="663"/>
        <w:jc w:val="center"/>
        <w:spacing w:beforeAutospacing="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663"/>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513029200"/>
      <w:r/>
      <w:bookmarkStart w:id="1" w:name="_Toc479757206"/>
      <w:r/>
      <w:bookmarkStart w:id="2" w:name="_Toc523127445"/>
      <w:r/>
      <w:bookmarkStart w:id="3" w:name="_Toc120614210"/>
      <w:r/>
      <w:bookmarkStart w:id="4" w:name="_Toc20823272"/>
      <w:r/>
      <w:bookmarkStart w:id="5" w:name="_Toc16938516"/>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63"/>
        <w:jc w:val="both"/>
        <w:spacing w:beforeAutospacing="0" w:afterAutospacing="0" w:line="480" w:lineRule="auto"/>
        <w:rPr>
          <w:color w:val="auto"/>
          <w:highlight w:val="none"/>
        </w:rPr>
      </w:pPr>
      <w:r>
        <w:rPr>
          <w:color w:val="auto"/>
          <w:highlight w:val="none"/>
        </w:rPr>
        <w:t xml:space="preserve"> </w:t>
      </w:r>
      <w:r/>
    </w:p>
    <w:p>
      <w:pPr>
        <w:pStyle w:val="66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 </w:t>
      </w:r>
      <w:r/>
    </w:p>
    <w:p>
      <w:pPr>
        <w:pStyle w:val="66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66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66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66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66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2026年东台市垃圾分类房运营服务采购项目</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non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rPr>
        <w:t xml:space="preserve">北京时间）前递交投标文件。</w:t>
      </w:r>
      <w:r/>
    </w:p>
    <w:p>
      <w:pPr>
        <w:pStyle w:val="663"/>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6" w:name="_Toc38985263"/>
      <w:r/>
      <w:bookmarkStart w:id="7" w:name="_Toc28359079"/>
      <w:r/>
      <w:bookmarkStart w:id="8" w:name="_Toc35393621"/>
      <w:r/>
      <w:bookmarkStart w:id="9" w:name="_Hlk24379207"/>
      <w:r/>
      <w:bookmarkStart w:id="10" w:name="_Toc28359002"/>
      <w:r/>
      <w:bookmarkStart w:id="11" w:name="_Toc35393790"/>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1.项目编号：JSZC-320981-XHZB-G2026-0010</w:t>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2026年东台市垃圾分类房运营服务采购项目</w:t>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63"/>
        <w:ind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282万元</w:t>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bidi="ar-SA"/>
        </w:rPr>
        <w:t xml:space="preserve">282</w:t>
      </w:r>
      <w:r>
        <w:rPr>
          <w:rFonts w:hint="eastAsia" w:ascii="宋体" w:hAnsi="宋体" w:eastAsia="宋体" w:cs="宋体"/>
          <w:color w:val="auto"/>
          <w:sz w:val="24"/>
          <w:szCs w:val="24"/>
          <w:highlight w:val="none"/>
          <w:lang w:val="en-US" w:eastAsia="zh-CN"/>
        </w:rPr>
        <w:t xml:space="preserve">万元</w:t>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东台市环境卫生管理处2026年垃圾房亭运营服务，负责东台市93个小区内183座垃圾分类设施的日常运营管理，包括分类房安全保障、设备设施维护、点位督导、分类收集及同时负责全东台市153座垃圾房（亭）远程监控数据流量卡的结算，市区所有垃圾分类设施宣传氛围查缺补漏、108个小区汇总台账、“城管开放日”宣传活动等。（详细内容见本招标文件第四章）</w:t>
      </w:r>
      <w:r/>
    </w:p>
    <w:p>
      <w:pPr>
        <w:pStyle w:val="663"/>
        <w:ind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1年，自签订合同之日起开始计算</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如遇政策调整导致服务内容发生较大变化的，招标人可无条件终止合同并无需支付任何赔偿，已履约部分按中标总价折算成日单价进行结算。</w:t>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w:t>
      </w:r>
      <w:r>
        <w:rPr>
          <w:rFonts w:hint="eastAsia" w:ascii="宋体" w:hAnsi="宋体" w:eastAsia="宋体" w:cs="宋体"/>
          <w:color w:val="auto"/>
          <w:sz w:val="24"/>
          <w:szCs w:val="24"/>
          <w:highlight w:val="none"/>
          <w:lang w:eastAsia="zh-CN"/>
        </w:rPr>
        <w:t xml:space="preserve">。</w:t>
      </w:r>
      <w:r/>
    </w:p>
    <w:p>
      <w:pPr>
        <w:pStyle w:val="663"/>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2" w:name="_Toc28359080"/>
      <w:r/>
      <w:bookmarkStart w:id="13" w:name="_Toc38985264"/>
      <w:r/>
      <w:bookmarkStart w:id="14" w:name="_Toc35393622"/>
      <w:r/>
      <w:bookmarkStart w:id="15" w:name="_Toc35393791"/>
      <w:r/>
      <w:bookmarkStart w:id="16" w:name="_Toc28359003"/>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w:t>
      </w:r>
      <w:r>
        <w:rPr>
          <w:rFonts w:hint="eastAsia" w:ascii="宋体" w:hAnsi="宋体" w:eastAsia="宋体" w:cs="宋体"/>
          <w:color w:val="auto"/>
          <w:sz w:val="24"/>
          <w:szCs w:val="24"/>
          <w:highlight w:val="none"/>
          <w:lang w:val="en-US" w:eastAsia="zh-CN"/>
        </w:rPr>
        <w:t xml:space="preserve">或上上年度</w:t>
      </w:r>
      <w:r>
        <w:rPr>
          <w:rFonts w:hint="eastAsia" w:ascii="宋体" w:hAnsi="宋体" w:eastAsia="宋体" w:cs="宋体"/>
          <w:color w:val="auto"/>
          <w:sz w:val="24"/>
          <w:szCs w:val="24"/>
          <w:highlight w:val="none"/>
        </w:rPr>
        <w:t xml:space="preserve">的财务状况报表（成立不满一年无需提供）；</w:t>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截止时间前一年内至少一个月依法缴纳税收及缴纳社会保障资金的证明材料。供应商依法享受缓缴、免缴税收、社会保障资金的证明材料）；</w:t>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中无需提供证明材料）</w:t>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本项目为专门面向小微企业采购的项目，供应商必须为小微企业、监狱企业、残疾人福利性单位，不接受非小微企业参与本项目投标。投标文件中需提供《中小企业声明函》，否则按无效投标处理。具体中小企业划分标准详见《关于印发中小企业划型标准规定的通知》工信部联企业〔2011〕300号文件。因本项目专门面向小微企业采购，故不再执行价格评审优惠的扶持政策。</w:t>
      </w:r>
      <w:r/>
    </w:p>
    <w:p>
      <w:pPr>
        <w:pStyle w:val="66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监狱企业、残疾人福利性单位视同小微企业。</w:t>
      </w:r>
      <w:r/>
    </w:p>
    <w:p>
      <w:pPr>
        <w:pStyle w:val="663"/>
        <w:numPr>
          <w:ilvl w:val="0"/>
          <w:numId w:val="0"/>
        </w:numPr>
        <w:ind w:left="0" w:right="0" w:firstLine="480"/>
        <w:jc w:val="both"/>
        <w:keepLines w:val="0"/>
        <w:keepNext w:val="0"/>
        <w:pageBreakBefore w:val="0"/>
        <w:spacing w:beforeAutospacing="0" w:afterAutospacing="0" w:line="480" w:lineRule="exact"/>
        <w:shd w:val="clear" w:color="auto" w:fill="ffffff"/>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供应商如委托被授权人参与，则被授权人须为本单位正式职工并提供供应商为被授权人缴纳的社会养老保险证明。</w:t>
      </w:r>
      <w:r/>
    </w:p>
    <w:p>
      <w:pPr>
        <w:pStyle w:val="663"/>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bookmarkStart w:id="17" w:name="_Toc28359005"/>
      <w:r/>
      <w:bookmarkStart w:id="18" w:name="_Toc38985266"/>
      <w:r/>
      <w:bookmarkStart w:id="19" w:name="_Toc35393793"/>
      <w:r/>
      <w:bookmarkStart w:id="20" w:name="_Toc28359082"/>
      <w:r/>
      <w:bookmarkStart w:id="21" w:name="_Toc35393624"/>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663"/>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non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u w:val="none"/>
          <w:lang w:eastAsia="zh-CN"/>
        </w:rPr>
        <w:t xml:space="preserve">。</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2.地点：“苏采云”政府采购交易系统网上开标大厅。</w:t>
      </w:r>
      <w:r/>
    </w:p>
    <w:p>
      <w:pPr>
        <w:pStyle w:val="663"/>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22" w:name="_Toc28359084"/>
      <w:r/>
      <w:bookmarkStart w:id="23" w:name="_Toc28359007"/>
      <w:r/>
      <w:bookmarkStart w:id="24" w:name="_Toc35393625"/>
      <w:r/>
      <w:bookmarkStart w:id="25" w:name="_Toc35393794"/>
      <w:r/>
      <w:bookmarkStart w:id="26" w:name="_Toc38985267"/>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66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26"/>
      <w:r/>
      <w:bookmarkStart w:id="28" w:name="_Toc38985268"/>
      <w:r/>
      <w:bookmarkStart w:id="29"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63"/>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6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6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标--下载采购文件（后缀名为“.kedt”）--将后缀名为“.kedt”的采购文件导入政府采购客户端工具--制作投标文件--导出加密的投标文件（后缀名为 zip）--通过“苏采云”系统上传投标文件。具体见《“苏采云”系统供应商操作手册》 （手册下载地址：苏采云系统-右侧消息通知栏）。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pStyle w:val="66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54"/>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0"/>
      <w:r/>
      <w:r/>
    </w:p>
    <w:p>
      <w:pPr>
        <w:pStyle w:val="66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66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称：东台市环境卫生管理处  </w:t>
      </w:r>
      <w:r/>
    </w:p>
    <w:p>
      <w:pPr>
        <w:pStyle w:val="66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址：东台市北海西路8号  </w:t>
      </w:r>
      <w:r/>
    </w:p>
    <w:p>
      <w:pPr>
        <w:pStyle w:val="66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联系方式：朱先生 18962092680                 </w:t>
      </w:r>
      <w:r/>
    </w:p>
    <w:p>
      <w:pPr>
        <w:pStyle w:val="66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6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称：东台市兴华招标代理有限公司</w:t>
      </w:r>
      <w:r/>
    </w:p>
    <w:p>
      <w:pPr>
        <w:pStyle w:val="66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址：东台市东达翰林缘小区商铺12-104号</w:t>
      </w:r>
      <w:r/>
    </w:p>
    <w:p>
      <w:pPr>
        <w:pStyle w:val="66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联系方式：刘先生 13921850520                   </w:t>
      </w:r>
      <w:r/>
    </w:p>
    <w:p>
      <w:pPr>
        <w:pStyle w:val="66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3.项目联系方式</w:t>
      </w:r>
      <w:r/>
    </w:p>
    <w:p>
      <w:pPr>
        <w:pStyle w:val="66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项目联系人：朱先生、刘先生</w:t>
      </w:r>
      <w:r/>
    </w:p>
    <w:p>
      <w:pPr>
        <w:pStyle w:val="66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话：18962092680、13921850520</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3"/>
        <w:ind w:right="840"/>
        <w:jc w:val="both"/>
        <w:spacing w:beforeAutospacing="0" w:afterAutospacing="0"/>
        <w:rPr>
          <w:color w:val="auto"/>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highlight w:val="none"/>
        </w:rPr>
        <w:t xml:space="preserve"> </w:t>
      </w:r>
      <w:r/>
    </w:p>
    <w:p>
      <w:pPr>
        <w:pStyle w:val="663"/>
        <w:ind w:firstLine="2429"/>
        <w:jc w:val="both"/>
        <w:keepLines/>
        <w:keepNext/>
        <w:spacing w:before="260" w:beforeAutospacing="0" w:after="260" w:afterAutospacing="0" w:line="415" w:lineRule="auto"/>
        <w:rPr>
          <w:color w:val="auto"/>
          <w:highlight w:val="none"/>
        </w:rPr>
      </w:pPr>
      <w:r/>
      <w:bookmarkStart w:id="32" w:name="_Toc120614211"/>
      <w:r>
        <w:rPr>
          <w:rFonts w:hint="eastAsia" w:ascii="黑体" w:hAnsi="宋体" w:eastAsia="黑体" w:cs="黑体"/>
          <w:b/>
          <w:color w:val="auto"/>
          <w:sz w:val="44"/>
          <w:szCs w:val="44"/>
          <w:highlight w:val="none"/>
        </w:rPr>
        <w:t xml:space="preserve">第二章  </w:t>
      </w:r>
      <w:bookmarkEnd w:id="32"/>
      <w:r/>
      <w:bookmarkStart w:id="33" w:name="_Toc16938518"/>
      <w:r/>
      <w:bookmarkStart w:id="34" w:name="_Toc513029202"/>
      <w:r/>
      <w:bookmarkStart w:id="35" w:name="_Toc120614213"/>
      <w:r/>
      <w:bookmarkStart w:id="36" w:name="_Toc20823274"/>
      <w:r>
        <w:rPr>
          <w:rFonts w:hint="eastAsia" w:ascii="黑体" w:hAnsi="宋体" w:eastAsia="黑体" w:cs="黑体"/>
          <w:b/>
          <w:color w:val="auto"/>
          <w:sz w:val="44"/>
          <w:szCs w:val="44"/>
          <w:highlight w:val="none"/>
        </w:rPr>
        <w:t xml:space="preserve">投标人须知</w:t>
      </w:r>
      <w:bookmarkEnd w:id="33"/>
      <w:r/>
      <w:bookmarkEnd w:id="34"/>
      <w:r/>
      <w:bookmarkEnd w:id="35"/>
      <w:r/>
      <w:bookmarkEnd w:id="36"/>
      <w:r/>
      <w:r/>
    </w:p>
    <w:p>
      <w:pPr>
        <w:pStyle w:val="663"/>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37" w:name="_Toc513029203"/>
      <w:r/>
      <w:bookmarkStart w:id="38" w:name="_Toc20823275"/>
      <w:r/>
      <w:bookmarkStart w:id="39" w:name="_Toc16938519"/>
      <w:r/>
      <w:bookmarkStart w:id="40" w:name="_Toc120614214"/>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1" w:name="_Toc16938520"/>
      <w:r/>
      <w:bookmarkStart w:id="42" w:name="_Toc458694821"/>
      <w:r/>
      <w:bookmarkStart w:id="43" w:name="_Toc513029204"/>
      <w:r/>
      <w:bookmarkStart w:id="44" w:name="_Toc20823276"/>
      <w:r/>
      <w:bookmarkStart w:id="45" w:name="_Hlt16619475"/>
      <w:r>
        <w:rPr>
          <w:rFonts w:hint="eastAsia" w:ascii="宋体" w:hAnsi="宋体" w:eastAsia="宋体" w:cs="宋体"/>
          <w:color w:val="auto"/>
          <w:sz w:val="24"/>
          <w:szCs w:val="24"/>
          <w:highlight w:val="none"/>
          <w:lang w:eastAsia="zh-CN"/>
        </w:rPr>
        <w:t xml:space="preserve">1.</w:t>
      </w:r>
      <w:bookmarkEnd w:id="41"/>
      <w:r>
        <w:rPr>
          <w:rFonts w:hint="eastAsia" w:ascii="宋体" w:hAnsi="宋体" w:eastAsia="宋体" w:cs="宋体"/>
          <w:color w:val="auto"/>
          <w:sz w:val="24"/>
          <w:szCs w:val="24"/>
          <w:highlight w:val="none"/>
        </w:rPr>
        <w:t xml:space="preserve">招标方式</w:t>
      </w:r>
      <w:bookmarkEnd w:id="42"/>
      <w:r/>
      <w:bookmarkEnd w:id="43"/>
      <w:r/>
      <w:bookmarkEnd w:id="44"/>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6" w:name="_Toc20823277"/>
      <w:r/>
      <w:bookmarkStart w:id="47" w:name="_Toc16938521"/>
      <w:r/>
      <w:bookmarkStart w:id="48" w:name="_Toc513029205"/>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合格的投标人</w:t>
      </w:r>
      <w:bookmarkEnd w:id="46"/>
      <w:r/>
      <w:bookmarkEnd w:id="47"/>
      <w:r/>
      <w:bookmarkEnd w:id="48"/>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9" w:name="_Toc20823278"/>
      <w:r/>
      <w:bookmarkStart w:id="50" w:name="_Toc513029206"/>
      <w:r/>
      <w:bookmarkStart w:id="51" w:name="_Toc16938522"/>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适用法律</w:t>
      </w:r>
      <w:bookmarkEnd w:id="49"/>
      <w:r/>
      <w:bookmarkEnd w:id="50"/>
      <w:r/>
      <w:bookmarkEnd w:id="51"/>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52" w:name="_Toc16938523"/>
      <w:r/>
      <w:bookmarkStart w:id="53" w:name="_Toc513029207"/>
      <w:r/>
      <w:bookmarkStart w:id="54" w:name="_Toc20823279"/>
      <w:r/>
      <w:bookmarkStart w:id="55" w:name="_Toc462564067"/>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投标费用</w:t>
      </w:r>
      <w:bookmarkEnd w:id="52"/>
      <w:r/>
      <w:bookmarkEnd w:id="53"/>
      <w:r/>
      <w:bookmarkEnd w:id="54"/>
      <w:r/>
      <w:bookmarkEnd w:id="55"/>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在任何情况下均无义务和责任承担这些费用。</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不收取标书工本费与中标服务费。</w:t>
      </w:r>
      <w:r/>
    </w:p>
    <w:p>
      <w:pPr>
        <w:pStyle w:val="663"/>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5.</w:t>
      </w:r>
      <w:r>
        <w:rPr>
          <w:rFonts w:hint="eastAsia" w:ascii="宋体" w:hAnsi="宋体" w:eastAsia="宋体" w:cs="宋体"/>
          <w:color w:val="auto"/>
          <w:sz w:val="24"/>
          <w:szCs w:val="24"/>
          <w:highlight w:val="none"/>
        </w:rPr>
        <w:t xml:space="preserve">招标文件的约束力</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663"/>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56" w:name="_Toc16938525"/>
      <w:r/>
      <w:bookmarkStart w:id="57" w:name="_Toc513029209"/>
      <w:r/>
      <w:bookmarkStart w:id="58" w:name="_Toc120614215"/>
      <w:r/>
      <w:bookmarkStart w:id="59" w:name="_Toc20823281"/>
      <w:r>
        <w:rPr>
          <w:rFonts w:hint="eastAsia" w:ascii="宋体" w:hAnsi="宋体" w:eastAsia="宋体" w:cs="宋体"/>
          <w:b/>
          <w:color w:val="auto"/>
          <w:sz w:val="24"/>
          <w:szCs w:val="24"/>
          <w:highlight w:val="none"/>
        </w:rPr>
        <w:t xml:space="preserve">二、招标文件</w:t>
      </w:r>
      <w:bookmarkEnd w:id="56"/>
      <w:r/>
      <w:bookmarkEnd w:id="57"/>
      <w:r/>
      <w:bookmarkEnd w:id="58"/>
      <w:r/>
      <w:bookmarkEnd w:id="59"/>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0" w:name="_Toc20823282"/>
      <w:r/>
      <w:bookmarkStart w:id="61" w:name="_Toc16938526"/>
      <w:r/>
      <w:bookmarkStart w:id="62" w:name="_Toc513029210"/>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招标文件构成</w:t>
      </w:r>
      <w:bookmarkEnd w:id="60"/>
      <w:r/>
      <w:bookmarkEnd w:id="61"/>
      <w:r/>
      <w:bookmarkEnd w:id="62"/>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联系解决。</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3" w:name="_Toc16938527"/>
      <w:r/>
      <w:bookmarkStart w:id="64" w:name="_Toc513029211"/>
      <w:r/>
      <w:bookmarkStart w:id="65" w:name="_Toc462564070"/>
      <w:r/>
      <w:bookmarkStart w:id="66" w:name="_Toc20823283"/>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招标文件的澄清</w:t>
      </w:r>
      <w:bookmarkEnd w:id="63"/>
      <w:r/>
      <w:bookmarkEnd w:id="64"/>
      <w:r/>
      <w:bookmarkEnd w:id="65"/>
      <w:r/>
      <w:bookmarkEnd w:id="66"/>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7" w:name="_Toc462564071"/>
      <w:r/>
      <w:bookmarkStart w:id="68" w:name="_Toc16938528"/>
      <w:r/>
      <w:bookmarkStart w:id="69" w:name="_Toc513029212"/>
      <w:r/>
      <w:bookmarkStart w:id="70" w:name="_Toc20823284"/>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招标文件的修改</w:t>
      </w:r>
      <w:bookmarkEnd w:id="67"/>
      <w:r/>
      <w:bookmarkEnd w:id="68"/>
      <w:r/>
      <w:bookmarkEnd w:id="69"/>
      <w:r/>
      <w:bookmarkEnd w:id="70"/>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w:t>
      </w:r>
      <w:r>
        <w:rPr>
          <w:rFonts w:hint="eastAsia" w:ascii="宋体" w:hAnsi="宋体" w:eastAsia="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663"/>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71" w:name="_Toc462564072"/>
      <w:r/>
      <w:bookmarkStart w:id="72" w:name="_Toc20823285"/>
      <w:r/>
      <w:bookmarkStart w:id="73" w:name="_Toc120614216"/>
      <w:r/>
      <w:bookmarkStart w:id="74" w:name="_Toc16938529"/>
      <w:r/>
      <w:bookmarkStart w:id="75" w:name="_Toc513029213"/>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76" w:name="_Toc16938530"/>
      <w:r/>
      <w:bookmarkStart w:id="77" w:name="_Toc513029214"/>
      <w:r/>
      <w:bookmarkStart w:id="78" w:name="_Toc462564073"/>
      <w:r/>
      <w:bookmarkStart w:id="79" w:name="_Toc20823286"/>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投标文件的语言及度量衡单位</w:t>
      </w:r>
      <w:bookmarkEnd w:id="76"/>
      <w:r/>
      <w:bookmarkEnd w:id="77"/>
      <w:r/>
      <w:bookmarkEnd w:id="78"/>
      <w:r/>
      <w:bookmarkEnd w:id="79"/>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0" w:name="_Toc462564074"/>
      <w:r/>
      <w:bookmarkStart w:id="81" w:name="_Toc20823287"/>
      <w:r/>
      <w:bookmarkStart w:id="82" w:name="_Toc16938531"/>
      <w:r/>
      <w:bookmarkStart w:id="83" w:name="_Toc513029215"/>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投标文件构成</w:t>
      </w:r>
      <w:bookmarkEnd w:id="80"/>
      <w:r/>
      <w:bookmarkEnd w:id="81"/>
      <w:r/>
      <w:bookmarkEnd w:id="82"/>
      <w:r/>
      <w:bookmarkEnd w:id="83"/>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4" w:name="_Toc49090509"/>
      <w:r/>
      <w:bookmarkStart w:id="85" w:name="_Toc14577354"/>
      <w:r/>
      <w:bookmarkStart w:id="86" w:name="_Toc14577357"/>
      <w:r/>
      <w:bookmarkStart w:id="87" w:name="_Toc49090507"/>
      <w:r/>
      <w:bookmarkStart w:id="88" w:name="_Toc513029219"/>
      <w:r/>
      <w:bookmarkStart w:id="89" w:name="_Toc513029216"/>
      <w:r/>
      <w:bookmarkStart w:id="90" w:name="_Hlt26954838"/>
      <w:r/>
      <w:bookmarkStart w:id="91" w:name="_Hlt26668975"/>
      <w:r/>
      <w:bookmarkStart w:id="92" w:name="_Hlt26670360"/>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证明投标人及投标标的符合招标文件规定的文件</w:t>
      </w:r>
      <w:bookmarkEnd w:id="84"/>
      <w:r/>
      <w:bookmarkEnd w:id="85"/>
      <w:r/>
      <w:bookmarkEnd w:id="86"/>
      <w:r/>
      <w:bookmarkEnd w:id="87"/>
      <w:r/>
      <w:bookmarkEnd w:id="88"/>
      <w:r/>
      <w:bookmarkEnd w:id="89"/>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93" w:name="_Toc49090508"/>
      <w:r/>
      <w:bookmarkStart w:id="94" w:name="_Toc14577355"/>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w:t>
      </w:r>
      <w:r>
        <w:rPr>
          <w:rFonts w:hint="eastAsia" w:ascii="宋体" w:hAnsi="宋体" w:eastAsia="宋体" w:cs="宋体"/>
          <w:color w:val="auto"/>
          <w:sz w:val="24"/>
          <w:szCs w:val="24"/>
          <w:highlight w:val="none"/>
          <w:lang w:eastAsia="zh-CN"/>
        </w:rPr>
        <w:t xml:space="preserve">件的</w:t>
      </w:r>
      <w:r>
        <w:rPr>
          <w:rFonts w:hint="eastAsia" w:ascii="宋体" w:hAnsi="宋体" w:eastAsia="宋体" w:cs="宋体"/>
          <w:color w:val="auto"/>
          <w:sz w:val="24"/>
          <w:szCs w:val="24"/>
          <w:highlight w:val="none"/>
        </w:rPr>
        <w:t xml:space="preserve">规定。</w:t>
      </w:r>
      <w:bookmarkEnd w:id="93"/>
      <w:r/>
      <w:bookmarkEnd w:id="94"/>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投标分项报价</w:t>
      </w:r>
      <w:bookmarkStart w:id="95" w:name="_Hlt26670373"/>
      <w:r>
        <w:rPr>
          <w:rFonts w:hint="eastAsia" w:ascii="宋体" w:hAnsi="宋体" w:eastAsia="宋体" w:cs="宋体"/>
          <w:color w:val="auto"/>
          <w:sz w:val="24"/>
          <w:szCs w:val="24"/>
          <w:highlight w:val="none"/>
        </w:rPr>
        <w:t xml:space="preserve">表</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6" w:name="_Hlt26954840"/>
      <w:r>
        <w:rPr>
          <w:rFonts w:hint="eastAsia" w:ascii="宋体" w:hAnsi="宋体" w:eastAsia="宋体" w:cs="宋体"/>
          <w:color w:val="auto"/>
          <w:sz w:val="24"/>
          <w:szCs w:val="24"/>
          <w:highlight w:val="none"/>
        </w:rPr>
        <w:t xml:space="preserve">标人应按照招标文件规定格式填报投标分项报价表</w:t>
      </w:r>
      <w:bookmarkStart w:id="97" w:name="_Hlt26670399"/>
      <w:r>
        <w:rPr>
          <w:rFonts w:hint="eastAsia" w:ascii="宋体" w:hAnsi="宋体" w:eastAsia="宋体" w:cs="宋体"/>
          <w:color w:val="auto"/>
          <w:sz w:val="24"/>
          <w:szCs w:val="24"/>
          <w:highlight w:val="none"/>
        </w:rPr>
        <w:t xml:space="preserve">。</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98" w:name="_Hlt26954844"/>
      <w:r/>
      <w:bookmarkStart w:id="99" w:name="_Hlt26670482"/>
      <w:r/>
      <w:bookmarkStart w:id="100" w:name="_Hlt26670425"/>
      <w:r/>
      <w:bookmarkStart w:id="101" w:name="_Hlt26670486"/>
      <w:r/>
      <w:bookmarkStart w:id="102" w:name="_Hlt26954846"/>
      <w:r/>
      <w:bookmarkStart w:id="103" w:name="_Hlt26670403"/>
      <w:r/>
      <w:bookmarkStart w:id="104" w:name="_Hlt26954848"/>
      <w:r/>
      <w:bookmarkStart w:id="105" w:name="_Hlt26954731"/>
      <w:r/>
      <w:bookmarkStart w:id="106" w:name="_Hlt26954842"/>
      <w:r/>
      <w:bookmarkStart w:id="107" w:name="_Hlt26668983"/>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663"/>
        <w:ind w:left="0" w:firstLine="480"/>
        <w:jc w:val="both"/>
        <w:pageBreakBefore w:val="0"/>
        <w:spacing w:beforeAutospacing="0" w:afterAutospacing="0" w:line="48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08" w:name="_Toc49090510"/>
      <w:r/>
      <w:bookmarkStart w:id="109" w:name="_Toc14577359"/>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投标函和开标一览表</w:t>
      </w:r>
      <w:bookmarkEnd w:id="108"/>
      <w:r/>
      <w:bookmarkEnd w:id="109"/>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10" w:name="_Toc49090511"/>
      <w:r/>
      <w:bookmarkStart w:id="111" w:name="_Toc14577360"/>
      <w:r/>
      <w:bookmarkStart w:id="112" w:name="_Hlt26954734"/>
      <w:r/>
      <w:bookmarkStart w:id="113" w:name="_Hlt26954850"/>
      <w:r/>
      <w:bookmarkStart w:id="114" w:name="_Hlt26670489"/>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投标有效期</w:t>
      </w:r>
      <w:bookmarkEnd w:id="110"/>
      <w:r/>
      <w:bookmarkEnd w:id="111"/>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投标有效期的延长</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63"/>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15" w:name="_Toc513029224"/>
      <w:r/>
      <w:bookmarkStart w:id="116" w:name="_Toc120614217"/>
      <w:r/>
      <w:bookmarkStart w:id="117" w:name="_Toc16938540"/>
      <w:r/>
      <w:bookmarkStart w:id="118" w:name="_Toc20823296"/>
      <w:r/>
      <w:bookmarkStart w:id="119" w:name="_Hlt26954739"/>
      <w:r/>
      <w:bookmarkStart w:id="120" w:name="_Hlt26954852"/>
      <w:r>
        <w:rPr>
          <w:rFonts w:hint="eastAsia" w:ascii="宋体" w:hAnsi="宋体" w:eastAsia="宋体" w:cs="宋体"/>
          <w:b/>
          <w:color w:val="auto"/>
          <w:sz w:val="24"/>
          <w:szCs w:val="24"/>
          <w:highlight w:val="none"/>
        </w:rPr>
        <w:t xml:space="preserve">四、投标文件的递交</w:t>
      </w:r>
      <w:bookmarkEnd w:id="115"/>
      <w:r/>
      <w:bookmarkEnd w:id="116"/>
      <w:r/>
      <w:bookmarkEnd w:id="117"/>
      <w:r/>
      <w:bookmarkEnd w:id="118"/>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21" w:name="_Toc462564084"/>
      <w:r/>
      <w:bookmarkStart w:id="122" w:name="_Toc513029225"/>
      <w:r/>
      <w:bookmarkStart w:id="123" w:name="_Toc16938541"/>
      <w:r/>
      <w:bookmarkStart w:id="124" w:name="_Toc20823297"/>
      <w:r>
        <w:rPr>
          <w:rFonts w:hint="eastAsia" w:ascii="宋体" w:hAnsi="宋体" w:eastAsia="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投标文件</w:t>
      </w:r>
      <w:bookmarkEnd w:id="121"/>
      <w:r/>
      <w:bookmarkEnd w:id="122"/>
      <w:r/>
      <w:bookmarkEnd w:id="123"/>
      <w:r/>
      <w:bookmarkEnd w:id="124"/>
      <w:r>
        <w:rPr>
          <w:rFonts w:hint="eastAsia" w:ascii="宋体" w:hAnsi="宋体" w:eastAsia="宋体" w:cs="宋体"/>
          <w:color w:val="auto"/>
          <w:sz w:val="24"/>
          <w:szCs w:val="24"/>
          <w:highlight w:val="none"/>
        </w:rPr>
        <w:t xml:space="preserve">的递交</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投标截止时间</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w:t>
      </w:r>
      <w:r>
        <w:rPr>
          <w:rFonts w:hint="eastAsia" w:ascii="宋体" w:hAnsi="宋体" w:eastAsia="宋体" w:cs="宋体"/>
          <w:color w:val="auto"/>
          <w:sz w:val="24"/>
          <w:szCs w:val="24"/>
          <w:highlight w:val="none"/>
          <w:lang w:eastAsia="zh-CN"/>
        </w:rPr>
        <w:t xml:space="preserve">充分考虑</w:t>
      </w:r>
      <w:r>
        <w:rPr>
          <w:rFonts w:hint="eastAsia" w:ascii="宋体" w:hAnsi="宋体" w:eastAsia="宋体" w:cs="宋体"/>
          <w:color w:val="auto"/>
          <w:sz w:val="24"/>
          <w:szCs w:val="24"/>
          <w:highlight w:val="none"/>
        </w:rPr>
        <w:t xml:space="preserve">网络环境、网络带宽等风险因素，如因投标人自身原因造成的电子投标文件上传不</w:t>
      </w:r>
      <w:r>
        <w:rPr>
          <w:rFonts w:hint="eastAsia" w:ascii="宋体" w:hAnsi="宋体" w:eastAsia="宋体" w:cs="宋体"/>
          <w:color w:val="auto"/>
          <w:sz w:val="24"/>
          <w:szCs w:val="24"/>
          <w:highlight w:val="none"/>
          <w:lang w:eastAsia="zh-CN"/>
        </w:rPr>
        <w:t xml:space="preserve">成功地按照</w:t>
      </w:r>
      <w:r>
        <w:rPr>
          <w:rFonts w:hint="eastAsia" w:ascii="宋体" w:hAnsi="宋体" w:eastAsia="宋体" w:cs="宋体"/>
          <w:color w:val="auto"/>
          <w:sz w:val="24"/>
          <w:szCs w:val="24"/>
          <w:highlight w:val="none"/>
        </w:rPr>
        <w:t xml:space="preserve">本招标文件第二章第26.1.2条 规定</w:t>
      </w:r>
      <w:r>
        <w:rPr>
          <w:rFonts w:hint="eastAsia" w:ascii="宋体" w:hAnsi="宋体" w:eastAsia="宋体" w:cs="宋体"/>
          <w:color w:val="auto"/>
          <w:sz w:val="24"/>
          <w:szCs w:val="24"/>
          <w:highlight w:val="none"/>
          <w:lang w:eastAsia="zh-CN"/>
        </w:rPr>
        <w:t xml:space="preserve">作</w:t>
      </w:r>
      <w:r>
        <w:rPr>
          <w:rFonts w:hint="eastAsia" w:ascii="宋体" w:hAnsi="宋体" w:eastAsia="宋体" w:cs="宋体"/>
          <w:color w:val="auto"/>
          <w:sz w:val="24"/>
          <w:szCs w:val="24"/>
          <w:highlight w:val="none"/>
        </w:rPr>
        <w:t xml:space="preserve">无效投标处理。</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28" w:name="_Toc513029227"/>
      <w:r/>
      <w:bookmarkStart w:id="129" w:name="_Toc16938543"/>
      <w:r/>
      <w:bookmarkStart w:id="130" w:name="_Toc20823299"/>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投标文件</w:t>
      </w:r>
      <w:bookmarkEnd w:id="128"/>
      <w:r/>
      <w:bookmarkEnd w:id="129"/>
      <w:r/>
      <w:bookmarkEnd w:id="130"/>
      <w:r>
        <w:rPr>
          <w:rFonts w:hint="eastAsia" w:ascii="宋体" w:hAnsi="宋体" w:eastAsia="宋体" w:cs="宋体"/>
          <w:color w:val="auto"/>
          <w:sz w:val="24"/>
          <w:szCs w:val="24"/>
          <w:highlight w:val="none"/>
        </w:rPr>
        <w:t xml:space="preserve">的拒收</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1" w:name="_Toc513029228"/>
      <w:r/>
      <w:bookmarkStart w:id="132" w:name="_Toc16938544"/>
      <w:r/>
      <w:bookmarkStart w:id="133" w:name="_Toc20823300"/>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投标文件的撤回和修改</w:t>
      </w:r>
      <w:bookmarkEnd w:id="131"/>
      <w:r/>
      <w:bookmarkEnd w:id="132"/>
      <w:r/>
      <w:bookmarkEnd w:id="133"/>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663"/>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4" w:name="_Toc513029229"/>
      <w:r/>
      <w:bookmarkStart w:id="135" w:name="_Toc120614218"/>
      <w:r/>
      <w:bookmarkStart w:id="136" w:name="_Toc16938545"/>
      <w:r/>
      <w:bookmarkStart w:id="137" w:name="_Toc20823301"/>
      <w:r>
        <w:rPr>
          <w:rFonts w:hint="eastAsia" w:ascii="宋体" w:hAnsi="宋体" w:eastAsia="宋体" w:cs="宋体"/>
          <w:b/>
          <w:color w:val="auto"/>
          <w:sz w:val="24"/>
          <w:szCs w:val="24"/>
          <w:highlight w:val="none"/>
        </w:rPr>
        <w:t xml:space="preserve">五、开标与评标</w:t>
      </w:r>
      <w:bookmarkEnd w:id="134"/>
      <w:r/>
      <w:bookmarkEnd w:id="135"/>
      <w:r/>
      <w:bookmarkEnd w:id="136"/>
      <w:r/>
      <w:bookmarkEnd w:id="137"/>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8" w:name="_Toc513029230"/>
      <w:r/>
      <w:bookmarkStart w:id="139" w:name="_Toc20823302"/>
      <w:r/>
      <w:bookmarkStart w:id="140" w:name="_Toc16938546"/>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开标</w:t>
      </w:r>
      <w:bookmarkEnd w:id="138"/>
      <w:r/>
      <w:bookmarkEnd w:id="139"/>
      <w:r/>
      <w:bookmarkEnd w:id="140"/>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w:t>
      </w:r>
      <w:r>
        <w:rPr>
          <w:rFonts w:hint="eastAsia" w:ascii="宋体" w:hAnsi="宋体" w:eastAsia="宋体" w:cs="宋体"/>
          <w:color w:val="auto"/>
          <w:sz w:val="24"/>
          <w:szCs w:val="24"/>
          <w:highlight w:val="none"/>
          <w:lang w:eastAsia="zh-CN"/>
        </w:rPr>
        <w:t xml:space="preserve">涉及的</w:t>
      </w:r>
      <w:r>
        <w:rPr>
          <w:rFonts w:hint="eastAsia" w:ascii="宋体" w:hAnsi="宋体" w:eastAsia="宋体" w:cs="宋体"/>
          <w:color w:val="auto"/>
          <w:sz w:val="24"/>
          <w:szCs w:val="24"/>
          <w:highlight w:val="none"/>
        </w:rPr>
        <w:t xml:space="preserve">投标文件解密、开标结果确认等工作，应按照《操作手册》规定执行。</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1" w:name="_Toc16938547"/>
      <w:r/>
      <w:bookmarkStart w:id="142" w:name="_Toc513029231"/>
      <w:r/>
      <w:bookmarkStart w:id="143" w:name="_Toc20823303"/>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评标委员会</w:t>
      </w:r>
      <w:bookmarkEnd w:id="141"/>
      <w:r/>
      <w:bookmarkEnd w:id="142"/>
      <w:r/>
      <w:bookmarkEnd w:id="143"/>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评标过程的保密与公正</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采购人、代理机构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4" w:name="_Toc513029232"/>
      <w:r/>
      <w:bookmarkStart w:id="145" w:name="_Toc16938548"/>
      <w:r/>
      <w:bookmarkStart w:id="146" w:name="_Toc20823304"/>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投标文件的澄清</w:t>
      </w:r>
      <w:bookmarkEnd w:id="144"/>
      <w:r/>
      <w:bookmarkEnd w:id="145"/>
      <w:r/>
      <w:bookmarkEnd w:id="146"/>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7" w:name="_Toc16938549"/>
      <w:r/>
      <w:bookmarkStart w:id="148" w:name="_Toc20823305"/>
      <w:r/>
      <w:bookmarkStart w:id="149" w:name="_Toc513029233"/>
      <w:r>
        <w:rPr>
          <w:rFonts w:hint="eastAsia" w:ascii="宋体" w:hAnsi="宋体" w:eastAsia="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对投标文件的初审</w:t>
      </w:r>
      <w:bookmarkEnd w:id="147"/>
      <w:r/>
      <w:bookmarkEnd w:id="148"/>
      <w:r/>
      <w:bookmarkEnd w:id="149"/>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将不再告知未通过资格审查和符合性审查的原因。</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0" w:name="_Toc20823306"/>
      <w:r/>
      <w:bookmarkStart w:id="151" w:name="_Toc513029234"/>
      <w:r/>
      <w:bookmarkStart w:id="152"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无效投标条款和废标条款</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3" w:name="_Toc20823307"/>
      <w:r/>
      <w:bookmarkStart w:id="154" w:name="_Toc513029235"/>
      <w:r/>
      <w:bookmarkStart w:id="155" w:name="_Toc16938551"/>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6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26.1.10投标人不能证明其报价合理性的，评标委员会应当将其作为无效投标处理。</w:t>
      </w:r>
      <w:r/>
    </w:p>
    <w:p>
      <w:pPr>
        <w:pStyle w:val="66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（一）评审过程中出现下列情形之一的，评标委员会应当启动异常低价投标审查程序：</w:t>
      </w:r>
      <w:r/>
    </w:p>
    <w:p>
      <w:pPr>
        <w:pStyle w:val="66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1.投标报价低于全部通过符合性审查供应商投标报价平均值50%的，即投标报价&lt;全部通过符合性审查供应商投标报价平均值×50%； </w:t>
      </w:r>
      <w:r/>
    </w:p>
    <w:p>
      <w:pPr>
        <w:pStyle w:val="66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2.投标报价低于通过符合性审查的次低报价供应商投标报价50%的，即投标报价&lt;通过符合性审查的次低报价供应商投标报价×50%； </w:t>
      </w:r>
      <w:r/>
    </w:p>
    <w:p>
      <w:pPr>
        <w:pStyle w:val="66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3.投标报价低于采购项目最高限价45%的，即投标报价&lt;采购项目最高限价×45%； </w:t>
      </w:r>
      <w:r/>
    </w:p>
    <w:p>
      <w:pPr>
        <w:pStyle w:val="66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4.评审委员会基于专业判断，认为供应商报价过低，有可能影响产品质量或者不能诚信履约的其他情形。</w:t>
      </w:r>
      <w:r/>
    </w:p>
    <w:p>
      <w:pPr>
        <w:pStyle w:val="66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66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66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663"/>
        <w:ind w:left="0" w:firstLine="482"/>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及本招标文件规定的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实质响应的供应商不足三家的。</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63"/>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6" w:name="_Toc120614219"/>
      <w:r>
        <w:rPr>
          <w:rFonts w:hint="eastAsia" w:ascii="宋体" w:hAnsi="宋体" w:eastAsia="宋体" w:cs="宋体"/>
          <w:b/>
          <w:color w:val="auto"/>
          <w:sz w:val="24"/>
          <w:szCs w:val="24"/>
          <w:highlight w:val="none"/>
        </w:rPr>
        <w:t xml:space="preserve">六、定标</w:t>
      </w:r>
      <w:bookmarkEnd w:id="156"/>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7" w:name="_Toc20823310"/>
      <w:r/>
      <w:bookmarkStart w:id="158" w:name="_Toc513029238"/>
      <w:r/>
      <w:bookmarkStart w:id="159" w:name="_Toc16938554"/>
      <w:r>
        <w:rPr>
          <w:rFonts w:hint="eastAsia" w:ascii="宋体" w:hAnsi="宋体" w:eastAsia="宋体" w:cs="宋体"/>
          <w:color w:val="auto"/>
          <w:sz w:val="24"/>
          <w:szCs w:val="24"/>
          <w:highlight w:val="none"/>
          <w:lang w:eastAsia="zh-CN"/>
        </w:rPr>
        <w:t xml:space="preserve">27.</w:t>
      </w:r>
      <w:bookmarkEnd w:id="157"/>
      <w:r>
        <w:rPr>
          <w:rFonts w:hint="eastAsia" w:ascii="宋体" w:hAnsi="宋体" w:eastAsia="宋体" w:cs="宋体"/>
          <w:color w:val="auto"/>
          <w:sz w:val="24"/>
          <w:szCs w:val="24"/>
          <w:highlight w:val="none"/>
        </w:rPr>
        <w:t xml:space="preserve">确定</w:t>
      </w:r>
      <w:bookmarkEnd w:id="158"/>
      <w:r/>
      <w:bookmarkEnd w:id="159"/>
      <w:r>
        <w:rPr>
          <w:rFonts w:hint="eastAsia" w:ascii="宋体" w:hAnsi="宋体" w:eastAsia="宋体" w:cs="宋体"/>
          <w:color w:val="auto"/>
          <w:sz w:val="24"/>
          <w:szCs w:val="24"/>
          <w:highlight w:val="none"/>
        </w:rPr>
        <w:t xml:space="preserve">中标单位</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0" w:name="_Toc200451960"/>
      <w:r>
        <w:rPr>
          <w:rFonts w:hint="eastAsia" w:ascii="宋体" w:hAnsi="宋体" w:eastAsia="宋体" w:cs="宋体"/>
          <w:color w:val="auto"/>
          <w:sz w:val="24"/>
          <w:szCs w:val="24"/>
          <w:highlight w:val="none"/>
        </w:rPr>
        <w:t xml:space="preserve">27.5 有下列情形之一的，视为投标人串通投标，投标无效：</w:t>
      </w:r>
      <w:bookmarkEnd w:id="160"/>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28.</w:t>
      </w:r>
      <w:r>
        <w:rPr>
          <w:rFonts w:hint="eastAsia" w:ascii="宋体" w:hAnsi="宋体" w:eastAsia="宋体" w:cs="宋体"/>
          <w:color w:val="auto"/>
          <w:sz w:val="24"/>
          <w:szCs w:val="24"/>
          <w:highlight w:val="none"/>
        </w:rPr>
        <w:t xml:space="preserve">质疑处理</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负责答复。</w:t>
      </w:r>
      <w:r/>
    </w:p>
    <w:p>
      <w:pPr>
        <w:ind w:left="0" w:firstLine="480"/>
        <w:jc w:val="left"/>
        <w:pageBreakBefore w:val="0"/>
        <w:spacing w:line="48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采购人只接收以纸质原件形式送达的质疑，采购人不接受未填写快递运单的快件。</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中标通知书</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63"/>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1" w:name="_Toc513029236"/>
      <w:r/>
      <w:bookmarkStart w:id="162" w:name="_Toc16938552"/>
      <w:r/>
      <w:bookmarkStart w:id="163" w:name="_Toc20823308"/>
      <w:r/>
      <w:bookmarkStart w:id="164" w:name="_Toc120614220"/>
      <w:r>
        <w:rPr>
          <w:rFonts w:hint="eastAsia" w:ascii="宋体" w:hAnsi="宋体" w:eastAsia="宋体" w:cs="宋体"/>
          <w:b/>
          <w:color w:val="auto"/>
          <w:sz w:val="24"/>
          <w:szCs w:val="24"/>
          <w:highlight w:val="none"/>
        </w:rPr>
        <w:t xml:space="preserve">七、授予合同</w:t>
      </w:r>
      <w:bookmarkEnd w:id="161"/>
      <w:r/>
      <w:bookmarkEnd w:id="162"/>
      <w:r/>
      <w:bookmarkEnd w:id="163"/>
      <w:r/>
      <w:bookmarkEnd w:id="164"/>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5" w:name="_Toc513029237"/>
      <w:r/>
      <w:bookmarkStart w:id="166" w:name="_Toc20823309"/>
      <w:r/>
      <w:bookmarkStart w:id="167" w:name="_Toc16938553"/>
      <w:r>
        <w:rPr>
          <w:rFonts w:hint="eastAsia" w:ascii="宋体" w:hAnsi="宋体" w:eastAsia="宋体" w:cs="宋体"/>
          <w:color w:val="auto"/>
          <w:sz w:val="24"/>
          <w:szCs w:val="24"/>
          <w:highlight w:val="none"/>
        </w:rPr>
        <w:t xml:space="preserve">30.签订合同</w:t>
      </w:r>
      <w:bookmarkEnd w:id="165"/>
      <w:r/>
      <w:bookmarkEnd w:id="166"/>
      <w:r/>
      <w:bookmarkEnd w:id="167"/>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（备注：项目经办人在发标前应与采购人商定是否允许中标人分包履行合同，确定后该备注删除）</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31.</w:t>
      </w:r>
      <w:r>
        <w:rPr>
          <w:rFonts w:hint="eastAsia" w:ascii="宋体" w:hAnsi="宋体" w:eastAsia="宋体" w:cs="宋体"/>
          <w:color w:val="auto"/>
          <w:sz w:val="24"/>
          <w:szCs w:val="24"/>
          <w:highlight w:val="none"/>
        </w:rPr>
        <w:t xml:space="preserve">服务（包含与服务相关的货物）的追加</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”系统</w:t>
      </w:r>
      <w:r>
        <w:rPr>
          <w:rFonts w:hint="eastAsia" w:ascii="宋体" w:hAnsi="宋体" w:eastAsia="宋体" w:cs="宋体"/>
          <w:color w:val="auto"/>
          <w:sz w:val="24"/>
          <w:szCs w:val="24"/>
          <w:highlight w:val="none"/>
        </w:rPr>
        <w:t xml:space="preserve">操作手册。 </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w:t>
      </w:r>
      <w:r>
        <w:rPr>
          <w:rFonts w:hint="eastAsia" w:ascii="宋体" w:hAnsi="宋体" w:eastAsia="宋体" w:cs="宋体"/>
          <w:color w:val="auto"/>
          <w:sz w:val="24"/>
          <w:szCs w:val="24"/>
          <w:highlight w:val="none"/>
          <w:lang w:val="en-US"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66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采购人优先采购各级政府部门公开发布的有效期内的创新产品、创新服务、首台套、首购首用等《目录》中的创新产品。</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33.预付款制度</w:t>
      </w:r>
      <w:r/>
    </w:p>
    <w:p>
      <w:pPr>
        <w:pStyle w:val="663"/>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。在签订合同时，中标、成交供应商明确书面表示无需预付款或者主动要求降低预付款比例的，采购人可就预付款比例做相应调整。</w:t>
      </w:r>
      <w:r/>
    </w:p>
    <w:p>
      <w:pPr>
        <w:pStyle w:val="663"/>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34.代理服务费</w:t>
      </w:r>
      <w:r/>
    </w:p>
    <w:p>
      <w:pPr>
        <w:pStyle w:val="66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本项目代理服务费由招标人支付。</w:t>
      </w:r>
      <w:r/>
    </w:p>
    <w:p>
      <w:pPr>
        <w:pStyle w:val="66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6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6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6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6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6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6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6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500" w:lineRule="exact"/>
        <w:widowControl w:val="off"/>
        <w:rPr>
          <w:rFonts w:hint="eastAsia" w:ascii="黑体" w:hAnsi="宋体" w:eastAsia="黑体" w:cs="黑体"/>
          <w:b/>
          <w:color w:val="auto"/>
          <w:sz w:val="44"/>
          <w:szCs w:val="44"/>
          <w:highlight w:val="none"/>
          <w:lang w:val="en-US" w:eastAsia="zh-CN" w:bidi="ar-SA"/>
        </w:rPr>
      </w:pPr>
      <w:r>
        <w:rPr>
          <w:rFonts w:hint="eastAsia" w:ascii="黑体" w:hAnsi="宋体" w:eastAsia="黑体" w:cs="黑体"/>
          <w:b/>
          <w:color w:val="auto"/>
          <w:sz w:val="44"/>
          <w:szCs w:val="44"/>
          <w:highlight w:val="none"/>
          <w:lang w:val="en-US" w:eastAsia="zh-CN" w:bidi="ar-SA"/>
        </w:rPr>
        <w:t xml:space="preserve">第三章  合同文本</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8" w:name="_Toc16938559"/>
      <w:r/>
      <w:bookmarkStart w:id="169" w:name="_Toc513029243"/>
      <w:r/>
      <w:bookmarkStart w:id="170" w:name="_Toc20823315"/>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68"/>
      <w:r/>
      <w:bookmarkEnd w:id="169"/>
      <w:r/>
      <w:bookmarkEnd w:id="170"/>
      <w:r/>
      <w:r/>
    </w:p>
    <w:p>
      <w:pPr>
        <w:pStyle w:val="663"/>
        <w:jc w:val="center"/>
        <w:keepLines w:val="0"/>
        <w:keepNext w:val="0"/>
        <w:pageBreakBefore w:val="0"/>
        <w:spacing w:before="145" w:beforeAutospacing="0" w:after="145" w:afterAutospacing="0" w:line="500" w:lineRule="exact"/>
        <w:widowControl w:val="off"/>
        <w:rPr>
          <w:color w:val="auto"/>
          <w:sz w:val="24"/>
          <w:szCs w:val="24"/>
          <w:highlight w:val="none"/>
        </w:rPr>
      </w:pPr>
      <w:r>
        <w:rPr>
          <w:color w:val="auto"/>
          <w:sz w:val="24"/>
          <w:szCs w:val="24"/>
          <w:highlight w:val="none"/>
        </w:rPr>
        <w:t xml:space="preserve"> </w:t>
      </w:r>
      <w:r/>
    </w:p>
    <w:p>
      <w:pPr>
        <w:pStyle w:val="663"/>
        <w:jc w:val="center"/>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盐城市政府采购合同（服务）（合同编号）</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663"/>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663"/>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663"/>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663"/>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val="en-US" w:eastAsia="zh-CN"/>
        </w:rPr>
        <w:t xml:space="preserve">2026年东台市垃圾分类房运营服务采购项目</w:t>
      </w:r>
      <w:r>
        <w:rPr>
          <w:rFonts w:hint="eastAsia" w:ascii="宋体" w:hAnsi="宋体" w:eastAsia="宋体" w:cs="宋体"/>
          <w:color w:val="auto"/>
          <w:sz w:val="24"/>
          <w:szCs w:val="24"/>
          <w:highlight w:val="none"/>
        </w:rPr>
        <w:t xml:space="preserve">公开招标的结果，签署本合同。</w:t>
      </w:r>
      <w:r/>
    </w:p>
    <w:p>
      <w:pPr>
        <w:pStyle w:val="663"/>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663"/>
        <w:ind w:left="0" w:firstLine="480"/>
        <w:jc w:val="both"/>
        <w:keepLines w:val="0"/>
        <w:keepNext w:val="0"/>
        <w:pageBreakBefore w:val="0"/>
        <w:spacing w:beforeAutospacing="0" w:afterAutospacing="0" w:line="480" w:lineRule="exact"/>
        <w:widowControl w:val="off"/>
        <w:rPr>
          <w:rFonts w:hint="eastAsia" w:eastAsia="宋体"/>
          <w:color w:val="auto"/>
          <w:sz w:val="24"/>
          <w:szCs w:val="24"/>
          <w:highlight w:val="none"/>
          <w:lang w:eastAsia="zh-CN"/>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highlight w:val="none"/>
          <w:lang w:eastAsia="zh-CN"/>
        </w:rPr>
        <w:t xml:space="preserve">2026年东台市垃圾分类房运营服务采购项目</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 采购内容</w:t>
      </w:r>
      <w:r>
        <w:rPr>
          <w:rFonts w:hint="eastAsia" w:ascii="宋体" w:hAnsi="宋体" w:eastAsia="宋体" w:cs="宋体"/>
          <w:color w:val="auto"/>
          <w:highlight w:val="none"/>
          <w:lang w:val="en-US" w:eastAsia="zh-CN"/>
        </w:rPr>
        <w:t xml:space="preserve">及技术要求</w:t>
      </w:r>
      <w:r>
        <w:rPr>
          <w:rFonts w:hint="eastAsia" w:ascii="宋体" w:hAnsi="宋体" w:eastAsia="宋体" w:cs="宋体"/>
          <w:color w:val="auto"/>
          <w:highlight w:val="none"/>
        </w:rPr>
        <w:t xml:space="preserve">：</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1.2.1设施运营管理</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负责东台市93个小区内共183座垃圾分类设施的日常运营管理，具体包括：</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（1）设施构成：包含90座大型垃圾分类房、63座小型垃圾分类房及30座无人值守垃圾分类亭。</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（2）运营内容：开展可回收物回收、现场分类投放督导、分类收集管理，以及有害垃圾的集中分类与合规处置。</w:t>
      </w:r>
      <w:r/>
    </w:p>
    <w:p>
      <w:pPr>
        <w:pStyle w:val="663"/>
        <w:ind w:left="0" w:firstLine="480"/>
        <w:jc w:val="both"/>
        <w:keepLines w:val="0"/>
        <w:keepNext w:val="0"/>
        <w:pageBreakBefore w:val="0"/>
        <w:spacing w:beforeAutospacing="0"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（3）承担运营期间每座垃圾房的水电费用。</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1.2.2设施维护与安全保障</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（1）日常维护：承担全部183座垃圾房（亭）设施设备的日常维护、维修、安全管护及宣传标志标识牌的更换、更新等工作，确保各点位正常运行。</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（2）远程监控：负责153座设施的远程监控数据流量卡统一支付与费用结算，费用为64000元/年，该部分费用不可调整。</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1.2.3台账资料管理</w:t>
      </w:r>
      <w:r/>
    </w:p>
    <w:p>
      <w:pPr>
        <w:pStyle w:val="663"/>
        <w:ind w:left="0" w:firstLine="480"/>
        <w:jc w:val="both"/>
        <w:keepLines w:val="0"/>
        <w:keepNext w:val="0"/>
        <w:pageBreakBefore w:val="0"/>
        <w:spacing w:beforeAutospacing="0"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（1）运营小区台账：负责108个运营管理小区垃圾分类台账资料的收集、整理，汇总，胶装。按照厚度不同，预计1-3本。</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1.2.4宣传与公众教育</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（1）专项宣传活动：按照上级部门要求，组织开展“城管开放日”宣传活动。</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（2）迎检展示配合：配合采购人完成108个小区各类迎检、考核所需的专项宣传与现场布置展示。</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（3）宣传设施维护：负责108个小区内垃圾分类设施的维护，以及</w:t>
      </w:r>
      <w:r>
        <w:rPr>
          <w:rFonts w:hint="eastAsia" w:ascii="宋体" w:hAnsi="宋体" w:eastAsia="宋体" w:cs="宋体"/>
          <w:color w:val="auto"/>
          <w:sz w:val="24"/>
          <w:szCs w:val="24"/>
          <w:highlight w:val="none"/>
          <w:lang w:val="en-US" w:eastAsia="zh-CN"/>
        </w:rPr>
        <w:t xml:space="preserve">市区所有垃圾分类设施</w:t>
      </w:r>
      <w:r>
        <w:rPr>
          <w:rFonts w:hint="eastAsia" w:ascii="宋体" w:hAnsi="宋体" w:eastAsia="宋体" w:cs="宋体"/>
          <w:color w:val="auto"/>
          <w:highlight w:val="none"/>
          <w:lang w:val="en-US" w:eastAsia="zh-CN"/>
        </w:rPr>
        <w:t xml:space="preserve">宣传栏宣传氛围的破损更换。</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1.2.5其他相关服务</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（1）可回收物及有害垃圾清运与处置：按照规范要求，做好有害垃圾的分类清运与合规处置工作。</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（2）临时性工作：配合采购人完成与本项目运营相关的其他临时性工作。　　</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履行时间（期限）：</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年，自202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日至202</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日。（如服务期满，甲方仍未确定承接后续服务的中标供应商，则合同延续至新的中标供应商确定为止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结算以本合同中标价为基础结算）。</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注：如遇政策调整导致服务内容发生较大变化的，招标人可无条件终止合同并无需支付任何赔偿，已履约部分按中标总价折算成日单价进行结算。</w:t>
      </w:r>
      <w:r/>
    </w:p>
    <w:p>
      <w:pPr>
        <w:pStyle w:val="663"/>
        <w:ind w:left="0" w:firstLine="480"/>
        <w:jc w:val="both"/>
        <w:keepLines w:val="0"/>
        <w:keepNext w:val="0"/>
        <w:pageBreakBefore w:val="0"/>
        <w:spacing w:beforeAutospacing="0" w:afterAutospacing="0" w:line="480" w:lineRule="exact"/>
        <w:widowControl w:val="off"/>
        <w:rPr>
          <w:rFonts w:eastAsia="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履行地点：东台市</w:t>
      </w:r>
      <w:r/>
    </w:p>
    <w:p>
      <w:pPr>
        <w:pStyle w:val="66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二、合同金额</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 本合同金额为人民币_________元（大写：__________________元整），该金额为一年服务期的总费用，具体费用构成详见附件一。</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highlight w:val="none"/>
          <w:lang w:val="en-US" w:eastAsia="zh-CN"/>
        </w:rPr>
        <w:t xml:space="preserve">注：</w:t>
      </w:r>
      <w:r>
        <w:rPr>
          <w:rFonts w:hint="eastAsia" w:ascii="宋体" w:hAnsi="宋体" w:eastAsia="宋体" w:cs="宋体"/>
          <w:color w:val="auto"/>
          <w:highlight w:val="none"/>
        </w:rPr>
        <w:t xml:space="preserve">该价格包括人员工资福利、津贴、劳保费、各种保险、设备、人员食宿与交通、耗材、管理费、利润、税金等全部费用。</w:t>
      </w:r>
      <w:r/>
    </w:p>
    <w:p>
      <w:pPr>
        <w:pStyle w:val="66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highlight w:val="none"/>
        </w:rPr>
        <w:t xml:space="preserve">税费</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.1本合同执行中相关的一切税费均由乙方负担。</w:t>
      </w:r>
      <w:r/>
    </w:p>
    <w:p>
      <w:pPr>
        <w:pStyle w:val="66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四、知识产权</w:t>
      </w:r>
      <w:r/>
    </w:p>
    <w:p>
      <w:pPr>
        <w:pStyle w:val="66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4.1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乙方应保证甲方在使用、接受本合同标的或其任何一部分时不受第三方提出侵犯其专利权、版权、商标权和工业设计权等知识产权的起诉。一旦出现侵权，由乙方负全部责任。</w:t>
      </w:r>
      <w:r/>
    </w:p>
    <w:p>
      <w:pPr>
        <w:pStyle w:val="66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五、产权担保</w:t>
      </w:r>
      <w:r/>
    </w:p>
    <w:p>
      <w:pPr>
        <w:pStyle w:val="663"/>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highlight w:val="none"/>
        </w:rPr>
        <w:t xml:space="preserve">5.1 乙方保证所交付的合同标的的所有权完全属于乙方且无任何抵押、查封等产权瑕疵。</w:t>
      </w:r>
      <w:r/>
    </w:p>
    <w:p>
      <w:pPr>
        <w:pStyle w:val="663"/>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六、</w:t>
      </w:r>
      <w:r>
        <w:rPr>
          <w:rFonts w:hint="eastAsia" w:ascii="宋体" w:hAnsi="宋体" w:eastAsia="宋体" w:cs="宋体"/>
          <w:b/>
          <w:color w:val="auto"/>
          <w:highlight w:val="none"/>
        </w:rPr>
        <w:t xml:space="preserve">履约保证金</w:t>
      </w:r>
      <w:r/>
    </w:p>
    <w:p>
      <w:pPr>
        <w:pStyle w:val="663"/>
        <w:ind w:left="0" w:firstLine="480"/>
        <w:jc w:val="both"/>
        <w:keepLines w:val="0"/>
        <w:keepNext w:val="0"/>
        <w:pageBreakBefore w:val="0"/>
        <w:spacing w:beforeAutospacing="0" w:afterAutospacing="0"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.1乙方交纳人民币</w:t>
      </w:r>
      <w:r>
        <w:rPr>
          <w:rFonts w:hint="eastAsia" w:ascii="宋体" w:hAnsi="宋体" w:eastAsia="宋体" w:cs="宋体"/>
          <w:color w:val="auto"/>
          <w:sz w:val="24"/>
          <w:szCs w:val="24"/>
          <w:highlight w:val="none"/>
          <w:u w:val="single"/>
          <w:lang w:val="en-US" w:eastAsia="zh-CN"/>
        </w:rPr>
        <w:t xml:space="preserve"> 中标金额的5%  </w:t>
      </w:r>
      <w:r>
        <w:rPr>
          <w:rFonts w:hint="eastAsia" w:ascii="宋体" w:hAnsi="宋体" w:eastAsia="宋体" w:cs="宋体"/>
          <w:color w:val="auto"/>
          <w:sz w:val="24"/>
          <w:szCs w:val="24"/>
          <w:highlight w:val="none"/>
        </w:rPr>
        <w:t xml:space="preserve">作为本合同的履约保证金。</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6.2乙方如信用评价等级为AA评级及以上（需提供信用管理部门备案的第三方信用报告）的，则免收履约保证金。</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6.3.1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6.3.2 如以履约保函（保险）形式缴纳履约保证金，供应商可通过政府采购电子履约保函（保险）平台（www.jsdzbh.com）在线申请履约保函（保险）。</w:t>
      </w:r>
      <w:r/>
    </w:p>
    <w:p>
      <w:pPr>
        <w:pStyle w:val="663"/>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合同履行结束后，甲方应及时退还交纳的履约保证金。</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履约保证金的退还：</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.1方式：退还至投标人缴纳履约保证金的账户。如为保函，在到期时自行失效。</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.2时间</w:t>
      </w:r>
      <w:r>
        <w:rPr>
          <w:rFonts w:hint="eastAsia" w:ascii="宋体" w:hAnsi="宋体" w:eastAsia="宋体" w:cs="宋体"/>
          <w:color w:val="auto"/>
          <w:sz w:val="24"/>
          <w:szCs w:val="24"/>
          <w:highlight w:val="none"/>
          <w:lang w:val="en-US" w:eastAsia="zh-CN"/>
        </w:rPr>
        <w:t xml:space="preserve">及条件</w:t>
      </w:r>
      <w:r>
        <w:rPr>
          <w:rFonts w:hint="eastAsia" w:ascii="宋体" w:hAnsi="宋体" w:eastAsia="宋体" w:cs="宋体"/>
          <w:color w:val="auto"/>
          <w:sz w:val="24"/>
          <w:szCs w:val="24"/>
          <w:highlight w:val="none"/>
        </w:rPr>
        <w:t xml:space="preserve">：委托运营期结束后，经专业厂商检验系统各设备完好无损、符合正常要求后30日内。</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不予退还情形：</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投标人串通投标的；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逾期退还的违约责任：采购人逾期无故未退还履约保证金的，按中国人民银行同期贷款基准利率上浮20%后的利率支付超期资金占用费，但因供应商自身原因导致无法及时退还的除外。</w:t>
      </w:r>
      <w:r/>
    </w:p>
    <w:p>
      <w:pPr>
        <w:pStyle w:val="66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七、合同转包或分包</w:t>
      </w:r>
      <w:r/>
    </w:p>
    <w:p>
      <w:pPr>
        <w:pStyle w:val="66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7.1乙方不得将合同标的转包给他人履行。</w:t>
      </w:r>
      <w:r/>
    </w:p>
    <w:p>
      <w:pPr>
        <w:pStyle w:val="66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7.2乙方不得将合同标的分包给他人履行。</w:t>
      </w:r>
      <w:r/>
    </w:p>
    <w:p>
      <w:pPr>
        <w:pStyle w:val="66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66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八、考核及付款方式</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8.1 </w:t>
      </w:r>
      <w:r>
        <w:rPr>
          <w:rFonts w:hint="eastAsia" w:ascii="宋体" w:hAnsi="宋体" w:eastAsia="宋体" w:cs="宋体"/>
          <w:color w:val="auto"/>
          <w:highlight w:val="none"/>
        </w:rPr>
        <w:t xml:space="preserve">考核方式</w:t>
      </w:r>
      <w:r>
        <w:rPr>
          <w:rFonts w:hint="eastAsia" w:ascii="宋体" w:hAnsi="宋体" w:eastAsia="宋体" w:cs="宋体"/>
          <w:color w:val="auto"/>
          <w:highlight w:val="none"/>
          <w:lang w:eastAsia="zh-CN"/>
        </w:rPr>
        <w:t xml:space="preserve">：每月</w:t>
      </w:r>
      <w:r>
        <w:rPr>
          <w:rFonts w:hint="eastAsia" w:ascii="宋体" w:hAnsi="宋体" w:eastAsia="宋体" w:cs="宋体"/>
          <w:color w:val="auto"/>
          <w:highlight w:val="none"/>
        </w:rPr>
        <w:t xml:space="preserve">根据东台市环境卫生管理处考核办法进行考核，如乙方考核不通过，则服务费用暂停拨付，直至整改到位。</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8.2 </w:t>
      </w:r>
      <w:r>
        <w:rPr>
          <w:rFonts w:hint="eastAsia" w:ascii="宋体" w:hAnsi="宋体" w:eastAsia="宋体" w:cs="宋体"/>
          <w:color w:val="auto"/>
          <w:highlight w:val="none"/>
        </w:rPr>
        <w:t xml:space="preserve">付款方式：</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8.2.1</w:t>
      </w:r>
      <w:r>
        <w:rPr>
          <w:rFonts w:hint="eastAsia" w:ascii="宋体" w:hAnsi="宋体" w:eastAsia="宋体" w:cs="宋体"/>
          <w:color w:val="auto"/>
          <w:highlight w:val="none"/>
        </w:rPr>
        <w:t xml:space="preserve">合同签订后支付</w:t>
      </w:r>
      <w:r>
        <w:rPr>
          <w:rFonts w:hint="eastAsia" w:ascii="宋体" w:hAnsi="宋体" w:eastAsia="宋体" w:cs="宋体"/>
          <w:color w:val="auto"/>
          <w:highlight w:val="none"/>
          <w:lang w:val="en-US" w:eastAsia="zh-CN"/>
        </w:rPr>
        <w:t xml:space="preserve">预算价款30%的</w:t>
      </w:r>
      <w:r>
        <w:rPr>
          <w:rFonts w:hint="eastAsia" w:ascii="宋体" w:hAnsi="宋体" w:eastAsia="宋体" w:cs="宋体"/>
          <w:color w:val="auto"/>
          <w:highlight w:val="none"/>
        </w:rPr>
        <w:t xml:space="preserve">预付款</w:t>
      </w:r>
      <w:r>
        <w:rPr>
          <w:rFonts w:hint="eastAsia" w:ascii="宋体" w:hAnsi="宋体" w:eastAsia="宋体" w:cs="宋体"/>
          <w:color w:val="auto"/>
          <w:highlight w:val="none"/>
          <w:lang w:eastAsia="zh-CN"/>
        </w:rPr>
        <w:t xml:space="preserve">；</w:t>
      </w:r>
      <w:r/>
    </w:p>
    <w:p>
      <w:pPr>
        <w:pStyle w:val="663"/>
        <w:ind w:left="0" w:firstLine="480"/>
        <w:jc w:val="both"/>
        <w:keepLines w:val="0"/>
        <w:keepNext w:val="0"/>
        <w:pageBreakBefore w:val="0"/>
        <w:spacing w:beforeAutospacing="0"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8.2.2 服务时间满6个月，支付至合同价的50%（预付款项在结算时优先扣除）。</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8.2.3 服务期满后一次性付清余款。</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8.2.4 </w:t>
      </w:r>
      <w:r>
        <w:rPr>
          <w:rFonts w:hint="eastAsia" w:ascii="宋体" w:hAnsi="宋体" w:eastAsia="宋体" w:cs="宋体"/>
          <w:color w:val="auto"/>
          <w:highlight w:val="none"/>
        </w:rPr>
        <w:t xml:space="preserve">如经上级部门检查不合格或被环保部门处罚，</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将对</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进行处罚，相关处罚费用直接从应付运行服务费中予以扣除。</w:t>
      </w:r>
      <w:r/>
    </w:p>
    <w:p>
      <w:pPr>
        <w:pStyle w:val="663"/>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8.</w:t>
      </w:r>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rPr>
        <w:t xml:space="preserve"> 以上付款均无银行利息，且乙方需提供相应金额的有效票据。</w:t>
      </w:r>
      <w:r/>
    </w:p>
    <w:p>
      <w:pPr>
        <w:pStyle w:val="663"/>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8.</w:t>
      </w:r>
      <w:r>
        <w:rPr>
          <w:rFonts w:hint="eastAsia" w:ascii="宋体" w:hAnsi="宋体" w:eastAsia="宋体" w:cs="宋体"/>
          <w:color w:val="auto"/>
          <w:highlight w:val="none"/>
          <w:lang w:val="en-US" w:eastAsia="zh-CN"/>
        </w:rPr>
        <w:t xml:space="preserve">2.6</w:t>
      </w:r>
      <w:r>
        <w:rPr>
          <w:rFonts w:hint="eastAsia" w:ascii="宋体" w:hAnsi="宋体" w:eastAsia="宋体" w:cs="宋体"/>
          <w:color w:val="auto"/>
          <w:highlight w:val="none"/>
        </w:rPr>
        <w:t xml:space="preserve"> 在签订合同时，乙方明确表示无需预付款或者主动要求降低预付款比例的，甲方可不适用上述关于预付款的规定。</w:t>
      </w:r>
      <w:r/>
    </w:p>
    <w:p>
      <w:pPr>
        <w:pStyle w:val="663"/>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8.</w:t>
      </w:r>
      <w:r>
        <w:rPr>
          <w:rFonts w:hint="eastAsia" w:ascii="宋体" w:hAnsi="宋体" w:eastAsia="宋体" w:cs="宋体"/>
          <w:color w:val="auto"/>
          <w:highlight w:val="none"/>
          <w:lang w:val="en-US" w:eastAsia="zh-CN"/>
        </w:rPr>
        <w:t xml:space="preserve">2.7</w:t>
      </w:r>
      <w:r>
        <w:rPr>
          <w:rFonts w:hint="eastAsia" w:ascii="宋体" w:hAnsi="宋体" w:eastAsia="宋体" w:cs="宋体"/>
          <w:color w:val="auto"/>
          <w:highlight w:val="none"/>
        </w:rPr>
        <w:t xml:space="preserve"> 甲方原则上自收到发票后10个工作日内将资金支付到乙方账户。</w:t>
      </w:r>
      <w:r/>
    </w:p>
    <w:p>
      <w:pPr>
        <w:pStyle w:val="66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九、双方的权利与义务</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.1 甲方依据招标文件要求及本合同约定的服务绩效考核办法对乙方提供的服务进行绩效考核。当绩效考核结果未达到标准时，根据绩效考核办法约定的费率系数扣除相应的服务费。</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.2 甲方负责检查监督乙方工作的实施及制度的执行情况。</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.3 甲方须为乙方进驻小区服务提供必要的协调及政策支持。</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.4 在服务期间，甲方为保障乙方在小区的运营服务提供必要的支持。</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.5 国家法律法规所规定由甲方承担的其他责任。</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.6 乙方必须严格按照住建部《生活垃圾分类制度实施方案》中的相关规定，及时高效地维护各小区再生资源与垃圾分类设备。</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.7 乙方应保证所提供的服务或其任何一部分均不会侵犯任何第三方的专利权、商标权或著作权，由此产生的一切责任由乙方负责。</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.8 乙方需及时向甲方通告本项目服务范围内有关服务的重大事项，及时配合处理投诉。</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.9 乙方需及时做好本项目的数据统计、宣传展示等工作。</w:t>
      </w:r>
      <w:r/>
    </w:p>
    <w:p>
      <w:pPr>
        <w:pStyle w:val="663"/>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.10 国家法律法规所规定由乙方承担的其他责任。</w:t>
      </w:r>
      <w:r/>
    </w:p>
    <w:p>
      <w:pPr>
        <w:pStyle w:val="663"/>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十、违约责任</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10.1 甲方不按合同规定支付合同款，将按银行同期利率加倍罚息。</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10.2 甲方在乙方存在如下违约情况时，有权单方面终止全部或部分合同，并保留进一步追究乙方责任的权利（包括经济赔偿）。</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（1）乙方未能履行合同规定义务的；</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（2）乙方考核服务质量达不到要求的；</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（3）与招标文件不符合做法的，或不履行其投标文件承诺的。</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（4）对甲方整改意见未及时整改或不服从甲方管理等情况。</w:t>
      </w:r>
      <w:r/>
    </w:p>
    <w:p>
      <w:pPr>
        <w:pStyle w:val="66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10.3 除法律另有规定及本合同另有约定外，如甲乙双方中任何一方单方面终止合同，视为违约，违约方应向守约方支付违约金，并承担因合同终止给对方造成的全部经济损失。</w:t>
      </w:r>
      <w:r/>
    </w:p>
    <w:p>
      <w:pPr>
        <w:pStyle w:val="66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lang w:val="en-US" w:eastAsia="zh-CN"/>
        </w:rPr>
        <w:t xml:space="preserve">十一、</w:t>
      </w:r>
      <w:r>
        <w:rPr>
          <w:rFonts w:hint="eastAsia" w:ascii="宋体" w:hAnsi="宋体" w:eastAsia="宋体" w:cs="宋体"/>
          <w:b/>
          <w:color w:val="auto"/>
          <w:highlight w:val="none"/>
        </w:rPr>
        <w:t xml:space="preserve">项目验收</w:t>
      </w:r>
      <w:r/>
    </w:p>
    <w:p>
      <w:pPr>
        <w:pStyle w:val="66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.1 </w:t>
      </w:r>
      <w:r>
        <w:rPr>
          <w:rFonts w:hint="eastAsia" w:ascii="宋体" w:hAnsi="宋体" w:eastAsia="宋体" w:cs="宋体"/>
          <w:color w:val="auto"/>
          <w:highlight w:val="none"/>
          <w:lang w:val="en-US" w:eastAsia="zh-CN"/>
        </w:rPr>
        <w:t xml:space="preserve">履约期满后甲方将根据东台市环境卫生管理处考核办法对乙方进行考核</w:t>
      </w:r>
      <w:r>
        <w:rPr>
          <w:rFonts w:hint="eastAsia" w:ascii="宋体" w:hAnsi="宋体" w:eastAsia="宋体" w:cs="宋体"/>
          <w:color w:val="auto"/>
          <w:highlight w:val="none"/>
        </w:rPr>
        <w:t xml:space="preserve">。</w:t>
      </w:r>
      <w:r/>
    </w:p>
    <w:p>
      <w:pPr>
        <w:pStyle w:val="66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.2 验收合格的项目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highlight w:val="none"/>
          <w:lang w:eastAsia="zh-CN"/>
        </w:rPr>
        <w:t xml:space="preserve">中华人民共和国民法典</w:t>
      </w:r>
      <w:r>
        <w:rPr>
          <w:rFonts w:hint="eastAsia" w:ascii="宋体" w:hAnsi="宋体" w:eastAsia="宋体" w:cs="宋体"/>
          <w:color w:val="auto"/>
          <w:highlight w:val="none"/>
        </w:rPr>
        <w:t xml:space="preserve">》。乙方在履约过程中有政府采购法律法规规定的违法违规情形的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甲方将及时报告本级财政部门。</w:t>
      </w:r>
      <w:r/>
    </w:p>
    <w:p>
      <w:pPr>
        <w:pStyle w:val="66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二</w:t>
      </w:r>
      <w:r>
        <w:rPr>
          <w:rFonts w:hint="eastAsia" w:ascii="宋体" w:hAnsi="宋体" w:eastAsia="宋体" w:cs="宋体"/>
          <w:b/>
          <w:color w:val="auto"/>
          <w:highlight w:val="none"/>
        </w:rPr>
        <w:t xml:space="preserve">、不可抗力事件处理</w:t>
      </w:r>
      <w:r/>
    </w:p>
    <w:p>
      <w:pPr>
        <w:pStyle w:val="663"/>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.1 在合同有效期内，任何一方因不可抗力事件导致不能履行合同，则合同履行期可延长，其延长期与不可抗力影响 期相同。</w:t>
      </w:r>
      <w:r/>
    </w:p>
    <w:p>
      <w:pPr>
        <w:pStyle w:val="66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.2 不可抗力事件发生后，应立即通知对方，并寄送有关权威机构出具的证明。</w:t>
      </w:r>
      <w:r/>
    </w:p>
    <w:p>
      <w:pPr>
        <w:pStyle w:val="66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 不可抗力事件延续120天以上，双方应通过友好协商，确定是否继续履行合同。</w:t>
      </w:r>
      <w:r/>
    </w:p>
    <w:p>
      <w:pPr>
        <w:pStyle w:val="66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rPr>
        <w:t xml:space="preserve">、解决争议的方法</w:t>
      </w:r>
      <w:r/>
    </w:p>
    <w:p>
      <w:pPr>
        <w:pStyle w:val="66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.1双方在签订、履行合同中所发生的一切争议，应通过友好协商解决。如协商不成，由甲方住所地人民法院管辖。</w:t>
      </w:r>
      <w:r/>
    </w:p>
    <w:p>
      <w:pPr>
        <w:pStyle w:val="66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四</w:t>
      </w:r>
      <w:r>
        <w:rPr>
          <w:rFonts w:hint="eastAsia" w:ascii="宋体" w:hAnsi="宋体" w:eastAsia="宋体" w:cs="宋体"/>
          <w:b/>
          <w:color w:val="auto"/>
          <w:highlight w:val="none"/>
        </w:rPr>
        <w:t xml:space="preserve">、合同生效及其</w:t>
      </w:r>
      <w:r>
        <w:rPr>
          <w:rFonts w:hint="eastAsia" w:ascii="宋体" w:hAnsi="宋体" w:eastAsia="宋体" w:cs="宋体"/>
          <w:b/>
          <w:color w:val="auto"/>
          <w:highlight w:val="none"/>
          <w:lang w:eastAsia="zh-CN"/>
        </w:rPr>
        <w:t xml:space="preserve">他</w:t>
      </w:r>
      <w:r/>
    </w:p>
    <w:p>
      <w:pPr>
        <w:pStyle w:val="66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 合同经双方法定代表人或授权委托代表人签字并加盖单位公章后生效。</w:t>
      </w:r>
      <w:r/>
    </w:p>
    <w:p>
      <w:pPr>
        <w:pStyle w:val="66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.2本合同未尽事宜，遵照《</w:t>
      </w:r>
      <w:r>
        <w:rPr>
          <w:rFonts w:hint="eastAsia" w:ascii="宋体" w:hAnsi="宋体" w:eastAsia="宋体" w:cs="宋体"/>
          <w:color w:val="auto"/>
          <w:highlight w:val="none"/>
          <w:lang w:eastAsia="zh-CN"/>
        </w:rPr>
        <w:t xml:space="preserve">中华人民共和国民法典》《中华人民共和国政府采购法》等</w:t>
      </w:r>
      <w:r>
        <w:rPr>
          <w:rFonts w:hint="eastAsia" w:ascii="宋体" w:hAnsi="宋体" w:eastAsia="宋体" w:cs="宋体"/>
          <w:color w:val="auto"/>
          <w:highlight w:val="none"/>
        </w:rPr>
        <w:t xml:space="preserve">有关条文执行。</w:t>
      </w:r>
      <w:r/>
    </w:p>
    <w:p>
      <w:pPr>
        <w:pStyle w:val="663"/>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.3 本合同一式</w:t>
      </w:r>
      <w:r>
        <w:rPr>
          <w:rFonts w:hint="eastAsia" w:ascii="宋体" w:hAnsi="宋体" w:eastAsia="宋体" w:cs="宋体"/>
          <w:color w:val="auto"/>
          <w:highlight w:val="none"/>
          <w:u w:val="single"/>
        </w:rPr>
        <w:t xml:space="preserve"> 六 </w:t>
      </w:r>
      <w:r>
        <w:rPr>
          <w:rFonts w:hint="eastAsia" w:ascii="宋体" w:hAnsi="宋体" w:eastAsia="宋体" w:cs="宋体"/>
          <w:color w:val="auto"/>
          <w:highlight w:val="none"/>
        </w:rPr>
        <w:t xml:space="preserve">份，甲乙双方各执两份，其余用于相关单位存档。</w:t>
      </w:r>
      <w:r/>
    </w:p>
    <w:p>
      <w:pPr>
        <w:pStyle w:val="663"/>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3"/>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663"/>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663"/>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663"/>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663"/>
        <w:jc w:val="center"/>
        <w:keepLines w:val="0"/>
        <w:keepNext w:val="0"/>
        <w:pageBreakBefore w:val="0"/>
        <w:spacing w:before="120" w:beforeAutospacing="0" w:after="120" w:afterAutospacing="0" w:line="500" w:lineRule="exact"/>
        <w:widowControl w:val="off"/>
        <w:rPr>
          <w:color w:val="auto"/>
          <w:highlight w:val="none"/>
        </w:rPr>
      </w:pPr>
      <w:r>
        <w:rPr>
          <w:rFonts w:hint="eastAsia" w:ascii="宋体" w:hAnsi="宋体" w:eastAsia="宋体" w:cs="宋体"/>
          <w:color w:val="auto"/>
          <w:sz w:val="24"/>
          <w:szCs w:val="24"/>
          <w:highlight w:val="none"/>
        </w:rPr>
        <w:t xml:space="preserve">                                          签订日期：      年    月   日</w:t>
      </w:r>
      <w:bookmarkStart w:id="171" w:name="_Toc479757211"/>
      <w:r/>
      <w:bookmarkStart w:id="172" w:name="_Toc16938590"/>
      <w:r/>
      <w:bookmarkStart w:id="173" w:name="_Hlt16619350"/>
      <w:r/>
      <w:bookmarkStart w:id="174" w:name="_Toc120614244"/>
      <w:r/>
      <w:bookmarkStart w:id="175" w:name="_Toc20823346"/>
      <w:r/>
      <w:bookmarkStart w:id="176" w:name="_Toc462564139"/>
      <w:r/>
      <w:bookmarkStart w:id="177" w:name="_Hlt16619369"/>
      <w:r>
        <w:rPr>
          <w:rFonts w:hint="eastAsia" w:ascii="黑体" w:hAnsi="宋体" w:eastAsia="黑体" w:cs="黑体"/>
          <w:color w:val="auto"/>
          <w:sz w:val="24"/>
          <w:szCs w:val="24"/>
          <w:highlight w:val="none"/>
        </w:rPr>
        <w:br w:type="page" w:clear="all"/>
      </w:r>
      <w:r>
        <w:rPr>
          <w:rFonts w:hint="eastAsia" w:ascii="黑体" w:hAnsi="宋体" w:eastAsia="黑体" w:cs="黑体"/>
          <w:color w:val="auto"/>
          <w:sz w:val="44"/>
          <w:szCs w:val="44"/>
          <w:highlight w:val="none"/>
        </w:rPr>
        <w:t xml:space="preserve"> 第</w:t>
      </w:r>
      <w:bookmarkEnd w:id="171"/>
      <w:r>
        <w:rPr>
          <w:rFonts w:hint="eastAsia" w:ascii="黑体" w:hAnsi="宋体" w:eastAsia="黑体" w:cs="黑体"/>
          <w:color w:val="auto"/>
          <w:sz w:val="44"/>
          <w:szCs w:val="44"/>
          <w:highlight w:val="none"/>
        </w:rPr>
        <w:t xml:space="preserve">四章 采购需求</w:t>
      </w:r>
      <w:bookmarkEnd w:id="172"/>
      <w:r/>
      <w:bookmarkEnd w:id="173"/>
      <w:r/>
      <w:bookmarkEnd w:id="174"/>
      <w:r/>
      <w:bookmarkEnd w:id="175"/>
      <w:r/>
      <w:bookmarkEnd w:id="176"/>
      <w:r/>
      <w:r/>
    </w:p>
    <w:p>
      <w:pPr>
        <w:pStyle w:val="66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bookmarkStart w:id="178" w:name="_Toc49090575"/>
      <w:r/>
      <w:bookmarkStart w:id="179" w:name="_Toc26554093"/>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服务类项目。</w:t>
      </w:r>
      <w:bookmarkEnd w:id="178"/>
      <w:r/>
      <w:bookmarkEnd w:id="179"/>
      <w:r/>
      <w:r/>
    </w:p>
    <w:p>
      <w:pPr>
        <w:pStyle w:val="66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663"/>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lang w:val="en-US" w:eastAsia="zh-CN"/>
        </w:rPr>
        <w:t xml:space="preserve">技术要求</w:t>
      </w:r>
      <w:r/>
    </w:p>
    <w:p>
      <w:pPr>
        <w:pStyle w:val="663"/>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1.服务范围及内容</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本项目为东台市环境卫生管理处2026年度垃圾房亭运营服务，具体范围与内容如下：</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1.1 设施运营管理</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负责东台市93个小区内共183座垃圾分类设施的日常运营管理，具体包括：</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设施构成：包含90座大型垃圾分类房、63座小型垃圾分类房及</w:t>
      </w:r>
      <w:r>
        <w:rPr>
          <w:rFonts w:hint="eastAsia" w:ascii="宋体" w:hAnsi="宋体" w:eastAsia="宋体" w:cs="宋体"/>
          <w:color w:val="auto"/>
          <w:sz w:val="24"/>
          <w:szCs w:val="32"/>
          <w:highlight w:val="none"/>
          <w:lang w:eastAsia="zh-CN"/>
        </w:rPr>
        <w:t xml:space="preserve">30座</w:t>
      </w:r>
      <w:r>
        <w:rPr>
          <w:rFonts w:hint="eastAsia" w:ascii="宋体" w:hAnsi="宋体" w:eastAsia="宋体" w:cs="宋体"/>
          <w:color w:val="auto"/>
          <w:sz w:val="24"/>
          <w:szCs w:val="32"/>
          <w:highlight w:val="none"/>
        </w:rPr>
        <w:t xml:space="preserve">无人值守垃圾分类亭。</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运营内容：开展可回收物回收、现场分类投放督导、分类收集管理，以及有害垃圾的集中分类与合规处置。</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撤桶并点：在93个小区中，完成5个小区的就近撤桶并点工作，优化分类投放布局。</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1.2 设施维护与安全保障</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日常维护：承担全部183座垃圾房（亭）设施设备的日常维护、维修</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安全管护</w:t>
      </w:r>
      <w:r>
        <w:rPr>
          <w:rFonts w:hint="eastAsia" w:ascii="宋体" w:hAnsi="宋体" w:eastAsia="宋体" w:cs="宋体"/>
          <w:color w:val="auto"/>
          <w:sz w:val="24"/>
          <w:szCs w:val="32"/>
          <w:highlight w:val="none"/>
          <w:lang w:val="en-US" w:eastAsia="zh-CN"/>
        </w:rPr>
        <w:t xml:space="preserve">及宣传标志标识牌的更换、更新等工作</w:t>
      </w:r>
      <w:r>
        <w:rPr>
          <w:rFonts w:hint="eastAsia" w:ascii="宋体" w:hAnsi="宋体" w:eastAsia="宋体" w:cs="宋体"/>
          <w:color w:val="auto"/>
          <w:sz w:val="24"/>
          <w:szCs w:val="32"/>
          <w:highlight w:val="none"/>
        </w:rPr>
        <w:t xml:space="preserve">，确保各点位正常运行。</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远程监控：负责153座设施的远程监控数据流量卡统一支付与费用结算</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费用为64000元/年，该部分费用不可调整</w:t>
      </w:r>
      <w:r>
        <w:rPr>
          <w:rFonts w:hint="eastAsia" w:ascii="宋体" w:hAnsi="宋体" w:eastAsia="宋体" w:cs="宋体"/>
          <w:color w:val="auto"/>
          <w:sz w:val="24"/>
          <w:szCs w:val="32"/>
          <w:highlight w:val="none"/>
        </w:rPr>
        <w:t xml:space="preserve">。</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1.3 台账资料管理</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运营小区台账：负责108个运营管理小区垃圾分类台账资料的收集、整理，汇总，胶装。按照厚度不同，预计1-3本。</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1.4 宣传与公众教育</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专项宣传活动：组织开展1场“城管开放日”宣传活动。</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迎检展示配合：配合采购人完成108个小区各类迎检、考核所需的专项宣传与现场布置展示。</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宣传设施维护：负责108个小区内垃圾分类设施的维护，以及</w:t>
      </w:r>
      <w:r>
        <w:rPr>
          <w:rFonts w:hint="eastAsia" w:ascii="宋体" w:hAnsi="宋体" w:eastAsia="宋体" w:cs="宋体"/>
          <w:color w:val="auto"/>
          <w:sz w:val="24"/>
          <w:szCs w:val="24"/>
          <w:highlight w:val="none"/>
          <w:lang w:val="en-US" w:eastAsia="zh-CN"/>
        </w:rPr>
        <w:t xml:space="preserve">市区所有分类设施</w:t>
      </w:r>
      <w:r>
        <w:rPr>
          <w:rFonts w:hint="eastAsia" w:ascii="宋体" w:hAnsi="宋体" w:eastAsia="宋体" w:cs="宋体"/>
          <w:color w:val="auto"/>
          <w:sz w:val="24"/>
          <w:szCs w:val="32"/>
          <w:highlight w:val="none"/>
          <w:lang w:val="en-US" w:eastAsia="zh-CN"/>
        </w:rPr>
        <w:t xml:space="preserve">宣传栏宣传氛围的破损更换。</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1.5 其他相关服务</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可回收物及</w:t>
      </w:r>
      <w:r>
        <w:rPr>
          <w:rFonts w:hint="eastAsia" w:ascii="宋体" w:hAnsi="宋体" w:eastAsia="宋体" w:cs="宋体"/>
          <w:color w:val="auto"/>
          <w:sz w:val="24"/>
          <w:szCs w:val="32"/>
          <w:highlight w:val="none"/>
        </w:rPr>
        <w:t xml:space="preserve">有害垃圾</w:t>
      </w:r>
      <w:r>
        <w:rPr>
          <w:rFonts w:hint="eastAsia" w:ascii="宋体" w:hAnsi="宋体" w:eastAsia="宋体" w:cs="宋体"/>
          <w:color w:val="auto"/>
          <w:sz w:val="24"/>
          <w:szCs w:val="32"/>
          <w:highlight w:val="none"/>
          <w:lang w:val="en-US" w:eastAsia="zh-CN"/>
        </w:rPr>
        <w:t xml:space="preserve">清运与</w:t>
      </w:r>
      <w:r>
        <w:rPr>
          <w:rFonts w:hint="eastAsia" w:ascii="宋体" w:hAnsi="宋体" w:eastAsia="宋体" w:cs="宋体"/>
          <w:color w:val="auto"/>
          <w:sz w:val="24"/>
          <w:szCs w:val="32"/>
          <w:highlight w:val="none"/>
        </w:rPr>
        <w:t xml:space="preserve">处置：按照规范要求，做好有害垃圾的</w:t>
      </w:r>
      <w:r>
        <w:rPr>
          <w:rFonts w:hint="eastAsia" w:ascii="宋体" w:hAnsi="宋体" w:eastAsia="宋体" w:cs="宋体"/>
          <w:color w:val="auto"/>
          <w:sz w:val="24"/>
          <w:szCs w:val="32"/>
          <w:highlight w:val="none"/>
          <w:lang w:val="en-US" w:eastAsia="zh-CN"/>
        </w:rPr>
        <w:t xml:space="preserve">分类清运</w:t>
      </w:r>
      <w:r>
        <w:rPr>
          <w:rFonts w:hint="eastAsia" w:ascii="宋体" w:hAnsi="宋体" w:eastAsia="宋体" w:cs="宋体"/>
          <w:color w:val="auto"/>
          <w:sz w:val="24"/>
          <w:szCs w:val="32"/>
          <w:highlight w:val="none"/>
        </w:rPr>
        <w:t xml:space="preserve">与合规处置工作。</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临时性工作：配合采购人完成与本项目运营相关的其他临时性工作。</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1.6 服务范围明细</w:t>
      </w:r>
      <w:r/>
    </w:p>
    <w:tbl>
      <w:tblPr>
        <w:tblStyle w:val="656"/>
        <w:tblpPr w:horzAnchor="page" w:tblpXSpec="center" w:vertAnchor="text" w:tblpY="279" w:leftFromText="180" w:topFromText="0" w:rightFromText="180" w:bottomFromText="0"/>
        <w:tblW w:w="76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20"/>
        <w:gridCol w:w="2439"/>
        <w:gridCol w:w="1296"/>
        <w:gridCol w:w="1350"/>
        <w:gridCol w:w="1215"/>
      </w:tblGrid>
      <w:tr>
        <w:trPr>
          <w:jc w:val="center"/>
          <w:trHeight w:val="27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小区名称</w:t>
            </w:r>
            <w:r/>
          </w:p>
        </w:tc>
        <w:tc>
          <w:tcPr>
            <w:shd w:val="clear" w:color="auto" w:fill="auto"/>
            <w:tcBorders>
              <w:top w:val="single" w:color="000000" w:sz="4" w:space="0"/>
              <w:left w:val="none" w:color="000000" w:sz="4" w:space="0"/>
              <w:bottom w:val="single" w:color="000000" w:sz="4" w:space="0"/>
              <w:right w:val="single" w:color="000000" w:sz="4" w:space="0"/>
            </w:tcBorders>
            <w:tcW w:w="129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大分类房</w:t>
            </w:r>
            <w:r/>
          </w:p>
        </w:tc>
        <w:tc>
          <w:tcPr>
            <w:shd w:val="clear" w:color="auto" w:fill="auto"/>
            <w:tcBorders>
              <w:top w:val="single" w:color="000000" w:sz="4" w:space="0"/>
              <w:left w:val="none" w:color="000000" w:sz="4" w:space="0"/>
              <w:bottom w:val="single" w:color="000000" w:sz="4" w:space="0"/>
              <w:right w:val="single" w:color="000000" w:sz="4" w:space="0"/>
            </w:tcBorders>
            <w:tcW w:w="135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小分类房</w:t>
            </w:r>
            <w:r/>
          </w:p>
        </w:tc>
        <w:tc>
          <w:tcPr>
            <w:shd w:val="clear" w:color="auto" w:fill="auto"/>
            <w:tcBorders>
              <w:top w:val="single" w:color="000000" w:sz="4" w:space="0"/>
              <w:left w:val="none" w:color="000000" w:sz="4" w:space="0"/>
              <w:bottom w:val="single" w:color="000000" w:sz="4" w:space="0"/>
              <w:right w:val="single" w:color="000000" w:sz="4" w:space="0"/>
            </w:tcBorders>
            <w:tcW w:w="121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无人值守</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虹润华府</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润洋一品</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明星港湾</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富丽名苑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君豪华庭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八林一期</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八林二期</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上海丽苑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金水湾</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金鹰盛世花园（东区）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金鹰盛世花园（西区）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东园路美食街</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金地盛大</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东坝小区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红兰花园（南区）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红兰花园（北区）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金地不夜城</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怡和花园（西区）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怡和花园（南区）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南城花园西区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南城花园东区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建设公寓</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华汇骏景</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林城花园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茶城花园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水景湾</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龙晶河滨花园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金鹰御龙湾</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柏盛苑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秀峰美墅</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万水清华</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秀峰华庭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和平小区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新桥小区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中亚城市花园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新坝小区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窦楼小区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38</w:t>
            </w:r>
            <w:r/>
          </w:p>
        </w:tc>
        <w:tc>
          <w:tcPr>
            <w:shd w:val="clear" w:color="auto" w:fill="auto"/>
            <w:tcBorders>
              <w:top w:val="non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望海小区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东亭一村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景范小区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西湖花园南东区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西湖花园北区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景泰花园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阳光华庭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金鹰百合</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中江泓盛</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红兰名苑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东方一品</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金海康城</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金色佳园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圆融广场东区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圆融广场西区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德驰华府</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大地盛世和苑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滨河壹号</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时代豪庭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滨河花园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聚诚文正苑（南区）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聚诚文正苑（北区）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国宾府</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文林新村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唯城七号公馆</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博爱家园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红兰景苑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北海花园（南区）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北海花园（北区）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中瑞华府</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城中花园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书香名府</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森活绿郡</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通新一期</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通新二期</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人才公寓</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正方上林苑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凯帝京都</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聚龙双苑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翰林院（西区）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汇龙大厦</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金海西苑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天赐良缘</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厦门华苑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西海华庭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紫苑公馆</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仙湖花园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鑫光公寓</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新宁小区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商业新村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金阳广场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站前公寓</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盛大华都</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兴城国际</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黄海花苑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auto"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93</w:t>
            </w:r>
            <w:r/>
          </w:p>
        </w:tc>
        <w:tc>
          <w:tcPr>
            <w:shd w:val="clear" w:color="auto" w:fill="auto"/>
            <w:tcBorders>
              <w:top w:val="single" w:color="000000" w:sz="4" w:space="0"/>
              <w:left w:val="single" w:color="000000" w:sz="4" w:space="0"/>
              <w:bottom w:val="single" w:color="auto"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嘉和名城</w:t>
            </w:r>
            <w:r/>
          </w:p>
        </w:tc>
        <w:tc>
          <w:tcPr>
            <w:shd w:val="clear" w:color="auto" w:fill="auto"/>
            <w:tcBorders>
              <w:top w:val="single" w:color="000000" w:sz="4" w:space="0"/>
              <w:left w:val="single" w:color="000000" w:sz="4" w:space="0"/>
              <w:bottom w:val="single" w:color="auto"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r>
      <w:tr>
        <w:trPr>
          <w:jc w:val="center"/>
          <w:trHeight w:val="311"/>
        </w:trPr>
        <w:tc>
          <w:tcPr>
            <w:gridSpan w:val="2"/>
            <w:shd w:val="clear" w:color="auto" w:fill="auto"/>
            <w:tcBorders>
              <w:top w:val="single" w:color="auto" w:sz="4" w:space="0"/>
              <w:left w:val="single" w:color="auto" w:sz="4" w:space="0"/>
              <w:bottom w:val="single" w:color="auto" w:sz="4" w:space="0"/>
              <w:right w:val="single" w:color="auto" w:sz="4" w:space="0"/>
            </w:tcBorders>
            <w:tcW w:w="3759"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1296"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w:t>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w:t>
            </w:r>
            <w:r/>
          </w:p>
        </w:tc>
        <w:tc>
          <w:tcPr>
            <w:shd w:val="clear" w:color="auto" w:fill="auto"/>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r>
    </w:tbl>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2.服务内容</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将本小区居民家庭产生的生活垃圾按照厨余垃圾、可回收物、有害垃圾和其他垃圾四大类，在垃圾房亭内集中分类。</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垃圾分类人员要对居民进行宣传指导，如果居民投放不准确，要对错误投放垃圾的居民进行指导，并宣传到位。必要时对投放垃圾进行二次分类，保证小区垃圾准确分类。</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积极配合垃圾分类办公室对小区四分类情况进行每周的定期抽查和平常运营过程中的突击检查。</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负责服务区域内所有垃圾分类相关宣传品的日常巡查与维护。及时修复</w:t>
      </w:r>
      <w:r>
        <w:rPr>
          <w:rFonts w:hint="eastAsia" w:ascii="宋体" w:hAnsi="宋体" w:eastAsia="宋体" w:cs="宋体"/>
          <w:color w:val="auto"/>
          <w:sz w:val="24"/>
          <w:szCs w:val="32"/>
          <w:highlight w:val="none"/>
          <w:lang w:val="en-US" w:eastAsia="zh-CN"/>
        </w:rPr>
        <w:t xml:space="preserve">并更换破损宣传品</w:t>
      </w:r>
      <w:r>
        <w:rPr>
          <w:rFonts w:hint="eastAsia" w:ascii="宋体" w:hAnsi="宋体" w:eastAsia="宋体" w:cs="宋体"/>
          <w:color w:val="auto"/>
          <w:sz w:val="24"/>
          <w:szCs w:val="32"/>
          <w:highlight w:val="none"/>
        </w:rPr>
        <w:t xml:space="preserve">，确保宣传阵地整洁、有效。</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安排巡检员对93个小区的垃圾房（亭）设施设备进行日常巡查，重点检查设施完好性、运行状态及卫生情况，发现故障或问题及时处理或上报，保障所有设施正常运营。</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负责对各收集点的有害垃圾进行集中清运，并交由具有相应资质的专业处置单位进行规范处理，确保全过程合规，同时建立完善的有害垃圾收集、移交及处置台账。</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负责各点位可回收物的及时分类清运，做到日产日清或按实际需求增加清运频次，避免堆积满溢，保持收集点及周边环境整洁，并做好可回收物清运记录。</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rPr>
        <w:t xml:space="preserve">3.人员配备要求</w:t>
      </w:r>
      <w:r>
        <w:rPr>
          <w:rFonts w:hint="eastAsia" w:ascii="宋体" w:hAnsi="宋体" w:eastAsia="宋体" w:cs="宋体"/>
          <w:b/>
          <w:bCs/>
          <w:color w:val="auto"/>
          <w:sz w:val="24"/>
          <w:szCs w:val="32"/>
          <w:highlight w:val="none"/>
          <w:lang w:val="en-US" w:eastAsia="zh-CN"/>
        </w:rPr>
        <w:t xml:space="preserve">及工作内容</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本项目至少需配备项目经理1人，文员1人，巡检员</w:t>
      </w:r>
      <w:r>
        <w:rPr>
          <w:rFonts w:hint="eastAsia" w:ascii="宋体" w:hAnsi="宋体" w:eastAsia="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rPr>
        <w:t xml:space="preserve">人，</w:t>
      </w:r>
      <w:r>
        <w:rPr>
          <w:rFonts w:hint="eastAsia" w:ascii="宋体" w:hAnsi="宋体" w:eastAsia="宋体" w:cs="宋体"/>
          <w:color w:val="auto"/>
          <w:sz w:val="24"/>
          <w:szCs w:val="32"/>
          <w:highlight w:val="none"/>
          <w:lang w:val="en-US" w:eastAsia="zh-CN"/>
        </w:rPr>
        <w:t xml:space="preserve">驾驶员1人，</w:t>
      </w:r>
      <w:r>
        <w:rPr>
          <w:rFonts w:hint="eastAsia" w:ascii="宋体" w:hAnsi="宋体" w:eastAsia="宋体" w:cs="宋体"/>
          <w:color w:val="auto"/>
          <w:sz w:val="24"/>
          <w:szCs w:val="32"/>
          <w:highlight w:val="none"/>
        </w:rPr>
        <w:t xml:space="preserve">垃圾房分拣员不得低于70</w:t>
      </w:r>
      <w:r>
        <w:rPr>
          <w:rFonts w:hint="eastAsia" w:ascii="宋体" w:hAnsi="宋体" w:eastAsia="宋体" w:cs="宋体"/>
          <w:color w:val="auto"/>
          <w:sz w:val="24"/>
          <w:szCs w:val="32"/>
          <w:highlight w:val="none"/>
          <w:lang w:eastAsia="zh-CN"/>
        </w:rPr>
        <w:t xml:space="preserve">人</w:t>
      </w:r>
      <w:r>
        <w:rPr>
          <w:rFonts w:hint="eastAsia" w:ascii="宋体" w:hAnsi="宋体" w:eastAsia="宋体" w:cs="宋体"/>
          <w:color w:val="auto"/>
          <w:sz w:val="24"/>
          <w:szCs w:val="32"/>
          <w:highlight w:val="none"/>
        </w:rPr>
        <w:t xml:space="preserve">，并向乙方提供具体人员信息名单（包含姓名、小区、联系方式）。</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垃圾分类配备工作人员应为经过专业培训、职业道德素质良好、操控能力强、身体健康的人员；</w:t>
      </w:r>
      <w:r>
        <w:rPr>
          <w:rFonts w:hint="eastAsia" w:ascii="宋体" w:hAnsi="宋体" w:eastAsia="宋体" w:cs="宋体"/>
          <w:color w:val="auto"/>
          <w:sz w:val="24"/>
          <w:szCs w:val="32"/>
          <w:highlight w:val="none"/>
          <w:lang w:val="en-US" w:eastAsia="zh-CN"/>
        </w:rPr>
        <w:t xml:space="preserve">中标公司</w:t>
      </w:r>
      <w:r>
        <w:rPr>
          <w:rFonts w:hint="eastAsia" w:ascii="宋体" w:hAnsi="宋体" w:eastAsia="宋体" w:cs="宋体"/>
          <w:color w:val="auto"/>
          <w:sz w:val="24"/>
          <w:szCs w:val="32"/>
          <w:highlight w:val="none"/>
        </w:rPr>
        <w:t xml:space="preserve">应对垃圾分类人员进行安全教育和上岗培训，并承担人员的安全管理职责，包括支付补贴、处理工伤赔偿等事宜。工作人员应着装统一，且有明显所属单位标志</w:t>
      </w:r>
      <w:r>
        <w:rPr>
          <w:rFonts w:hint="eastAsia" w:ascii="宋体" w:hAnsi="宋体" w:eastAsia="宋体" w:cs="宋体"/>
          <w:color w:val="auto"/>
          <w:sz w:val="24"/>
          <w:szCs w:val="32"/>
          <w:highlight w:val="none"/>
          <w:lang w:eastAsia="zh-CN"/>
        </w:rPr>
        <w:t xml:space="preserve">。</w:t>
      </w:r>
      <w:r/>
    </w:p>
    <w:p>
      <w:pPr>
        <w:ind w:left="479" w:firstLine="0"/>
        <w:keepLines w:val="0"/>
        <w:keepNext w:val="0"/>
        <w:pageBreakBefore w:val="0"/>
        <w:spacing w:line="48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b/>
          <w:bCs/>
          <w:color w:val="auto"/>
          <w:sz w:val="24"/>
          <w:szCs w:val="32"/>
          <w:highlight w:val="none"/>
          <w:lang w:val="en-US" w:eastAsia="zh-CN"/>
        </w:rPr>
        <w:t xml:space="preserve">4.</w:t>
      </w:r>
      <w:r>
        <w:rPr>
          <w:rFonts w:hint="eastAsia" w:ascii="宋体" w:hAnsi="宋体" w:eastAsia="宋体" w:cs="宋体"/>
          <w:b/>
          <w:bCs/>
          <w:color w:val="auto"/>
          <w:sz w:val="24"/>
          <w:szCs w:val="32"/>
          <w:highlight w:val="none"/>
          <w:lang w:eastAsia="zh-CN"/>
        </w:rPr>
        <w:t xml:space="preserve">工作时间要求</w:t>
      </w:r>
      <w:r>
        <w:rPr>
          <w:rFonts w:hint="eastAsia" w:ascii="宋体" w:hAnsi="宋体" w:eastAsia="宋体" w:cs="宋体"/>
          <w:b/>
          <w:bCs/>
          <w:color w:val="auto"/>
          <w:sz w:val="24"/>
          <w:szCs w:val="32"/>
          <w:highlight w:val="none"/>
          <w:lang w:eastAsia="zh-CN"/>
        </w:rPr>
        <w:br/>
      </w:r>
      <w:r>
        <w:rPr>
          <w:rFonts w:hint="eastAsia" w:ascii="宋体" w:hAnsi="宋体" w:eastAsia="宋体" w:cs="宋体"/>
          <w:color w:val="auto"/>
          <w:sz w:val="24"/>
          <w:szCs w:val="32"/>
          <w:highlight w:val="none"/>
        </w:rPr>
        <w:t xml:space="preserve">督导分拣员的配备与上岗时间由中标公司根据各小区实际人流量、分类投放情况等因素自行合理安排，确保垃圾分类准确、现场环境整洁有序。中标公司应将具体的人员排班与上岗时间安排书面告知采购人。如后续投放安排需作调整，以招标人书面通知为准。</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lang w:eastAsia="zh-CN"/>
        </w:rPr>
      </w:pPr>
      <w:r>
        <w:rPr>
          <w:rFonts w:hint="eastAsia" w:ascii="宋体" w:hAnsi="宋体" w:eastAsia="宋体" w:cs="宋体"/>
          <w:b/>
          <w:bCs/>
          <w:color w:val="auto"/>
          <w:sz w:val="24"/>
          <w:szCs w:val="32"/>
          <w:highlight w:val="none"/>
          <w:lang w:val="en-US" w:eastAsia="zh-CN"/>
        </w:rPr>
        <w:t xml:space="preserve">5.</w:t>
      </w:r>
      <w:r>
        <w:rPr>
          <w:rFonts w:hint="eastAsia" w:ascii="宋体" w:hAnsi="宋体" w:eastAsia="宋体" w:cs="宋体"/>
          <w:b/>
          <w:bCs/>
          <w:color w:val="auto"/>
          <w:sz w:val="24"/>
          <w:szCs w:val="32"/>
          <w:highlight w:val="none"/>
          <w:lang w:eastAsia="zh-CN"/>
        </w:rPr>
        <w:t xml:space="preserve">各类垃圾的收集、清运要求</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 xml:space="preserve">有害垃圾：中标公司应负责有害垃圾的收集与清运工作，确保及时将有害垃圾运送至</w:t>
      </w:r>
      <w:r>
        <w:rPr>
          <w:rFonts w:hint="eastAsia" w:ascii="宋体" w:hAnsi="宋体" w:eastAsia="宋体" w:cs="宋体"/>
          <w:color w:val="auto"/>
          <w:sz w:val="24"/>
          <w:szCs w:val="32"/>
          <w:highlight w:val="none"/>
          <w:lang w:val="en-US" w:eastAsia="zh-CN"/>
        </w:rPr>
        <w:t xml:space="preserve">采购人</w:t>
      </w:r>
      <w:r>
        <w:rPr>
          <w:rFonts w:hint="eastAsia" w:ascii="宋体" w:hAnsi="宋体" w:eastAsia="宋体" w:cs="宋体"/>
          <w:color w:val="auto"/>
          <w:sz w:val="24"/>
          <w:szCs w:val="32"/>
          <w:highlight w:val="none"/>
          <w:lang w:eastAsia="zh-CN"/>
        </w:rPr>
        <w:t xml:space="preserve">指定的有害垃圾收集点，并交由具有相应处理资质的单位进行规范处置。中标公司应至少每年组织一次集中清运。年度清运总量在1吨（含）以内的，所有收集、运输及处置费用均由中标公司承担，并须向采购人提供相应的付款收据或有效凭证；若年度清运总量超过1吨，超出部分的费用，中标公司可凭有效凭证向采购人申请作为增项另行支付。</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可回收物：由中标公司自行分类收集清运，并做好相关台账记录。</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厨余垃圾及其他垃圾由环卫处统一收集处理。</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文明作业，在收集、运输、处置与兑换过程中，不得对场地及周边造成二次污染；</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定期对垃圾房亭及室内设施、周边环境等进行维护、清洗，保持完好、整洁并摆放有序；</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做好每日垃圾数据登记统计及相关数据分析，做好台账数据工作。</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中标公司</w:t>
      </w:r>
      <w:r>
        <w:rPr>
          <w:rFonts w:hint="eastAsia" w:ascii="宋体" w:hAnsi="宋体" w:eastAsia="宋体" w:cs="宋体"/>
          <w:color w:val="auto"/>
          <w:sz w:val="24"/>
          <w:szCs w:val="32"/>
          <w:highlight w:val="none"/>
        </w:rPr>
        <w:t xml:space="preserve">需保证分类房的整体结构，若遇到火灾等因素造成的损失，由</w:t>
      </w:r>
      <w:r>
        <w:rPr>
          <w:rFonts w:hint="eastAsia" w:ascii="宋体" w:hAnsi="宋体" w:eastAsia="宋体" w:cs="宋体"/>
          <w:color w:val="auto"/>
          <w:sz w:val="24"/>
          <w:szCs w:val="32"/>
          <w:highlight w:val="none"/>
          <w:lang w:val="en-US" w:eastAsia="zh-CN"/>
        </w:rPr>
        <w:t xml:space="preserve">中标公司</w:t>
      </w:r>
      <w:r>
        <w:rPr>
          <w:rFonts w:hint="eastAsia" w:ascii="宋体" w:hAnsi="宋体" w:eastAsia="宋体" w:cs="宋体"/>
          <w:color w:val="auto"/>
          <w:sz w:val="24"/>
          <w:szCs w:val="32"/>
          <w:highlight w:val="none"/>
        </w:rPr>
        <w:t xml:space="preserve">自行承担。</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val="en-US" w:eastAsia="zh-CN"/>
        </w:rPr>
        <w:t xml:space="preserve">6</w:t>
      </w:r>
      <w:r>
        <w:rPr>
          <w:rFonts w:hint="eastAsia" w:ascii="宋体" w:hAnsi="宋体" w:eastAsia="宋体" w:cs="宋体"/>
          <w:b/>
          <w:bCs/>
          <w:color w:val="auto"/>
          <w:sz w:val="24"/>
          <w:szCs w:val="32"/>
          <w:highlight w:val="none"/>
        </w:rPr>
        <w:t xml:space="preserve">.服务期限</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合同签订之日起计</w:t>
      </w: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rPr>
        <w:t xml:space="preserve">年。（如服务期满，</w:t>
      </w:r>
      <w:r>
        <w:rPr>
          <w:rFonts w:hint="eastAsia" w:ascii="宋体" w:hAnsi="宋体" w:eastAsia="宋体" w:cs="宋体"/>
          <w:color w:val="auto"/>
          <w:sz w:val="24"/>
          <w:szCs w:val="32"/>
          <w:highlight w:val="none"/>
          <w:lang w:val="en-US" w:eastAsia="zh-CN"/>
        </w:rPr>
        <w:t xml:space="preserve">招标人</w:t>
      </w:r>
      <w:r>
        <w:rPr>
          <w:rFonts w:hint="eastAsia" w:ascii="宋体" w:hAnsi="宋体" w:eastAsia="宋体" w:cs="宋体"/>
          <w:color w:val="auto"/>
          <w:sz w:val="24"/>
          <w:szCs w:val="32"/>
          <w:highlight w:val="none"/>
        </w:rPr>
        <w:t xml:space="preserve">仍未确定承接后续服务的中标供应商，则合同延续至新的中标供应商确定为止，结算以本合同中标价为基础结算）</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注：</w:t>
      </w:r>
      <w:r>
        <w:rPr>
          <w:rFonts w:hint="eastAsia" w:ascii="宋体" w:hAnsi="宋体" w:eastAsia="宋体" w:cs="宋体"/>
          <w:color w:val="auto"/>
          <w:sz w:val="24"/>
          <w:szCs w:val="32"/>
          <w:highlight w:val="none"/>
        </w:rPr>
        <w:t xml:space="preserve">如遇政策调整导致服务内容发生较大变化的，招标人可无条件终止合同并无需支付任何赔偿，已履约部分按中标总价折算成日单价进行结算。</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val="en-US" w:eastAsia="zh-CN"/>
        </w:rPr>
        <w:t xml:space="preserve">7</w:t>
      </w:r>
      <w:r>
        <w:rPr>
          <w:rFonts w:hint="eastAsia" w:ascii="宋体" w:hAnsi="宋体" w:eastAsia="宋体" w:cs="宋体"/>
          <w:b/>
          <w:bCs/>
          <w:color w:val="auto"/>
          <w:sz w:val="24"/>
          <w:szCs w:val="32"/>
          <w:highlight w:val="none"/>
        </w:rPr>
        <w:t xml:space="preserve">.履约地点</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东台市市区。</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val="en-US" w:eastAsia="zh-CN"/>
        </w:rPr>
        <w:t xml:space="preserve">8</w:t>
      </w:r>
      <w:r>
        <w:rPr>
          <w:rFonts w:hint="eastAsia" w:ascii="宋体" w:hAnsi="宋体" w:eastAsia="宋体" w:cs="宋体"/>
          <w:b/>
          <w:bCs/>
          <w:color w:val="auto"/>
          <w:sz w:val="24"/>
          <w:szCs w:val="32"/>
          <w:highlight w:val="none"/>
        </w:rPr>
        <w:t xml:space="preserve">.服务质量</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合格，符合国家发改委、住建部《生活垃圾分类制度实施方案》中的相关规定及《东台市区垃圾四分类考核办法》及国家、江苏省及盐城市主管部门出台的相关考核标准。</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val="en-US" w:eastAsia="zh-CN"/>
        </w:rPr>
        <w:t xml:space="preserve">9</w:t>
      </w:r>
      <w:r>
        <w:rPr>
          <w:rFonts w:hint="eastAsia" w:ascii="宋体" w:hAnsi="宋体" w:eastAsia="宋体" w:cs="宋体"/>
          <w:b/>
          <w:bCs/>
          <w:color w:val="auto"/>
          <w:sz w:val="24"/>
          <w:szCs w:val="32"/>
          <w:highlight w:val="none"/>
        </w:rPr>
        <w:t xml:space="preserve">.采购标的对应的中小企业划分标准所属行业一览表</w:t>
      </w:r>
      <w:r/>
    </w:p>
    <w:p>
      <w:pPr>
        <w:spacing w:line="94" w:lineRule="auto"/>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bl>
      <w:tblPr>
        <w:tblStyle w:val="675"/>
        <w:tblW w:w="8052" w:type="dxa"/>
        <w:tblInd w:w="14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2"/>
        <w:gridCol w:w="4978"/>
        <w:gridCol w:w="2282"/>
      </w:tblGrid>
      <w:tr>
        <w:trPr>
          <w:trHeight w:val="631"/>
        </w:trPr>
        <w:tc>
          <w:tcPr>
            <w:tcW w:w="792" w:type="dxa"/>
            <w:vAlign w:val="top"/>
            <w:textDirection w:val="lrTb"/>
            <w:noWrap w:val="false"/>
          </w:tcPr>
          <w:p>
            <w:pPr>
              <w:pStyle w:val="674"/>
              <w:ind w:left="160"/>
              <w:spacing w:before="195" w:line="221"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序号</w:t>
            </w:r>
            <w:r/>
          </w:p>
        </w:tc>
        <w:tc>
          <w:tcPr>
            <w:tcW w:w="4978" w:type="dxa"/>
            <w:vAlign w:val="top"/>
            <w:textDirection w:val="lrTb"/>
            <w:noWrap w:val="false"/>
          </w:tcPr>
          <w:p>
            <w:pPr>
              <w:pStyle w:val="674"/>
              <w:ind w:left="2015"/>
              <w:spacing w:before="195" w:line="219"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采购标的</w:t>
            </w:r>
            <w:r/>
          </w:p>
        </w:tc>
        <w:tc>
          <w:tcPr>
            <w:tcW w:w="2282" w:type="dxa"/>
            <w:vAlign w:val="top"/>
            <w:textDirection w:val="lrTb"/>
            <w:noWrap w:val="false"/>
          </w:tcPr>
          <w:p>
            <w:pPr>
              <w:pStyle w:val="674"/>
              <w:ind w:left="311" w:right="177" w:hanging="123"/>
              <w:spacing w:before="41" w:line="223"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对应中小微企业划分标准所属行业</w:t>
            </w:r>
            <w:r/>
          </w:p>
        </w:tc>
      </w:tr>
      <w:tr>
        <w:trPr>
          <w:trHeight w:val="641"/>
        </w:trPr>
        <w:tc>
          <w:tcPr>
            <w:tcW w:w="792" w:type="dxa"/>
            <w:vAlign w:val="top"/>
            <w:textDirection w:val="lrTb"/>
            <w:noWrap w:val="false"/>
          </w:tcPr>
          <w:p>
            <w:pPr>
              <w:pStyle w:val="674"/>
              <w:ind w:left="358"/>
              <w:spacing w:before="205" w:line="241"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4978" w:type="dxa"/>
            <w:vAlign w:val="top"/>
            <w:textDirection w:val="lrTb"/>
            <w:noWrap w:val="false"/>
          </w:tcPr>
          <w:p>
            <w:pPr>
              <w:pStyle w:val="674"/>
              <w:ind w:left="190"/>
              <w:spacing w:before="205" w:line="219" w:lineRule="auto"/>
              <w:rPr>
                <w:rFonts w:hint="eastAsia" w:ascii="宋体" w:hAnsi="宋体" w:eastAsia="宋体" w:cs="宋体"/>
                <w:color w:val="auto"/>
                <w:highlight w:val="none"/>
              </w:rPr>
            </w:pPr>
            <w:r>
              <w:rPr>
                <w:rFonts w:hint="eastAsia" w:ascii="宋体" w:hAnsi="宋体" w:eastAsia="宋体" w:cs="宋体"/>
                <w:color w:val="auto"/>
                <w:spacing w:val="-2"/>
                <w:highlight w:val="none"/>
                <w:lang w:eastAsia="zh-CN"/>
              </w:rPr>
              <w:t xml:space="preserve">2026</w:t>
            </w:r>
            <w:r>
              <w:rPr>
                <w:rFonts w:hint="eastAsia" w:ascii="宋体" w:hAnsi="宋体" w:eastAsia="宋体" w:cs="宋体"/>
                <w:color w:val="auto"/>
                <w:spacing w:val="-32"/>
                <w:highlight w:val="none"/>
              </w:rPr>
              <w:t xml:space="preserve"> </w:t>
            </w:r>
            <w:r>
              <w:rPr>
                <w:rFonts w:hint="eastAsia" w:ascii="宋体" w:hAnsi="宋体" w:eastAsia="宋体" w:cs="宋体"/>
                <w:color w:val="auto"/>
                <w:spacing w:val="-2"/>
                <w:highlight w:val="none"/>
              </w:rPr>
              <w:t xml:space="preserve">年东台市垃圾分类房运营服务采购项目</w:t>
            </w:r>
            <w:r/>
          </w:p>
        </w:tc>
        <w:tc>
          <w:tcPr>
            <w:tcW w:w="2282" w:type="dxa"/>
            <w:vAlign w:val="top"/>
            <w:textDirection w:val="lrTb"/>
            <w:noWrap w:val="false"/>
          </w:tcPr>
          <w:p>
            <w:pPr>
              <w:pStyle w:val="674"/>
              <w:ind w:left="310"/>
              <w:spacing w:before="206" w:line="219"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其他未列明行业</w:t>
            </w:r>
            <w:r/>
          </w:p>
        </w:tc>
      </w:tr>
    </w:tbl>
    <w:p>
      <w:pPr>
        <w:pStyle w:val="661"/>
        <w:rPr>
          <w:rFonts w:hint="eastAsia" w:ascii="宋体" w:hAnsi="宋体" w:eastAsia="宋体" w:cs="宋体"/>
          <w:color w:val="auto"/>
          <w:highlight w:val="none"/>
        </w:rPr>
        <w:sectPr>
          <w:footerReference w:type="default" r:id="rId9"/>
          <w:footnotePr/>
          <w:endnotePr/>
          <w:type w:val="nextPage"/>
          <w:pgSz w:w="11906" w:h="16839" w:orient="portrait"/>
          <w:pgMar w:top="1431" w:right="1625" w:bottom="1145" w:left="1785" w:header="0" w:footer="980" w:gutter="0"/>
          <w:cols w:num="1" w:sep="0" w:space="720" w:equalWidth="1"/>
          <w:docGrid w:linePitch="360"/>
        </w:sectPr>
      </w:pPr>
      <w:r>
        <w:rPr>
          <w:rFonts w:hint="eastAsia" w:ascii="宋体" w:hAnsi="宋体" w:eastAsia="宋体" w:cs="宋体"/>
          <w:color w:val="auto"/>
          <w:highlight w:val="none"/>
        </w:rPr>
      </w:r>
      <w:r/>
    </w:p>
    <w:p>
      <w:pPr>
        <w:pStyle w:val="663"/>
        <w:jc w:val="center"/>
        <w:keepNext/>
        <w:spacing w:beforeAutospacing="0" w:afterAutospacing="0"/>
        <w:rPr>
          <w:color w:val="auto"/>
          <w:highlight w:val="none"/>
        </w:rPr>
      </w:pPr>
      <w:r/>
      <w:bookmarkStart w:id="180"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63"/>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663"/>
        <w:ind w:left="0"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66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小微型企业价格扣除</w:t>
      </w:r>
      <w:r/>
    </w:p>
    <w:p>
      <w:pPr>
        <w:pStyle w:val="668"/>
        <w:ind w:left="0" w:firstLine="480"/>
        <w:keepLines w:val="0"/>
        <w:keepNext w:val="0"/>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给予20%的扣除价格，用扣除后的价格参与评审；若专门面向中小企业采购，不再对小型和微型企业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给予价格扣除。</w:t>
      </w:r>
      <w:r/>
    </w:p>
    <w:p>
      <w:pPr>
        <w:pStyle w:val="66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66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66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残疾人福利单位价格扣除</w:t>
      </w:r>
      <w:r/>
    </w:p>
    <w:p>
      <w:pPr>
        <w:pStyle w:val="66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6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66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66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监狱和戒毒企业价格扣除</w:t>
      </w:r>
      <w:r/>
    </w:p>
    <w:p>
      <w:pPr>
        <w:pStyle w:val="66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6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含新疆生产建设兵团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出具的属于监狱企业的证明文件。供应商如不提供上述证明文件，价格将不做相应扣除。</w:t>
      </w:r>
      <w:r/>
    </w:p>
    <w:p>
      <w:pPr>
        <w:pStyle w:val="66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66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残疾人福利单位、监狱企业属于小型、微型企业的，不重复享受政策。</w:t>
      </w:r>
      <w:r/>
    </w:p>
    <w:p>
      <w:pPr>
        <w:pStyle w:val="66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如果本项目同意联合体投标或同意分包履行合同的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66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3"/>
        <w:ind w:left="0"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tbl>
      <w:tblPr>
        <w:tblStyle w:val="6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849"/>
        <w:gridCol w:w="744"/>
        <w:gridCol w:w="429"/>
        <w:gridCol w:w="6074"/>
      </w:tblGrid>
      <w:tr>
        <w:trPr>
          <w:trHeight w:val="336"/>
        </w:trPr>
        <w:tc>
          <w:tcPr>
            <w:shd w:val="clear" w:color="auto" w:fill="auto"/>
            <w:tcW w:w="426"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序号</w:t>
            </w:r>
            <w:r/>
          </w:p>
        </w:tc>
        <w:tc>
          <w:tcPr>
            <w:shd w:val="clear" w:color="auto" w:fill="auto"/>
            <w:tcW w:w="660" w:type="dxa"/>
            <w:vAlign w:val="center"/>
            <w:textDirection w:val="lrTb"/>
            <w:noWrap w:val="false"/>
          </w:tcPr>
          <w:p>
            <w:pPr>
              <w:jc w:val="center"/>
              <w:rPr>
                <w:rFonts w:hint="eastAsia"/>
                <w:color w:val="auto"/>
                <w:highlight w:val="none"/>
              </w:rPr>
            </w:pPr>
            <w:r>
              <w:rPr>
                <w:rFonts w:hint="eastAsia"/>
                <w:color w:val="auto"/>
                <w:highlight w:val="none"/>
              </w:rPr>
              <w:t xml:space="preserve">分部</w:t>
            </w:r>
            <w:r/>
          </w:p>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内容</w:t>
            </w:r>
            <w:r/>
          </w:p>
        </w:tc>
        <w:tc>
          <w:tcPr>
            <w:shd w:val="clear" w:color="auto" w:fill="auto"/>
            <w:tcW w:w="756"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分项内容</w:t>
            </w:r>
            <w:r/>
          </w:p>
        </w:tc>
        <w:tc>
          <w:tcPr>
            <w:shd w:val="clear" w:color="auto" w:fill="auto"/>
            <w:tcW w:w="429"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分值</w:t>
            </w:r>
            <w:r/>
          </w:p>
        </w:tc>
        <w:tc>
          <w:tcPr>
            <w:shd w:val="clear" w:color="auto" w:fill="auto"/>
            <w:tcW w:w="6251"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打分要求</w:t>
            </w:r>
            <w:r/>
          </w:p>
        </w:tc>
      </w:tr>
      <w:tr>
        <w:trPr/>
        <w:tc>
          <w:tcPr>
            <w:shd w:val="clear" w:color="auto" w:fill="auto"/>
            <w:tcW w:w="426"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一</w:t>
            </w:r>
            <w:r/>
          </w:p>
        </w:tc>
        <w:tc>
          <w:tcPr>
            <w:shd w:val="clear" w:color="auto" w:fill="auto"/>
            <w:tcW w:w="660" w:type="dxa"/>
            <w:vAlign w:val="center"/>
            <w:textDirection w:val="lrTb"/>
            <w:noWrap w:val="false"/>
          </w:tcPr>
          <w:p>
            <w:pPr>
              <w:jc w:val="center"/>
              <w:rPr>
                <w:rFonts w:hint="eastAsia"/>
                <w:color w:val="auto"/>
                <w:highlight w:val="none"/>
              </w:rPr>
            </w:pPr>
            <w:r>
              <w:rPr>
                <w:rFonts w:hint="eastAsia"/>
                <w:color w:val="auto"/>
                <w:highlight w:val="none"/>
              </w:rPr>
              <w:t xml:space="preserve">价格</w:t>
            </w:r>
            <w:r/>
          </w:p>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部分</w:t>
            </w:r>
            <w:r/>
          </w:p>
        </w:tc>
        <w:tc>
          <w:tcPr>
            <w:shd w:val="clear" w:color="auto" w:fill="auto"/>
            <w:tcW w:w="756"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投标报价</w:t>
            </w:r>
            <w:r/>
          </w:p>
        </w:tc>
        <w:tc>
          <w:tcPr>
            <w:shd w:val="clear" w:color="auto" w:fill="auto"/>
            <w:tcW w:w="429"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10</w:t>
            </w:r>
            <w:r/>
          </w:p>
        </w:tc>
        <w:tc>
          <w:tcPr>
            <w:shd w:val="clear" w:color="auto" w:fill="auto"/>
            <w:tcW w:w="6251" w:type="dxa"/>
            <w:vAlign w:val="center"/>
            <w:textDirection w:val="lrTb"/>
            <w:noWrap w:val="false"/>
          </w:tcPr>
          <w:p>
            <w:pPr>
              <w:ind w:firstLine="420"/>
              <w:jc w:val="left"/>
              <w:rPr>
                <w:rFonts w:hint="eastAsia" w:asciiTheme="minorHAnsi" w:hAnsiTheme="minorHAnsi" w:eastAsiaTheme="minorEastAsia" w:cstheme="minorBidi"/>
                <w:color w:val="auto"/>
                <w:sz w:val="21"/>
                <w:szCs w:val="24"/>
                <w:highlight w:val="none"/>
                <w:lang w:val="en-US" w:eastAsia="zh-CN" w:bidi="ar-SA"/>
              </w:rPr>
            </w:pPr>
            <w:r>
              <w:rPr>
                <w:rFonts w:hint="eastAsia" w:ascii="宋体" w:hAnsi="宋体" w:eastAsia="宋体" w:cs="宋体"/>
                <w:color w:val="auto"/>
                <w:sz w:val="21"/>
                <w:szCs w:val="21"/>
                <w:highlight w:val="none"/>
                <w14:ligatures w14:val="none"/>
              </w:rPr>
              <w:t xml:space="preserve">满足招标文件要求且投标价格最低的投标报价为基准价，其价格分为满分。报价得分=（评标基准价/投标报价）×</w:t>
            </w:r>
            <w:r>
              <w:rPr>
                <w:rFonts w:hint="eastAsia" w:ascii="宋体" w:hAnsi="宋体" w:eastAsia="宋体" w:cs="宋体"/>
                <w:color w:val="auto"/>
                <w:sz w:val="21"/>
                <w:szCs w:val="21"/>
                <w:highlight w:val="none"/>
                <w:lang w:val="en-US" w:eastAsia="zh-CN"/>
                <w14:ligatures w14:val="none"/>
              </w:rPr>
              <w:t xml:space="preserve">10</w:t>
            </w:r>
            <w:r>
              <w:rPr>
                <w:rFonts w:hint="eastAsia" w:ascii="宋体" w:hAnsi="宋体" w:eastAsia="宋体" w:cs="宋体"/>
                <w:color w:val="auto"/>
                <w:sz w:val="21"/>
                <w:szCs w:val="21"/>
                <w:highlight w:val="none"/>
                <w14:ligatures w14:val="none"/>
              </w:rPr>
              <w:t xml:space="preserve">。</w:t>
            </w:r>
            <w:r/>
          </w:p>
        </w:tc>
      </w:tr>
      <w:tr>
        <w:trPr/>
        <w:tc>
          <w:tcPr>
            <w:shd w:val="clear" w:color="auto" w:fill="auto"/>
            <w:tcW w:w="426" w:type="dxa"/>
            <w:vAlign w:val="center"/>
            <w:vMerge w:val="restart"/>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二</w:t>
            </w:r>
            <w:r/>
          </w:p>
        </w:tc>
        <w:tc>
          <w:tcPr>
            <w:shd w:val="clear" w:color="auto" w:fill="auto"/>
            <w:tcW w:w="660"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技术</w:t>
            </w:r>
            <w:r/>
          </w:p>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部分</w:t>
            </w:r>
            <w:r>
              <w:rPr>
                <w:rFonts w:hint="eastAsia"/>
                <w:color w:val="auto"/>
                <w:highlight w:val="none"/>
                <w:lang w:eastAsia="zh-CN"/>
              </w:rPr>
              <w:t xml:space="preserve">（</w:t>
            </w:r>
            <w:r>
              <w:rPr>
                <w:rFonts w:hint="eastAsia"/>
                <w:color w:val="auto"/>
                <w:highlight w:val="none"/>
                <w:lang w:val="en-US" w:eastAsia="zh-CN"/>
              </w:rPr>
              <w:t xml:space="preserve">50</w:t>
            </w:r>
            <w:r>
              <w:rPr>
                <w:rFonts w:hint="eastAsia"/>
                <w:color w:val="auto"/>
                <w:highlight w:val="none"/>
                <w:lang w:eastAsia="zh-CN"/>
              </w:rPr>
              <w:t xml:space="preserve">）</w:t>
            </w:r>
            <w:r/>
          </w:p>
        </w:tc>
        <w:tc>
          <w:tcPr>
            <w:shd w:val="clear" w:color="auto" w:fill="auto"/>
            <w:tcW w:w="756"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项目总体实施方案</w:t>
            </w:r>
            <w:r/>
          </w:p>
        </w:tc>
        <w:tc>
          <w:tcPr>
            <w:shd w:val="clear" w:color="auto" w:fill="auto"/>
            <w:tcW w:w="429"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10</w:t>
            </w:r>
            <w:r/>
          </w:p>
        </w:tc>
        <w:tc>
          <w:tcPr>
            <w:shd w:val="clear" w:color="auto" w:fill="auto"/>
            <w:tcW w:w="6251" w:type="dxa"/>
            <w:vAlign w:val="center"/>
            <w:textDirection w:val="lrTb"/>
            <w:noWrap w:val="false"/>
          </w:tcPr>
          <w:p>
            <w:pPr>
              <w:ind w:firstLine="420"/>
              <w:jc w:val="left"/>
              <w:rPr>
                <w:rFonts w:hint="eastAsia"/>
                <w:color w:val="auto"/>
                <w:highlight w:val="none"/>
              </w:rPr>
            </w:pPr>
            <w:r>
              <w:rPr>
                <w:rFonts w:hint="eastAsia"/>
                <w:color w:val="auto"/>
                <w:highlight w:val="none"/>
              </w:rPr>
              <w:t xml:space="preserve">投标人提供的项目总体实施方案包含但不限于进场前准备，项目管理机构岗位设置，人员配置、培训与管理方案等内容。</w:t>
            </w:r>
            <w:r/>
          </w:p>
          <w:p>
            <w:pPr>
              <w:ind w:firstLine="420"/>
              <w:jc w:val="left"/>
              <w:rPr>
                <w:rFonts w:hint="eastAsia"/>
                <w:color w:val="auto"/>
                <w:highlight w:val="none"/>
              </w:rPr>
            </w:pPr>
            <w:r>
              <w:rPr>
                <w:rFonts w:hint="eastAsia"/>
                <w:color w:val="auto"/>
                <w:highlight w:val="none"/>
              </w:rPr>
              <w:t xml:space="preserve">满足以上4项要求最多得10分；满足任意一项最多得2.5分；其余情况不得分。</w:t>
            </w:r>
            <w:r/>
          </w:p>
          <w:p>
            <w:pPr>
              <w:ind w:firstLine="420"/>
              <w:jc w:val="left"/>
              <w:rPr>
                <w:rFonts w:hint="eastAsia"/>
                <w:color w:val="auto"/>
                <w:highlight w:val="none"/>
              </w:rPr>
            </w:pPr>
            <w:r>
              <w:rPr>
                <w:rFonts w:hint="eastAsia"/>
                <w:color w:val="auto"/>
                <w:highlight w:val="none"/>
              </w:rPr>
              <w:t xml:space="preserve">注：评审委员会根据各供应商的具体响应内容按照以下量化的评审因素指标对各项要求进行满足性判断：</w:t>
            </w:r>
            <w:r/>
          </w:p>
          <w:p>
            <w:pPr>
              <w:ind w:firstLine="420"/>
              <w:jc w:val="left"/>
              <w:rPr>
                <w:rFonts w:hint="eastAsia"/>
                <w:color w:val="auto"/>
                <w:highlight w:val="none"/>
              </w:rPr>
            </w:pPr>
            <w:r>
              <w:rPr>
                <w:rFonts w:hint="eastAsia"/>
                <w:color w:val="auto"/>
                <w:highlight w:val="none"/>
                <w:lang w:val="en-US" w:eastAsia="zh-CN"/>
              </w:rPr>
              <w:t xml:space="preserve">1.</w:t>
            </w:r>
            <w:r>
              <w:rPr>
                <w:rFonts w:hint="eastAsia"/>
                <w:color w:val="auto"/>
                <w:highlight w:val="none"/>
              </w:rPr>
              <w:t xml:space="preserve">方案完整详尽，专业性、可行性强，考虑周全，思路清晰，符合项目需求该项得2.5分；</w:t>
            </w:r>
            <w:r/>
          </w:p>
          <w:p>
            <w:pPr>
              <w:ind w:firstLine="420"/>
              <w:jc w:val="left"/>
              <w:rPr>
                <w:rFonts w:hint="eastAsia"/>
                <w:color w:val="auto"/>
                <w:highlight w:val="none"/>
              </w:rPr>
            </w:pPr>
            <w:r>
              <w:rPr>
                <w:rFonts w:hint="eastAsia"/>
                <w:color w:val="auto"/>
                <w:highlight w:val="none"/>
              </w:rPr>
              <w:t xml:space="preserve">2.对项目总体有一定的认识，方案较为完整、细致，思路较清晰，基本符合项目需求，该项得1.5分；</w:t>
            </w:r>
            <w:r/>
          </w:p>
          <w:p>
            <w:pPr>
              <w:ind w:firstLine="420"/>
              <w:jc w:val="left"/>
              <w:rPr>
                <w:rFonts w:hint="eastAsia"/>
                <w:color w:val="auto"/>
                <w:highlight w:val="none"/>
              </w:rPr>
            </w:pPr>
            <w:r>
              <w:rPr>
                <w:rFonts w:hint="eastAsia"/>
                <w:color w:val="auto"/>
                <w:highlight w:val="none"/>
              </w:rPr>
              <w:t xml:space="preserve">3.方案不细致，欠完善，与项目需求响应度低，项目理解思路一般该项得0.5分。</w:t>
            </w:r>
            <w:r/>
          </w:p>
          <w:p>
            <w:pPr>
              <w:ind w:firstLine="420"/>
              <w:jc w:val="lef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4.不提供或者经评标委员会不认可的不得分。2.对项目总体有一定的认识，方案较为完整、细致，思路较清晰，基本符合项目需求，该项得1.5分；</w:t>
            </w:r>
            <w:r/>
          </w:p>
        </w:tc>
      </w:tr>
      <w:tr>
        <w:trPr/>
        <w:tc>
          <w:tcPr>
            <w:shd w:val="clear" w:color="auto" w:fill="auto"/>
            <w:tcW w:w="426" w:type="dxa"/>
            <w:vAlign w:val="center"/>
            <w:vMerge w:val="continue"/>
            <w:textDirection w:val="lrTb"/>
            <w:noWrap w:val="false"/>
          </w:tcPr>
          <w:p>
            <w:pPr>
              <w:jc w:val="center"/>
              <w:rPr>
                <w:rFonts w:hint="eastAsia"/>
                <w:color w:val="auto"/>
                <w:highlight w:val="none"/>
              </w:rPr>
            </w:pPr>
            <w:r>
              <w:rPr>
                <w:rFonts w:hint="eastAsia"/>
                <w:color w:val="auto"/>
                <w:highlight w:val="none"/>
              </w:rPr>
            </w:r>
            <w:r/>
          </w:p>
        </w:tc>
        <w:tc>
          <w:tcPr>
            <w:shd w:val="clear" w:color="auto" w:fill="auto"/>
            <w:tcW w:w="660" w:type="dxa"/>
            <w:vAlign w:val="center"/>
            <w:vMerge w:val="continue"/>
            <w:textDirection w:val="lrTb"/>
            <w:noWrap w:val="false"/>
          </w:tcPr>
          <w:p>
            <w:pPr>
              <w:jc w:val="center"/>
              <w:rPr>
                <w:rFonts w:hint="eastAsia"/>
                <w:color w:val="auto"/>
                <w:highlight w:val="none"/>
                <w:lang w:eastAsia="zh-CN"/>
              </w:rPr>
            </w:pPr>
            <w:r>
              <w:rPr>
                <w:rFonts w:hint="eastAsia"/>
                <w:color w:val="auto"/>
                <w:highlight w:val="none"/>
                <w:lang w:eastAsia="zh-CN"/>
              </w:rPr>
            </w:r>
            <w:r/>
          </w:p>
        </w:tc>
        <w:tc>
          <w:tcPr>
            <w:shd w:val="clear" w:color="auto" w:fill="auto"/>
            <w:tcW w:w="756"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垃圾分类清运方案</w:t>
            </w:r>
            <w:r/>
          </w:p>
        </w:tc>
        <w:tc>
          <w:tcPr>
            <w:shd w:val="clear" w:color="auto" w:fill="auto"/>
            <w:tcW w:w="429"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10</w:t>
            </w:r>
            <w:r/>
          </w:p>
        </w:tc>
        <w:tc>
          <w:tcPr>
            <w:shd w:val="clear" w:color="auto" w:fill="auto"/>
            <w:tcW w:w="6251" w:type="dxa"/>
            <w:vAlign w:val="center"/>
            <w:textDirection w:val="lrTb"/>
            <w:noWrap w:val="false"/>
          </w:tcPr>
          <w:p>
            <w:pPr>
              <w:ind w:firstLine="420"/>
              <w:jc w:val="left"/>
              <w:rPr>
                <w:rFonts w:hint="eastAsia"/>
                <w:color w:val="auto"/>
                <w:highlight w:val="none"/>
              </w:rPr>
            </w:pPr>
            <w:r>
              <w:rPr>
                <w:rFonts w:hint="eastAsia"/>
                <w:color w:val="auto"/>
                <w:highlight w:val="none"/>
              </w:rPr>
              <w:t xml:space="preserve">投标人提供的垃圾分类清运实施方案包含但不限于清运设备情况、收运路线、频次、服务标准等内容。</w:t>
            </w:r>
            <w:r/>
          </w:p>
          <w:p>
            <w:pPr>
              <w:ind w:firstLine="420"/>
              <w:jc w:val="left"/>
              <w:rPr>
                <w:rFonts w:hint="eastAsia"/>
                <w:color w:val="auto"/>
                <w:highlight w:val="none"/>
              </w:rPr>
            </w:pPr>
            <w:r>
              <w:rPr>
                <w:rFonts w:hint="eastAsia"/>
                <w:color w:val="auto"/>
                <w:highlight w:val="none"/>
              </w:rPr>
              <w:t xml:space="preserve">满足以上4项要求最多得9分；满足任意一项最多得2.5分；其余情况不得分。</w:t>
            </w:r>
            <w:r/>
          </w:p>
          <w:p>
            <w:pPr>
              <w:ind w:firstLine="420"/>
              <w:jc w:val="left"/>
              <w:rPr>
                <w:rFonts w:hint="eastAsia"/>
                <w:color w:val="auto"/>
                <w:highlight w:val="none"/>
              </w:rPr>
            </w:pPr>
            <w:r>
              <w:rPr>
                <w:rFonts w:hint="eastAsia"/>
                <w:color w:val="auto"/>
                <w:highlight w:val="none"/>
              </w:rPr>
              <w:t xml:space="preserve">注：评审委员会根据各供应商的具体响应内容按照以下量化的评审因素指标对各项要求进行满足性判断：</w:t>
            </w:r>
            <w:r/>
          </w:p>
          <w:p>
            <w:pPr>
              <w:ind w:firstLine="420"/>
              <w:jc w:val="left"/>
              <w:rPr>
                <w:rFonts w:hint="eastAsia"/>
                <w:color w:val="auto"/>
                <w:highlight w:val="none"/>
              </w:rPr>
            </w:pPr>
            <w:r>
              <w:rPr>
                <w:rFonts w:hint="eastAsia"/>
                <w:color w:val="auto"/>
                <w:highlight w:val="none"/>
              </w:rPr>
              <w:t xml:space="preserve">1.方案完整详尽，专业性、可行性强，考虑周全，思路清晰，符合项目需求该项得2.5分；</w:t>
            </w:r>
            <w:r/>
          </w:p>
          <w:p>
            <w:pPr>
              <w:ind w:firstLine="420"/>
              <w:jc w:val="left"/>
              <w:rPr>
                <w:rFonts w:hint="eastAsia"/>
                <w:color w:val="auto"/>
                <w:highlight w:val="none"/>
              </w:rPr>
            </w:pPr>
            <w:r>
              <w:rPr>
                <w:rFonts w:hint="eastAsia"/>
                <w:color w:val="auto"/>
                <w:highlight w:val="none"/>
              </w:rPr>
              <w:t xml:space="preserve">2.对项目总体有一定的认识，方案较为完整、细致，思路</w:t>
            </w:r>
            <w:r>
              <w:rPr>
                <w:rFonts w:hint="eastAsia"/>
                <w:color w:val="auto"/>
                <w:highlight w:val="none"/>
                <w:lang w:eastAsia="zh-CN"/>
              </w:rPr>
              <w:t xml:space="preserve">较为</w:t>
            </w:r>
            <w:r>
              <w:rPr>
                <w:rFonts w:hint="eastAsia"/>
                <w:color w:val="auto"/>
                <w:highlight w:val="none"/>
              </w:rPr>
              <w:t xml:space="preserve">清晰，基本符合项目需求，该项得</w:t>
            </w:r>
            <w:r/>
          </w:p>
          <w:p>
            <w:pPr>
              <w:ind w:firstLine="420"/>
              <w:jc w:val="left"/>
              <w:rPr>
                <w:rFonts w:hint="eastAsia"/>
                <w:color w:val="auto"/>
                <w:highlight w:val="none"/>
              </w:rPr>
            </w:pPr>
            <w:r>
              <w:rPr>
                <w:rFonts w:hint="eastAsia"/>
                <w:color w:val="auto"/>
                <w:highlight w:val="none"/>
              </w:rPr>
              <w:t xml:space="preserve">1.5分；</w:t>
            </w:r>
            <w:r/>
          </w:p>
          <w:p>
            <w:pPr>
              <w:ind w:firstLine="420"/>
              <w:jc w:val="left"/>
              <w:rPr>
                <w:rFonts w:hint="eastAsia"/>
                <w:color w:val="auto"/>
                <w:highlight w:val="none"/>
              </w:rPr>
            </w:pPr>
            <w:r>
              <w:rPr>
                <w:rFonts w:hint="eastAsia"/>
                <w:color w:val="auto"/>
                <w:highlight w:val="none"/>
              </w:rPr>
              <w:t xml:space="preserve">3.方案不细致，欠完善，与项目需求响应度低，项目理解思路一般该项得0.5分。</w:t>
            </w:r>
            <w:r/>
          </w:p>
          <w:p>
            <w:pPr>
              <w:ind w:firstLine="420"/>
              <w:jc w:val="lef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4.不提供或者经评标委员会不认可的不得分。</w:t>
            </w:r>
            <w:r/>
          </w:p>
        </w:tc>
      </w:tr>
      <w:tr>
        <w:trPr/>
        <w:tc>
          <w:tcPr>
            <w:tcW w:w="426" w:type="dxa"/>
            <w:vMerge w:val="continue"/>
            <w:textDirection w:val="lrTb"/>
            <w:noWrap w:val="false"/>
          </w:tcPr>
          <w:p>
            <w:pPr>
              <w:jc w:val="center"/>
              <w:rPr>
                <w:rFonts w:hint="eastAsia"/>
                <w:color w:val="auto"/>
                <w:highlight w:val="none"/>
              </w:rPr>
            </w:pPr>
            <w:r>
              <w:rPr>
                <w:rFonts w:hint="eastAsia"/>
                <w:color w:val="auto"/>
                <w:highlight w:val="none"/>
              </w:rPr>
            </w:r>
            <w:r/>
          </w:p>
        </w:tc>
        <w:tc>
          <w:tcPr>
            <w:tcW w:w="660" w:type="dxa"/>
            <w:vMerge w:val="continue"/>
            <w:textDirection w:val="lrTb"/>
            <w:noWrap w:val="false"/>
          </w:tcPr>
          <w:p>
            <w:pPr>
              <w:jc w:val="center"/>
              <w:rPr>
                <w:rFonts w:hint="eastAsia"/>
                <w:color w:val="auto"/>
                <w:highlight w:val="none"/>
                <w:lang w:eastAsia="zh-CN"/>
              </w:rPr>
            </w:pPr>
            <w:r>
              <w:rPr>
                <w:rFonts w:hint="eastAsia"/>
                <w:color w:val="auto"/>
                <w:highlight w:val="none"/>
                <w:lang w:eastAsia="zh-CN"/>
              </w:rPr>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质量保证措施方案</w:t>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10</w:t>
            </w:r>
            <w:r/>
          </w:p>
        </w:tc>
        <w:tc>
          <w:tcPr>
            <w:shd w:val="clear" w:color="auto" w:fill="auto"/>
            <w:tcW w:w="0" w:type="auto"/>
            <w:vAlign w:val="center"/>
            <w:textDirection w:val="lrTb"/>
            <w:noWrap w:val="false"/>
          </w:tcPr>
          <w:p>
            <w:pPr>
              <w:ind w:firstLine="420"/>
              <w:jc w:val="left"/>
              <w:rPr>
                <w:rFonts w:hint="eastAsia"/>
                <w:color w:val="auto"/>
                <w:highlight w:val="none"/>
              </w:rPr>
            </w:pPr>
            <w:r>
              <w:rPr>
                <w:rFonts w:hint="eastAsia"/>
                <w:color w:val="auto"/>
                <w:highlight w:val="none"/>
              </w:rPr>
              <w:t xml:space="preserve">投标人提供的质量保证措施方案包含但不限于企业制度、自控体系、主要工序的质量技术保证等内容。</w:t>
            </w:r>
            <w:r/>
          </w:p>
          <w:p>
            <w:pPr>
              <w:ind w:firstLine="420"/>
              <w:jc w:val="left"/>
              <w:rPr>
                <w:rFonts w:hint="eastAsia"/>
                <w:color w:val="auto"/>
                <w:highlight w:val="none"/>
              </w:rPr>
            </w:pPr>
            <w:r>
              <w:rPr>
                <w:rFonts w:hint="eastAsia"/>
                <w:color w:val="auto"/>
                <w:highlight w:val="none"/>
              </w:rPr>
              <w:t xml:space="preserve">满足以上3项要求最多得9分；满足任意一项最多得3分；其余情况不得分。</w:t>
            </w:r>
            <w:r/>
          </w:p>
          <w:p>
            <w:pPr>
              <w:ind w:firstLine="420"/>
              <w:jc w:val="left"/>
              <w:rPr>
                <w:rFonts w:hint="eastAsia"/>
                <w:color w:val="auto"/>
                <w:highlight w:val="none"/>
              </w:rPr>
            </w:pPr>
            <w:r>
              <w:rPr>
                <w:rFonts w:hint="eastAsia"/>
                <w:color w:val="auto"/>
                <w:highlight w:val="none"/>
              </w:rPr>
              <w:t xml:space="preserve">注：评审委员会根据各供应商的具体响应内容按照以下量化的评审因素指标对各项要求进行满足性判断：</w:t>
            </w:r>
            <w:r/>
          </w:p>
          <w:p>
            <w:pPr>
              <w:ind w:firstLine="420"/>
              <w:jc w:val="left"/>
              <w:rPr>
                <w:rFonts w:hint="eastAsia"/>
                <w:color w:val="auto"/>
                <w:highlight w:val="none"/>
              </w:rPr>
            </w:pPr>
            <w:r>
              <w:rPr>
                <w:rFonts w:hint="eastAsia"/>
                <w:color w:val="auto"/>
                <w:highlight w:val="none"/>
              </w:rPr>
              <w:t xml:space="preserve">1.方案完整详尽，专业性、可行性强，考虑周全，思路清晰，符合项目需求该项得3分；</w:t>
            </w:r>
            <w:r/>
          </w:p>
          <w:p>
            <w:pPr>
              <w:ind w:firstLine="420"/>
              <w:jc w:val="left"/>
              <w:rPr>
                <w:rFonts w:hint="eastAsia"/>
                <w:color w:val="auto"/>
                <w:highlight w:val="none"/>
              </w:rPr>
            </w:pPr>
            <w:r>
              <w:rPr>
                <w:rFonts w:hint="eastAsia"/>
                <w:color w:val="auto"/>
                <w:highlight w:val="none"/>
              </w:rPr>
              <w:t xml:space="preserve">2.对项目总体有一定的认识，方案较为完整、细致，思路较清晰，基本符合项目需求，该项得2分；</w:t>
            </w:r>
            <w:r/>
          </w:p>
          <w:p>
            <w:pPr>
              <w:ind w:firstLine="420"/>
              <w:jc w:val="left"/>
              <w:rPr>
                <w:rFonts w:hint="eastAsia"/>
                <w:color w:val="auto"/>
                <w:highlight w:val="none"/>
              </w:rPr>
            </w:pPr>
            <w:r>
              <w:rPr>
                <w:rFonts w:hint="eastAsia"/>
                <w:color w:val="auto"/>
                <w:highlight w:val="none"/>
              </w:rPr>
              <w:t xml:space="preserve">3.方案不细致，欠完善，与项目需求响应度低，项目理解思路一般该项得1分。</w:t>
            </w:r>
            <w:r/>
          </w:p>
          <w:p>
            <w:pPr>
              <w:ind w:firstLine="420"/>
              <w:jc w:val="lef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4.不提供或者经评标委员会不认可的不得分。</w:t>
            </w:r>
            <w:r/>
          </w:p>
        </w:tc>
      </w:tr>
      <w:tr>
        <w:trPr/>
        <w:tc>
          <w:tcPr>
            <w:tcW w:w="426" w:type="dxa"/>
            <w:vMerge w:val="continue"/>
            <w:textDirection w:val="lrTb"/>
            <w:noWrap w:val="false"/>
          </w:tcPr>
          <w:p>
            <w:pPr>
              <w:jc w:val="center"/>
              <w:rPr>
                <w:rFonts w:hint="eastAsia"/>
                <w:color w:val="auto"/>
                <w:highlight w:val="none"/>
              </w:rPr>
            </w:pPr>
            <w:r>
              <w:rPr>
                <w:rFonts w:hint="eastAsia"/>
                <w:color w:val="auto"/>
                <w:highlight w:val="none"/>
              </w:rPr>
            </w:r>
            <w:r/>
          </w:p>
        </w:tc>
        <w:tc>
          <w:tcPr>
            <w:tcW w:w="660" w:type="dxa"/>
            <w:vMerge w:val="continue"/>
            <w:textDirection w:val="lrTb"/>
            <w:noWrap w:val="false"/>
          </w:tcPr>
          <w:p>
            <w:pPr>
              <w:jc w:val="center"/>
              <w:rPr>
                <w:rFonts w:hint="eastAsia"/>
                <w:color w:val="auto"/>
                <w:highlight w:val="none"/>
                <w:lang w:eastAsia="zh-CN"/>
              </w:rPr>
            </w:pPr>
            <w:r>
              <w:rPr>
                <w:rFonts w:hint="eastAsia"/>
                <w:color w:val="auto"/>
                <w:highlight w:val="none"/>
                <w:lang w:eastAsia="zh-CN"/>
              </w:rPr>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服务保证措施方案</w:t>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10</w:t>
            </w:r>
            <w:r/>
          </w:p>
        </w:tc>
        <w:tc>
          <w:tcPr>
            <w:shd w:val="clear" w:color="auto" w:fill="auto"/>
            <w:tcW w:w="0" w:type="auto"/>
            <w:vAlign w:val="center"/>
            <w:textDirection w:val="lrTb"/>
            <w:noWrap w:val="false"/>
          </w:tcPr>
          <w:p>
            <w:pPr>
              <w:ind w:firstLine="420"/>
              <w:jc w:val="left"/>
              <w:rPr>
                <w:rFonts w:hint="eastAsia"/>
                <w:color w:val="auto"/>
                <w:highlight w:val="none"/>
              </w:rPr>
            </w:pPr>
            <w:r>
              <w:rPr>
                <w:rFonts w:hint="eastAsia"/>
                <w:color w:val="auto"/>
                <w:highlight w:val="none"/>
              </w:rPr>
              <w:t xml:space="preserve">投标人提供的服务保证措施方案包含但不限于服务响应时间、服务措施、专业售后服务人员、培训等内容。</w:t>
            </w:r>
            <w:r/>
          </w:p>
          <w:p>
            <w:pPr>
              <w:ind w:firstLine="420"/>
              <w:jc w:val="left"/>
              <w:rPr>
                <w:rFonts w:hint="eastAsia"/>
                <w:color w:val="auto"/>
                <w:highlight w:val="none"/>
              </w:rPr>
            </w:pPr>
            <w:r>
              <w:rPr>
                <w:rFonts w:hint="eastAsia"/>
                <w:color w:val="auto"/>
                <w:highlight w:val="none"/>
              </w:rPr>
              <w:t xml:space="preserve">满足以上4项要求最多得9分；满足任意一项最多得2.5分；其余情况不得分。</w:t>
            </w:r>
            <w:r/>
          </w:p>
          <w:p>
            <w:pPr>
              <w:ind w:firstLine="420"/>
              <w:jc w:val="left"/>
              <w:rPr>
                <w:rFonts w:hint="eastAsia"/>
                <w:color w:val="auto"/>
                <w:highlight w:val="none"/>
              </w:rPr>
            </w:pPr>
            <w:r>
              <w:rPr>
                <w:rFonts w:hint="eastAsia"/>
                <w:color w:val="auto"/>
                <w:highlight w:val="none"/>
              </w:rPr>
              <w:t xml:space="preserve">注：评审委员会根据各供应商的具体响应内容按照以下量化的评审因素指标对各项要求进行满足性判断：</w:t>
            </w:r>
            <w:r/>
          </w:p>
          <w:p>
            <w:pPr>
              <w:ind w:firstLine="420"/>
              <w:jc w:val="left"/>
              <w:rPr>
                <w:rFonts w:hint="eastAsia"/>
                <w:color w:val="auto"/>
                <w:highlight w:val="none"/>
              </w:rPr>
            </w:pPr>
            <w:r>
              <w:rPr>
                <w:rFonts w:hint="eastAsia"/>
                <w:color w:val="auto"/>
                <w:highlight w:val="none"/>
              </w:rPr>
              <w:t xml:space="preserve">1.方案完整详尽，专业性、可行性强，考虑周全，思路清晰，符合项目需求该项得2.5分；</w:t>
            </w:r>
            <w:r/>
          </w:p>
          <w:p>
            <w:pPr>
              <w:ind w:firstLine="420"/>
              <w:jc w:val="left"/>
              <w:rPr>
                <w:rFonts w:hint="eastAsia"/>
                <w:color w:val="auto"/>
                <w:highlight w:val="none"/>
              </w:rPr>
            </w:pPr>
            <w:r>
              <w:rPr>
                <w:rFonts w:hint="eastAsia"/>
                <w:color w:val="auto"/>
                <w:highlight w:val="none"/>
              </w:rPr>
              <w:t xml:space="preserve">2.对项目总体有一定的认识，方案较为完整、细致，思路较清晰，基本符合项目需求，该项得1.5分；</w:t>
            </w:r>
            <w:r/>
          </w:p>
          <w:p>
            <w:pPr>
              <w:ind w:firstLine="420"/>
              <w:jc w:val="left"/>
              <w:rPr>
                <w:rFonts w:hint="eastAsia"/>
                <w:color w:val="auto"/>
                <w:highlight w:val="none"/>
              </w:rPr>
            </w:pPr>
            <w:r>
              <w:rPr>
                <w:rFonts w:hint="eastAsia"/>
                <w:color w:val="auto"/>
                <w:highlight w:val="none"/>
              </w:rPr>
              <w:t xml:space="preserve">3.方案不细致，欠完善，与项目需求响应度低，项目理解思路一般该项得0.5分。</w:t>
            </w:r>
            <w:r/>
          </w:p>
          <w:p>
            <w:pPr>
              <w:ind w:firstLine="420"/>
              <w:jc w:val="left"/>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4.不提供或者经评标委员会不认可的不得分。</w:t>
            </w:r>
            <w:r/>
          </w:p>
        </w:tc>
      </w:tr>
      <w:tr>
        <w:trPr/>
        <w:tc>
          <w:tcPr>
            <w:tcW w:w="426" w:type="dxa"/>
            <w:vMerge w:val="continue"/>
            <w:textDirection w:val="lrTb"/>
            <w:noWrap w:val="false"/>
          </w:tcPr>
          <w:p>
            <w:pPr>
              <w:jc w:val="center"/>
              <w:rPr>
                <w:rFonts w:hint="eastAsia"/>
                <w:color w:val="auto"/>
                <w:highlight w:val="none"/>
              </w:rPr>
            </w:pPr>
            <w:r>
              <w:rPr>
                <w:rFonts w:hint="eastAsia"/>
                <w:color w:val="auto"/>
                <w:highlight w:val="none"/>
              </w:rPr>
            </w:r>
            <w:r/>
          </w:p>
        </w:tc>
        <w:tc>
          <w:tcPr>
            <w:tcW w:w="660" w:type="dxa"/>
            <w:vMerge w:val="continue"/>
            <w:textDirection w:val="lrTb"/>
            <w:noWrap w:val="false"/>
          </w:tcPr>
          <w:p>
            <w:pPr>
              <w:jc w:val="center"/>
              <w:rPr>
                <w:rFonts w:hint="eastAsia"/>
                <w:color w:val="auto"/>
                <w:highlight w:val="none"/>
                <w:lang w:eastAsia="zh-CN"/>
              </w:rPr>
            </w:pPr>
            <w:r>
              <w:rPr>
                <w:rFonts w:hint="eastAsia"/>
                <w:color w:val="auto"/>
                <w:highlight w:val="none"/>
                <w:lang w:eastAsia="zh-CN"/>
              </w:rPr>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应急响应方案</w:t>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10</w:t>
            </w:r>
            <w:r/>
          </w:p>
        </w:tc>
        <w:tc>
          <w:tcPr>
            <w:shd w:val="clear" w:color="auto" w:fill="auto"/>
            <w:tcW w:w="0" w:type="auto"/>
            <w:vAlign w:val="center"/>
            <w:textDirection w:val="lrTb"/>
            <w:noWrap w:val="false"/>
          </w:tcPr>
          <w:p>
            <w:pPr>
              <w:ind w:firstLine="420"/>
              <w:jc w:val="left"/>
              <w:rPr>
                <w:rFonts w:hint="eastAsia"/>
                <w:color w:val="auto"/>
                <w:highlight w:val="none"/>
              </w:rPr>
            </w:pPr>
            <w:r>
              <w:rPr>
                <w:rFonts w:hint="eastAsia"/>
                <w:color w:val="auto"/>
                <w:highlight w:val="none"/>
              </w:rPr>
              <w:t xml:space="preserve">投标人提供的应急响应方案包含但不限于突发事件处理、紧急情况补救等内容。</w:t>
            </w:r>
            <w:r/>
          </w:p>
          <w:p>
            <w:pPr>
              <w:ind w:firstLine="420"/>
              <w:jc w:val="left"/>
              <w:rPr>
                <w:rFonts w:hint="eastAsia"/>
                <w:color w:val="auto"/>
                <w:highlight w:val="none"/>
              </w:rPr>
            </w:pPr>
            <w:r>
              <w:rPr>
                <w:rFonts w:hint="eastAsia"/>
                <w:color w:val="auto"/>
                <w:highlight w:val="none"/>
              </w:rPr>
              <w:t xml:space="preserve">满足以上2项要求最多得9分；满足任意一项最多得5分；其余情况不得分。</w:t>
            </w:r>
            <w:r/>
          </w:p>
          <w:p>
            <w:pPr>
              <w:ind w:firstLine="420"/>
              <w:jc w:val="left"/>
              <w:rPr>
                <w:rFonts w:hint="eastAsia"/>
                <w:color w:val="auto"/>
                <w:highlight w:val="none"/>
              </w:rPr>
            </w:pPr>
            <w:r>
              <w:rPr>
                <w:rFonts w:hint="eastAsia"/>
                <w:color w:val="auto"/>
                <w:highlight w:val="none"/>
              </w:rPr>
              <w:t xml:space="preserve">注：评审委员会根据各供应商的具体响应内容</w:t>
            </w:r>
            <w:r/>
          </w:p>
          <w:p>
            <w:pPr>
              <w:ind w:firstLine="420"/>
              <w:jc w:val="left"/>
              <w:rPr>
                <w:rFonts w:hint="eastAsia"/>
                <w:color w:val="auto"/>
                <w:highlight w:val="none"/>
              </w:rPr>
            </w:pPr>
            <w:r>
              <w:rPr>
                <w:rFonts w:hint="eastAsia"/>
                <w:color w:val="auto"/>
                <w:highlight w:val="none"/>
              </w:rPr>
              <w:t xml:space="preserve">按照以下量化的评审因素指标对各项要求进</w:t>
            </w:r>
            <w:r>
              <w:rPr>
                <w:rFonts w:hint="eastAsia"/>
                <w:color w:val="auto"/>
                <w:highlight w:val="none"/>
                <w:lang w:eastAsia="zh-CN"/>
              </w:rPr>
              <w:t xml:space="preserve">行</w:t>
            </w:r>
            <w:r>
              <w:rPr>
                <w:rFonts w:hint="eastAsia"/>
                <w:color w:val="auto"/>
                <w:highlight w:val="none"/>
              </w:rPr>
              <w:t xml:space="preserve">满足性判断：</w:t>
            </w:r>
            <w:r/>
          </w:p>
          <w:p>
            <w:pPr>
              <w:ind w:firstLine="420"/>
              <w:jc w:val="left"/>
              <w:rPr>
                <w:rFonts w:hint="eastAsia"/>
                <w:color w:val="auto"/>
                <w:highlight w:val="none"/>
              </w:rPr>
            </w:pPr>
            <w:r>
              <w:rPr>
                <w:rFonts w:hint="eastAsia"/>
                <w:color w:val="auto"/>
                <w:highlight w:val="none"/>
              </w:rPr>
              <w:t xml:space="preserve">1.方案完整详尽，专业性、可行性强，考虑周全，思路清晰，符合项目需求该项得5分；</w:t>
            </w:r>
            <w:r/>
          </w:p>
          <w:p>
            <w:pPr>
              <w:ind w:firstLine="420"/>
              <w:jc w:val="left"/>
              <w:rPr>
                <w:rFonts w:hint="eastAsia"/>
                <w:color w:val="auto"/>
                <w:highlight w:val="none"/>
              </w:rPr>
            </w:pPr>
            <w:r>
              <w:rPr>
                <w:rFonts w:hint="eastAsia"/>
                <w:color w:val="auto"/>
                <w:highlight w:val="none"/>
              </w:rPr>
              <w:t xml:space="preserve">2.对项目总体有一定的认识，方案较为完整、细致，思路较清晰，基本符合项目需求，该项得3分；</w:t>
            </w:r>
            <w:r/>
          </w:p>
          <w:p>
            <w:pPr>
              <w:ind w:firstLine="420"/>
              <w:jc w:val="left"/>
              <w:rPr>
                <w:rFonts w:hint="eastAsia"/>
                <w:color w:val="auto"/>
                <w:highlight w:val="none"/>
              </w:rPr>
            </w:pPr>
            <w:r>
              <w:rPr>
                <w:rFonts w:hint="eastAsia"/>
                <w:color w:val="auto"/>
                <w:highlight w:val="none"/>
              </w:rPr>
              <w:t xml:space="preserve">3.方案不细致，欠完善，与项目需求响应度低，项目理解思路一般该项得1分。</w:t>
            </w:r>
            <w:r/>
          </w:p>
          <w:p>
            <w:pPr>
              <w:ind w:firstLine="420"/>
              <w:jc w:val="left"/>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4.不提供或者经评标委员会不认可的不得分。</w:t>
            </w:r>
            <w:r/>
          </w:p>
        </w:tc>
      </w:tr>
      <w:tr>
        <w:trPr/>
        <w:tc>
          <w:tcPr>
            <w:shd w:val="clear" w:color="auto" w:fill="auto"/>
            <w:tcW w:w="426" w:type="dxa"/>
            <w:vAlign w:val="center"/>
            <w:vMerge w:val="restart"/>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三</w:t>
            </w:r>
            <w:r/>
          </w:p>
        </w:tc>
        <w:tc>
          <w:tcPr>
            <w:shd w:val="clear" w:color="auto" w:fill="auto"/>
            <w:tcW w:w="660" w:type="dxa"/>
            <w:vAlign w:val="center"/>
            <w:vMerge w:val="restart"/>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商务</w:t>
            </w:r>
            <w:r/>
          </w:p>
          <w:p>
            <w:pPr>
              <w:jc w:val="center"/>
              <w:rPr>
                <w:rFonts w:hint="default"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部分（40）</w:t>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清运车辆</w:t>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4</w:t>
            </w:r>
            <w:r/>
          </w:p>
        </w:tc>
        <w:tc>
          <w:tcPr>
            <w:shd w:val="clear" w:color="auto" w:fill="auto"/>
            <w:tcW w:w="0" w:type="auto"/>
            <w:vAlign w:val="center"/>
            <w:textDirection w:val="lrTb"/>
            <w:noWrap w:val="false"/>
          </w:tcPr>
          <w:p>
            <w:pPr>
              <w:ind w:firstLine="420"/>
              <w:jc w:val="left"/>
              <w:rPr>
                <w:rFonts w:hint="eastAsia"/>
                <w:color w:val="auto"/>
                <w:highlight w:val="none"/>
              </w:rPr>
            </w:pPr>
            <w:r>
              <w:rPr>
                <w:rFonts w:hint="eastAsia"/>
                <w:color w:val="auto"/>
                <w:highlight w:val="none"/>
              </w:rPr>
              <w:t xml:space="preserve">投标人具有可回收及有害垃圾收运车辆的，每台得</w:t>
            </w:r>
            <w:r>
              <w:rPr>
                <w:rFonts w:hint="eastAsia"/>
                <w:color w:val="auto"/>
                <w:highlight w:val="none"/>
                <w:lang w:val="en-US" w:eastAsia="zh-CN"/>
              </w:rPr>
              <w:t xml:space="preserve">2</w:t>
            </w:r>
            <w:r>
              <w:rPr>
                <w:rFonts w:hint="eastAsia"/>
                <w:color w:val="auto"/>
                <w:highlight w:val="none"/>
              </w:rPr>
              <w:t xml:space="preserve">分，本项最多得</w:t>
            </w:r>
            <w:r>
              <w:rPr>
                <w:rFonts w:hint="eastAsia"/>
                <w:color w:val="auto"/>
                <w:highlight w:val="none"/>
                <w:lang w:val="en-US" w:eastAsia="zh-CN"/>
              </w:rPr>
              <w:t xml:space="preserve">4</w:t>
            </w:r>
            <w:r>
              <w:rPr>
                <w:rFonts w:hint="eastAsia"/>
                <w:color w:val="auto"/>
                <w:highlight w:val="none"/>
              </w:rPr>
              <w:t xml:space="preserve">分。</w:t>
            </w:r>
            <w:r/>
          </w:p>
          <w:p>
            <w:pPr>
              <w:ind w:firstLine="420"/>
              <w:jc w:val="lef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注：提供有效期内的车辆行驶证、购置发票（或租赁合同）、车辆保单复印件及车辆照片</w:t>
            </w:r>
            <w:r>
              <w:rPr>
                <w:rFonts w:hint="eastAsia"/>
                <w:color w:val="auto"/>
                <w:highlight w:val="none"/>
                <w:lang w:eastAsia="zh-CN"/>
              </w:rPr>
              <w:t xml:space="preserve">，</w:t>
            </w:r>
            <w:r>
              <w:rPr>
                <w:rFonts w:hint="eastAsia"/>
                <w:color w:val="auto"/>
                <w:highlight w:val="none"/>
                <w:lang w:val="en-US" w:eastAsia="zh-CN"/>
              </w:rPr>
              <w:t xml:space="preserve">或提供《承诺函》，承诺在合同签订后20日内到位，承诺函格式均自拟，未提供材料不得分。</w:t>
            </w:r>
            <w:r/>
          </w:p>
        </w:tc>
      </w:tr>
      <w:tr>
        <w:trPr/>
        <w:tc>
          <w:tcPr>
            <w:shd w:val="clear" w:color="auto" w:fill="auto"/>
            <w:tcW w:w="426" w:type="dxa"/>
            <w:vAlign w:val="center"/>
            <w:vMerge w:val="continue"/>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asciiTheme="minorHAnsi" w:hAnsiTheme="minorHAnsi" w:eastAsiaTheme="minorEastAsia" w:cstheme="minorBidi"/>
                <w:color w:val="auto"/>
                <w:sz w:val="21"/>
                <w:szCs w:val="24"/>
                <w:highlight w:val="none"/>
                <w:lang w:val="en-US" w:eastAsia="en-US" w:bidi="ar-SA"/>
              </w:rPr>
            </w:r>
            <w:r/>
          </w:p>
        </w:tc>
        <w:tc>
          <w:tcPr>
            <w:shd w:val="clear" w:color="auto" w:fill="auto"/>
            <w:tcW w:w="660" w:type="dxa"/>
            <w:vAlign w:val="center"/>
            <w:vMerge w:val="continue"/>
            <w:textDirection w:val="lrTb"/>
            <w:noWrap w:val="false"/>
          </w:tcPr>
          <w:p>
            <w:pPr>
              <w:jc w:val="center"/>
              <w:rPr>
                <w:rFonts w:hint="default" w:asciiTheme="minorHAnsi" w:hAnsiTheme="minorHAnsi" w:eastAsiaTheme="minorEastAsia" w:cstheme="minorBidi"/>
                <w:color w:val="auto"/>
                <w:sz w:val="21"/>
                <w:szCs w:val="24"/>
                <w:highlight w:val="none"/>
                <w:lang w:val="en-US" w:eastAsia="zh-CN" w:bidi="ar-SA"/>
              </w:rPr>
            </w:pPr>
            <w:r>
              <w:rPr>
                <w:rFonts w:hint="default" w:asciiTheme="minorHAnsi" w:hAnsiTheme="minorHAnsi" w:eastAsiaTheme="minorEastAsia" w:cstheme="minorBidi"/>
                <w:color w:val="auto"/>
                <w:sz w:val="21"/>
                <w:szCs w:val="24"/>
                <w:highlight w:val="none"/>
                <w:lang w:val="en-US" w:eastAsia="zh-CN" w:bidi="ar-SA"/>
              </w:rPr>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团队人员</w:t>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6</w:t>
            </w:r>
            <w:r/>
          </w:p>
        </w:tc>
        <w:tc>
          <w:tcPr>
            <w:shd w:val="clear" w:color="auto" w:fill="auto"/>
            <w:tcW w:w="0" w:type="auto"/>
            <w:vAlign w:val="center"/>
            <w:textDirection w:val="lrTb"/>
            <w:noWrap w:val="false"/>
          </w:tcPr>
          <w:p>
            <w:pPr>
              <w:numPr>
                <w:ilvl w:val="0"/>
                <w:numId w:val="0"/>
              </w:numPr>
              <w:ind w:firstLine="420"/>
              <w:jc w:val="left"/>
              <w:rPr>
                <w:rFonts w:hint="default"/>
                <w:color w:val="auto"/>
                <w:highlight w:val="none"/>
                <w:lang w:val="en-US"/>
              </w:rPr>
            </w:pPr>
            <w:r>
              <w:rPr>
                <w:rFonts w:hint="eastAsia" w:asciiTheme="minorHAnsi" w:hAnsiTheme="minorHAnsi" w:eastAsiaTheme="minorEastAsia" w:cstheme="minorBidi"/>
                <w:color w:val="auto"/>
                <w:sz w:val="21"/>
                <w:szCs w:val="24"/>
                <w:highlight w:val="none"/>
                <w:lang w:val="en-US" w:eastAsia="zh-CN" w:bidi="ar-SA"/>
              </w:rPr>
              <w:t xml:space="preserve">1</w:t>
            </w:r>
            <w:r>
              <w:rPr>
                <w:rFonts w:hint="eastAsia" w:cstheme="minorBidi"/>
                <w:color w:val="auto"/>
                <w:sz w:val="21"/>
                <w:szCs w:val="24"/>
                <w:highlight w:val="none"/>
                <w:lang w:val="en-US" w:eastAsia="zh-CN" w:bidi="ar-SA"/>
              </w:rPr>
              <w:t xml:space="preserve">.</w:t>
            </w:r>
            <w:r>
              <w:rPr>
                <w:rFonts w:hint="eastAsia"/>
                <w:color w:val="auto"/>
                <w:highlight w:val="none"/>
                <w:lang w:val="en-US" w:eastAsia="zh-CN"/>
              </w:rPr>
              <w:t xml:space="preserve">供应商在基础配备的驾驶员数量基础上，每增加提供1名驾驶员得2分，</w:t>
            </w:r>
            <w:r>
              <w:rPr>
                <w:rFonts w:hint="eastAsia"/>
                <w:color w:val="auto"/>
                <w:highlight w:val="none"/>
              </w:rPr>
              <w:t xml:space="preserve">本项最多得</w:t>
            </w:r>
            <w:r>
              <w:rPr>
                <w:rFonts w:hint="eastAsia"/>
                <w:color w:val="auto"/>
                <w:highlight w:val="none"/>
                <w:lang w:val="en-US" w:eastAsia="zh-CN"/>
              </w:rPr>
              <w:t xml:space="preserve">4</w:t>
            </w:r>
            <w:r>
              <w:rPr>
                <w:rFonts w:hint="eastAsia"/>
                <w:color w:val="auto"/>
                <w:highlight w:val="none"/>
              </w:rPr>
              <w:t xml:space="preserve">分</w:t>
            </w:r>
            <w:r>
              <w:rPr>
                <w:rFonts w:hint="eastAsia"/>
                <w:color w:val="auto"/>
                <w:highlight w:val="none"/>
                <w:lang w:val="en-US" w:eastAsia="zh-CN"/>
              </w:rPr>
              <w:t xml:space="preserve">，驾驶员需提供驾驶证复印件。</w:t>
            </w:r>
            <w:r/>
          </w:p>
          <w:p>
            <w:pPr>
              <w:numPr>
                <w:ilvl w:val="0"/>
                <w:numId w:val="0"/>
              </w:numPr>
              <w:ind w:firstLine="420"/>
              <w:jc w:val="left"/>
              <w:rPr>
                <w:rFonts w:hint="eastAsia"/>
                <w:color w:val="auto"/>
                <w:highlight w:val="none"/>
                <w:lang w:val="en-US" w:eastAsia="zh-CN"/>
              </w:rPr>
            </w:pPr>
            <w:r>
              <w:rPr>
                <w:rFonts w:hint="eastAsia" w:asciiTheme="minorHAnsi" w:hAnsiTheme="minorHAnsi" w:eastAsiaTheme="minorEastAsia" w:cstheme="minorBidi"/>
                <w:color w:val="auto"/>
                <w:sz w:val="21"/>
                <w:szCs w:val="24"/>
                <w:highlight w:val="none"/>
                <w:lang w:val="en-US" w:eastAsia="zh-CN" w:bidi="ar-SA"/>
              </w:rPr>
              <w:t xml:space="preserve">2</w:t>
            </w:r>
            <w:r>
              <w:rPr>
                <w:rFonts w:hint="eastAsia" w:cstheme="minorBidi"/>
                <w:color w:val="auto"/>
                <w:sz w:val="21"/>
                <w:szCs w:val="24"/>
                <w:highlight w:val="none"/>
                <w:lang w:val="en-US" w:eastAsia="zh-CN" w:bidi="ar-SA"/>
              </w:rPr>
              <w:t xml:space="preserve">.</w:t>
            </w:r>
            <w:r>
              <w:rPr>
                <w:rFonts w:hint="eastAsia"/>
                <w:color w:val="auto"/>
                <w:highlight w:val="none"/>
                <w:lang w:val="en-US" w:eastAsia="zh-CN"/>
              </w:rPr>
              <w:t xml:space="preserve">具有应急管理部颁发的中级及以上注册安全工程师（道路运输安全专业）证书得2分，本项最多得2分。</w:t>
            </w:r>
            <w:r/>
          </w:p>
          <w:p>
            <w:pPr>
              <w:ind w:firstLine="420"/>
              <w:jc w:val="left"/>
              <w:rPr>
                <w:rFonts w:hint="eastAsia"/>
                <w:color w:val="auto"/>
                <w:highlight w:val="none"/>
              </w:rPr>
            </w:pPr>
            <w:r>
              <w:rPr>
                <w:rFonts w:hint="eastAsia"/>
                <w:color w:val="auto"/>
                <w:highlight w:val="none"/>
              </w:rPr>
              <w:t xml:space="preserve">注：（1）投标文件中须</w:t>
            </w:r>
            <w:bookmarkStart w:id="196" w:name="_GoBack"/>
            <w:r>
              <w:rPr>
                <w:rFonts w:hint="eastAsia"/>
                <w:color w:val="auto"/>
                <w:highlight w:val="none"/>
              </w:rPr>
              <w:t xml:space="preserve">提供相关人员证</w:t>
            </w:r>
            <w:r>
              <w:rPr>
                <w:rFonts w:hint="eastAsia"/>
                <w:color w:val="auto"/>
                <w:highlight w:val="none"/>
                <w:lang w:val="en-US" w:eastAsia="zh-CN"/>
              </w:rPr>
              <w:t xml:space="preserve">明材料</w:t>
            </w:r>
            <w:r>
              <w:rPr>
                <w:rFonts w:hint="eastAsia"/>
                <w:color w:val="auto"/>
                <w:highlight w:val="none"/>
              </w:rPr>
              <w:t xml:space="preserve">扫描件及有效期内劳动合同复印件加盖公章，否则不予计分。</w:t>
            </w:r>
            <w:r/>
          </w:p>
          <w:p>
            <w:pPr>
              <w:ind w:firstLine="420"/>
              <w:jc w:val="left"/>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投标文件中须提供投标人近半年内其中一个月为相关人员缴纳社保的证明材料（社保</w:t>
            </w:r>
            <w:r>
              <w:rPr>
                <w:rFonts w:hint="eastAsia"/>
                <w:color w:val="auto"/>
                <w:highlight w:val="none"/>
              </w:rPr>
              <w:t xml:space="preserve">须明确缴费月份、个人姓名、缴费单位，且加盖社保中心或社保中心参保缴费证明电子专用章），否则不予计分。</w:t>
            </w:r>
            <w:r/>
          </w:p>
          <w:p>
            <w:pPr>
              <w:ind w:firstLine="420"/>
              <w:jc w:val="left"/>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lang w:eastAsia="zh-CN"/>
              </w:rPr>
              <w:t xml:space="preserve">（3）</w:t>
            </w:r>
            <w:r>
              <w:rPr>
                <w:rFonts w:hint="eastAsia"/>
                <w:color w:val="auto"/>
                <w:highlight w:val="none"/>
              </w:rPr>
              <w:t xml:space="preserve">补缴社保不予认可。</w:t>
            </w:r>
            <w:bookmarkEnd w:id="196"/>
            <w:r/>
            <w:r/>
          </w:p>
        </w:tc>
      </w:tr>
      <w:tr>
        <w:trPr/>
        <w:tc>
          <w:tcPr>
            <w:shd w:val="clear" w:color="auto" w:fill="auto"/>
            <w:tcW w:w="426" w:type="dxa"/>
            <w:vAlign w:val="center"/>
            <w:vMerge w:val="continue"/>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asciiTheme="minorHAnsi" w:hAnsiTheme="minorHAnsi" w:eastAsiaTheme="minorEastAsia" w:cstheme="minorBidi"/>
                <w:color w:val="auto"/>
                <w:sz w:val="21"/>
                <w:szCs w:val="24"/>
                <w:highlight w:val="none"/>
                <w:lang w:val="en-US" w:eastAsia="en-US" w:bidi="ar-SA"/>
              </w:rPr>
            </w:r>
            <w:r/>
          </w:p>
        </w:tc>
        <w:tc>
          <w:tcPr>
            <w:shd w:val="clear" w:color="auto" w:fill="auto"/>
            <w:tcW w:w="660" w:type="dxa"/>
            <w:vAlign w:val="center"/>
            <w:vMerge w:val="continue"/>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asciiTheme="minorHAnsi" w:hAnsiTheme="minorHAnsi" w:eastAsiaTheme="minorEastAsia" w:cstheme="minorBidi"/>
                <w:color w:val="auto"/>
                <w:sz w:val="21"/>
                <w:szCs w:val="24"/>
                <w:highlight w:val="none"/>
                <w:lang w:val="en-US" w:eastAsia="zh-CN" w:bidi="ar-SA"/>
              </w:rPr>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类似业绩</w:t>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10</w:t>
            </w:r>
            <w:r/>
          </w:p>
        </w:tc>
        <w:tc>
          <w:tcPr>
            <w:shd w:val="clear" w:color="auto" w:fill="auto"/>
            <w:tcW w:w="0" w:type="auto"/>
            <w:vAlign w:val="center"/>
            <w:textDirection w:val="lrTb"/>
            <w:noWrap w:val="false"/>
          </w:tcPr>
          <w:p>
            <w:pPr>
              <w:ind w:firstLine="420"/>
              <w:jc w:val="left"/>
              <w:rPr>
                <w:rFonts w:hint="eastAsia"/>
                <w:color w:val="auto"/>
                <w:highlight w:val="none"/>
              </w:rPr>
            </w:pPr>
            <w:r>
              <w:rPr>
                <w:rFonts w:hint="eastAsia"/>
                <w:color w:val="auto"/>
                <w:highlight w:val="none"/>
              </w:rPr>
              <w:t xml:space="preserve">投标人自2022年1月1日</w:t>
            </w:r>
            <w:r>
              <w:rPr>
                <w:rFonts w:hint="eastAsia"/>
                <w:color w:val="auto"/>
                <w:highlight w:val="none"/>
                <w:lang w:eastAsia="zh-CN"/>
              </w:rPr>
              <w:t xml:space="preserve">（</w:t>
            </w:r>
            <w:r>
              <w:rPr>
                <w:rFonts w:hint="eastAsia"/>
                <w:color w:val="auto"/>
                <w:highlight w:val="none"/>
              </w:rPr>
              <w:t xml:space="preserve">以签订合同时间为准</w:t>
            </w:r>
            <w:r>
              <w:rPr>
                <w:rFonts w:hint="eastAsia"/>
                <w:color w:val="auto"/>
                <w:highlight w:val="none"/>
                <w:lang w:eastAsia="zh-CN"/>
              </w:rPr>
              <w:t xml:space="preserve">）</w:t>
            </w:r>
            <w:r>
              <w:rPr>
                <w:rFonts w:hint="eastAsia"/>
                <w:color w:val="auto"/>
                <w:highlight w:val="none"/>
              </w:rPr>
              <w:t xml:space="preserve">以来具有垃圾分类相关业绩的，</w:t>
            </w:r>
            <w:r>
              <w:rPr>
                <w:rFonts w:hint="eastAsia"/>
                <w:color w:val="auto"/>
                <w:highlight w:val="none"/>
                <w:lang w:val="en-US" w:eastAsia="zh-CN"/>
              </w:rPr>
              <w:t xml:space="preserve">每提供一份业绩得5分，最高得10分</w:t>
            </w:r>
            <w:r>
              <w:rPr>
                <w:rFonts w:hint="eastAsia"/>
                <w:color w:val="auto"/>
                <w:highlight w:val="none"/>
              </w:rPr>
              <w:t xml:space="preserve">。</w:t>
            </w:r>
            <w:r/>
          </w:p>
          <w:p>
            <w:pPr>
              <w:ind w:firstLine="420"/>
              <w:jc w:val="left"/>
              <w:rPr>
                <w:rFonts w:hint="eastAsia" w:eastAsiaTheme="minorEastAsia"/>
                <w:color w:val="auto"/>
                <w:highlight w:val="none"/>
                <w:lang w:eastAsia="zh-CN"/>
              </w:rPr>
            </w:pPr>
            <w:r>
              <w:rPr>
                <w:rFonts w:hint="eastAsia"/>
                <w:color w:val="auto"/>
                <w:highlight w:val="none"/>
              </w:rPr>
              <w:t xml:space="preserve">注：</w:t>
            </w:r>
            <w:r>
              <w:rPr>
                <w:rFonts w:hint="eastAsia"/>
                <w:color w:val="auto"/>
                <w:highlight w:val="none"/>
                <w:lang w:eastAsia="zh-CN"/>
              </w:rPr>
              <w:t xml:space="preserve">（1）</w:t>
            </w:r>
            <w:r>
              <w:rPr>
                <w:rFonts w:hint="eastAsia"/>
                <w:color w:val="auto"/>
                <w:highlight w:val="none"/>
              </w:rPr>
              <w:t xml:space="preserve">投标文件中须同时提供合同扫描件</w:t>
            </w:r>
            <w:r>
              <w:rPr>
                <w:rFonts w:hint="eastAsia"/>
                <w:color w:val="auto"/>
                <w:highlight w:val="none"/>
                <w:lang w:eastAsia="zh-CN"/>
              </w:rPr>
              <w:t xml:space="preserve">；</w:t>
            </w:r>
            <w:r/>
          </w:p>
          <w:p>
            <w:pPr>
              <w:ind w:firstLine="420"/>
              <w:jc w:val="left"/>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lang w:eastAsia="zh-CN"/>
              </w:rPr>
              <w:t xml:space="preserve">（2）</w:t>
            </w:r>
            <w:r>
              <w:rPr>
                <w:rFonts w:hint="eastAsia"/>
                <w:color w:val="auto"/>
                <w:highlight w:val="none"/>
              </w:rPr>
              <w:t xml:space="preserve">若合同中未能清楚地反映业绩标的，投标文件中</w:t>
            </w:r>
            <w:r>
              <w:rPr>
                <w:rFonts w:hint="eastAsia"/>
                <w:color w:val="auto"/>
                <w:highlight w:val="none"/>
                <w:lang w:eastAsia="zh-CN"/>
              </w:rPr>
              <w:t xml:space="preserve">需</w:t>
            </w:r>
            <w:r>
              <w:rPr>
                <w:rFonts w:hint="eastAsia"/>
                <w:color w:val="auto"/>
                <w:highlight w:val="none"/>
              </w:rPr>
              <w:t xml:space="preserve">提供合同甲方出具的证明材料扫描件。证明材料须含合同甲方公章及合同甲方经办人姓名、联系电话，公章名称与合同甲方名称一致，且符合以上要求，否则评委会不予计分。证明材料格式自拟。</w:t>
            </w:r>
            <w:r/>
          </w:p>
        </w:tc>
      </w:tr>
      <w:tr>
        <w:trPr/>
        <w:tc>
          <w:tcPr>
            <w:shd w:val="clear" w:color="auto" w:fill="auto"/>
            <w:tcW w:w="426" w:type="dxa"/>
            <w:vAlign w:val="center"/>
            <w:vMerge w:val="continue"/>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asciiTheme="minorHAnsi" w:hAnsiTheme="minorHAnsi" w:eastAsiaTheme="minorEastAsia" w:cstheme="minorBidi"/>
                <w:color w:val="auto"/>
                <w:sz w:val="21"/>
                <w:szCs w:val="24"/>
                <w:highlight w:val="none"/>
                <w:lang w:val="en-US" w:eastAsia="en-US" w:bidi="ar-SA"/>
              </w:rPr>
            </w:r>
            <w:r/>
          </w:p>
        </w:tc>
        <w:tc>
          <w:tcPr>
            <w:shd w:val="clear" w:color="auto" w:fill="auto"/>
            <w:tcW w:w="660" w:type="dxa"/>
            <w:vAlign w:val="center"/>
            <w:vMerge w:val="continue"/>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asciiTheme="minorHAnsi" w:hAnsiTheme="minorHAnsi" w:eastAsiaTheme="minorEastAsia" w:cstheme="minorBidi"/>
                <w:color w:val="auto"/>
                <w:sz w:val="21"/>
                <w:szCs w:val="24"/>
                <w:highlight w:val="none"/>
                <w:lang w:val="en-US" w:eastAsia="zh-CN" w:bidi="ar-SA"/>
              </w:rPr>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承诺函</w:t>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20</w:t>
            </w:r>
            <w:r/>
          </w:p>
        </w:tc>
        <w:tc>
          <w:tcPr>
            <w:shd w:val="clear" w:color="auto" w:fill="auto"/>
            <w:tcW w:w="0" w:type="auto"/>
            <w:vAlign w:val="center"/>
            <w:textDirection w:val="lrTb"/>
            <w:noWrap w:val="false"/>
          </w:tcPr>
          <w:p>
            <w:pPr>
              <w:ind w:firstLine="420"/>
              <w:jc w:val="left"/>
              <w:rPr>
                <w:rFonts w:hint="eastAsia"/>
                <w:color w:val="auto"/>
                <w:highlight w:val="none"/>
                <w:lang w:val="en-US" w:eastAsia="zh-CN"/>
              </w:rPr>
            </w:pPr>
            <w:r>
              <w:rPr>
                <w:rFonts w:hint="eastAsia"/>
                <w:color w:val="auto"/>
                <w:highlight w:val="none"/>
                <w:lang w:val="en-US" w:eastAsia="zh-CN"/>
              </w:rPr>
              <w:t xml:space="preserve">应急资源储备承诺：</w:t>
            </w:r>
            <w:r/>
          </w:p>
          <w:p>
            <w:pPr>
              <w:ind w:firstLine="420"/>
              <w:jc w:val="left"/>
              <w:rPr>
                <w:rFonts w:hint="eastAsia"/>
                <w:color w:val="auto"/>
                <w:highlight w:val="none"/>
                <w:lang w:val="en-US" w:eastAsia="zh-CN"/>
              </w:rPr>
            </w:pPr>
            <w:r>
              <w:rPr>
                <w:rFonts w:hint="eastAsia"/>
                <w:color w:val="auto"/>
                <w:highlight w:val="none"/>
                <w:lang w:val="en-US" w:eastAsia="zh-CN"/>
              </w:rPr>
              <w:t xml:space="preserve">建立基础应急保障能力。承诺针对垃圾爆仓、设备突发故障等常见运营问题，储备必要的应急工具及临时人员，并明确应急资源调用时效，形成基础应急兜底方案，降低突发情况对服务的影响。</w:t>
            </w:r>
            <w:r/>
          </w:p>
          <w:p>
            <w:pPr>
              <w:ind w:firstLine="420"/>
              <w:jc w:val="left"/>
              <w:rPr>
                <w:rFonts w:hint="eastAsia"/>
                <w:color w:val="auto"/>
                <w:highlight w:val="none"/>
                <w:lang w:val="en-US" w:eastAsia="zh-CN"/>
              </w:rPr>
            </w:pPr>
            <w:r>
              <w:rPr>
                <w:rFonts w:hint="eastAsia"/>
                <w:color w:val="auto"/>
                <w:highlight w:val="none"/>
                <w:lang w:val="en-US" w:eastAsia="zh-CN"/>
              </w:rPr>
              <w:t xml:space="preserve">车辆合规与适配性承诺：</w:t>
            </w:r>
            <w:r/>
          </w:p>
          <w:p>
            <w:pPr>
              <w:ind w:firstLine="420"/>
              <w:jc w:val="left"/>
              <w:rPr>
                <w:rFonts w:hint="eastAsia"/>
                <w:color w:val="auto"/>
                <w:highlight w:val="none"/>
                <w:lang w:val="en-US" w:eastAsia="zh-CN"/>
              </w:rPr>
            </w:pPr>
            <w:r>
              <w:rPr>
                <w:rFonts w:hint="eastAsia"/>
                <w:color w:val="auto"/>
                <w:highlight w:val="none"/>
                <w:lang w:val="en-US" w:eastAsia="zh-CN"/>
              </w:rPr>
              <w:t xml:space="preserve">确保清运车辆基础合规与功能适配。承诺为项目配备的垃圾清运车辆符合国家及地方道路运输安全标准，并与东台市93个小区的实际清运需求相匹配，杜绝超载、违规改装等行为，保障清运过程合法合规。</w:t>
            </w:r>
            <w:r/>
          </w:p>
          <w:p>
            <w:pPr>
              <w:ind w:firstLine="420"/>
              <w:jc w:val="left"/>
              <w:rPr>
                <w:rFonts w:hint="eastAsia"/>
                <w:color w:val="auto"/>
                <w:highlight w:val="none"/>
                <w:lang w:val="en-US" w:eastAsia="zh-CN"/>
              </w:rPr>
            </w:pPr>
            <w:r>
              <w:rPr>
                <w:rFonts w:hint="eastAsia"/>
                <w:color w:val="auto"/>
                <w:highlight w:val="none"/>
                <w:lang w:val="en-US" w:eastAsia="zh-CN"/>
              </w:rPr>
              <w:t xml:space="preserve">人员稳定性与培训承诺</w:t>
            </w:r>
            <w:r/>
          </w:p>
          <w:p>
            <w:pPr>
              <w:ind w:firstLine="420"/>
              <w:jc w:val="left"/>
              <w:rPr>
                <w:rFonts w:hint="eastAsia"/>
                <w:color w:val="auto"/>
                <w:highlight w:val="none"/>
                <w:lang w:val="en-US" w:eastAsia="zh-CN"/>
              </w:rPr>
            </w:pPr>
            <w:r>
              <w:rPr>
                <w:rFonts w:hint="eastAsia"/>
                <w:color w:val="auto"/>
                <w:highlight w:val="none"/>
                <w:lang w:val="en-US" w:eastAsia="zh-CN"/>
              </w:rPr>
              <w:t xml:space="preserve">保障服务团队基础稳定性与基础能力。承诺核心服务人员在合同期内保持相对稳定，并为团队提供基础岗前培训，确保人员具备履行合同的基本职业素养与操作能力。</w:t>
            </w:r>
            <w:r/>
          </w:p>
          <w:p>
            <w:pPr>
              <w:ind w:firstLine="420"/>
              <w:jc w:val="left"/>
              <w:rPr>
                <w:rFonts w:hint="eastAsia"/>
                <w:color w:val="auto"/>
                <w:highlight w:val="none"/>
                <w:lang w:val="en-US" w:eastAsia="zh-CN"/>
              </w:rPr>
            </w:pPr>
            <w:r>
              <w:rPr>
                <w:rFonts w:hint="eastAsia"/>
                <w:color w:val="auto"/>
                <w:highlight w:val="none"/>
                <w:lang w:val="en-US" w:eastAsia="zh-CN"/>
              </w:rPr>
              <w:t xml:space="preserve">数据基础记录与配合承诺</w:t>
            </w:r>
            <w:r/>
          </w:p>
          <w:p>
            <w:pPr>
              <w:ind w:firstLine="420"/>
              <w:jc w:val="left"/>
              <w:rPr>
                <w:rFonts w:hint="eastAsia"/>
                <w:color w:val="auto"/>
                <w:highlight w:val="none"/>
                <w:lang w:val="en-US" w:eastAsia="zh-CN"/>
              </w:rPr>
            </w:pPr>
            <w:r>
              <w:rPr>
                <w:rFonts w:hint="eastAsia"/>
                <w:color w:val="auto"/>
                <w:highlight w:val="none"/>
                <w:lang w:val="en-US" w:eastAsia="zh-CN"/>
              </w:rPr>
              <w:t xml:space="preserve">履行垃圾清运基础数据记录与配合义务。承诺对服务范围内各垃圾房亭的清运量、清运频次等基础数据进行定期记录与定期汇总，配合采购人或监管部门完成基础数据核查，确保服务过程留痕、可追溯。</w:t>
            </w:r>
            <w:r/>
          </w:p>
          <w:p>
            <w:pPr>
              <w:ind w:firstLine="420"/>
              <w:jc w:val="left"/>
              <w:rPr>
                <w:rFonts w:hint="default"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注：投标文件中需提供承诺函并加盖公章，承诺函格式自拟，未提供承诺函或承诺函承诺内容不全的不得分。</w:t>
            </w:r>
            <w:r/>
          </w:p>
        </w:tc>
      </w:tr>
    </w:tbl>
    <w:p>
      <w:pPr>
        <w:pStyle w:val="66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每部分的得分保留小数点后两位，合计得分保留小数点后两位。</w:t>
      </w:r>
      <w:r/>
    </w:p>
    <w:p>
      <w:pPr>
        <w:pStyle w:val="663"/>
        <w:numPr>
          <w:ilvl w:val="0"/>
          <w:numId w:val="0"/>
        </w:numPr>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highlight w:val="none"/>
        </w:rPr>
        <w:t xml:space="preserve">所有提供的材料复印件应清晰。若证明材料复印件因模糊等原因，导致评标专家无法判定，最终造成得分不</w:t>
      </w:r>
      <w:r>
        <w:rPr>
          <w:rFonts w:hint="eastAsia" w:ascii="宋体" w:hAnsi="宋体" w:eastAsia="宋体" w:cs="宋体"/>
          <w:color w:val="auto"/>
          <w:highlight w:val="none"/>
          <w:lang w:eastAsia="zh-CN"/>
        </w:rPr>
        <w:t xml:space="preserve">予</w:t>
      </w:r>
      <w:r>
        <w:rPr>
          <w:rFonts w:hint="eastAsia" w:ascii="宋体" w:hAnsi="宋体" w:eastAsia="宋体" w:cs="宋体"/>
          <w:color w:val="auto"/>
          <w:highlight w:val="none"/>
        </w:rPr>
        <w:t xml:space="preserve">计取的后果由投标供应商自行承担。</w:t>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jc w:val="center"/>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3"/>
        <w:numPr>
          <w:ilvl w:val="0"/>
          <w:numId w:val="0"/>
        </w:numPr>
        <w:jc w:val="center"/>
        <w:keepLines w:val="0"/>
        <w:keepNext w:val="0"/>
        <w:pageBreakBefore w:val="0"/>
        <w:spacing w:beforeAutospacing="0" w:afterAutospacing="0" w:line="480" w:lineRule="exact"/>
        <w:widowControl w:val="off"/>
        <w:rPr>
          <w:color w:val="auto"/>
          <w:highlight w:val="none"/>
        </w:rPr>
      </w:pPr>
      <w:r>
        <w:rPr>
          <w:rFonts w:hint="eastAsia" w:ascii="黑体" w:hAnsi="宋体" w:eastAsia="黑体" w:cs="黑体"/>
          <w:color w:val="auto"/>
          <w:sz w:val="44"/>
          <w:szCs w:val="44"/>
          <w:highlight w:val="none"/>
        </w:rPr>
        <w:t xml:space="preserve">第六章  投标文件格式</w:t>
      </w:r>
      <w:r/>
    </w:p>
    <w:p>
      <w:pPr>
        <w:pStyle w:val="663"/>
        <w:jc w:val="center"/>
        <w:spacing w:beforeAutospacing="0" w:afterAutospacing="0"/>
        <w:rPr>
          <w:rFonts w:hint="eastAsia" w:ascii="宋体" w:hAnsi="宋体" w:eastAsia="宋体" w:cs="宋体"/>
          <w:b/>
          <w:color w:val="auto"/>
          <w:sz w:val="72"/>
          <w:szCs w:val="72"/>
          <w:highlight w:val="none"/>
        </w:rPr>
      </w:pPr>
      <w:r/>
      <w:bookmarkStart w:id="181" w:name="_Toc26554094"/>
      <w:r/>
      <w:bookmarkEnd w:id="181"/>
      <w:r/>
      <w:bookmarkStart w:id="182" w:name="_Hlt26955039"/>
      <w:r/>
      <w:bookmarkEnd w:id="182"/>
      <w:r/>
      <w:bookmarkStart w:id="183" w:name="_Hlt26671244"/>
      <w:r/>
      <w:bookmarkEnd w:id="183"/>
      <w:r/>
      <w:bookmarkStart w:id="184" w:name="_Toc49090576"/>
      <w:r/>
      <w:bookmarkStart w:id="185" w:name="_Toc120614282"/>
      <w:r/>
      <w:r/>
    </w:p>
    <w:p>
      <w:pPr>
        <w:pStyle w:val="663"/>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663"/>
        <w:jc w:val="center"/>
        <w:spacing w:beforeAutospacing="0" w:afterAutospacing="0"/>
        <w:rPr>
          <w:color w:val="auto"/>
          <w:highlight w:val="none"/>
        </w:rPr>
      </w:pPr>
      <w:r>
        <w:rPr>
          <w:color w:val="auto"/>
          <w:highlight w:val="none"/>
        </w:rPr>
        <w:t xml:space="preserve"> </w:t>
      </w:r>
      <w:r/>
    </w:p>
    <w:p>
      <w:pPr>
        <w:pStyle w:val="663"/>
        <w:jc w:val="center"/>
        <w:spacing w:beforeAutospacing="0" w:afterAutospacing="0"/>
        <w:rPr>
          <w:color w:val="auto"/>
          <w:highlight w:val="none"/>
        </w:rPr>
      </w:pPr>
      <w:r>
        <w:rPr>
          <w:color w:val="auto"/>
          <w:highlight w:val="none"/>
        </w:rPr>
        <w:t xml:space="preserve"> </w:t>
      </w:r>
      <w:r/>
    </w:p>
    <w:p>
      <w:pPr>
        <w:pStyle w:val="663"/>
        <w:jc w:val="center"/>
        <w:spacing w:beforeAutospacing="0" w:afterAutospacing="0"/>
        <w:rPr>
          <w:color w:val="auto"/>
          <w:highlight w:val="none"/>
        </w:rPr>
      </w:pPr>
      <w:r>
        <w:rPr>
          <w:color w:val="auto"/>
          <w:highlight w:val="none"/>
        </w:rPr>
        <w:t xml:space="preserve"> </w:t>
      </w:r>
      <w:r/>
    </w:p>
    <w:p>
      <w:pPr>
        <w:pStyle w:val="663"/>
        <w:jc w:val="center"/>
        <w:spacing w:beforeAutospacing="0" w:afterAutospacing="0"/>
        <w:rPr>
          <w:color w:val="auto"/>
          <w:highlight w:val="none"/>
        </w:rPr>
      </w:pPr>
      <w:r>
        <w:rPr>
          <w:color w:val="auto"/>
          <w:highlight w:val="none"/>
        </w:rPr>
        <w:t xml:space="preserve"> </w:t>
      </w:r>
      <w:r/>
    </w:p>
    <w:p>
      <w:pPr>
        <w:pStyle w:val="663"/>
        <w:jc w:val="center"/>
        <w:spacing w:beforeAutospacing="0" w:afterAutospacing="0"/>
        <w:rPr>
          <w:color w:val="auto"/>
          <w:highlight w:val="none"/>
        </w:rPr>
      </w:pPr>
      <w:r>
        <w:rPr>
          <w:color w:val="auto"/>
          <w:highlight w:val="none"/>
        </w:rPr>
        <w:t xml:space="preserve"> </w:t>
      </w:r>
      <w:r/>
    </w:p>
    <w:p>
      <w:pPr>
        <w:pStyle w:val="663"/>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63"/>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6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6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both"/>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3"/>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ind w:left="0" w:firstLine="480"/>
        <w:jc w:val="both"/>
        <w:keepLines w:val="0"/>
        <w:keepNext w:val="0"/>
        <w:pageBreakBefore w:val="0"/>
        <w:spacing w:beforeAutospacing="0" w:afterAutospacing="0" w:line="48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480"/>
        <w:jc w:val="left"/>
        <w:keepLines w:val="0"/>
        <w:keepNext w:val="0"/>
        <w:pageBreakBefore w:val="0"/>
        <w:spacing w:line="48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二、上一年度或上上年度的财务状况报表（至少提供资产负债表、利润表、现金流量表，投标人成立不满一年无需提供）</w:t>
      </w:r>
      <w:r/>
    </w:p>
    <w:p>
      <w:pPr>
        <w:pStyle w:val="66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6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3"/>
        <w:ind w:left="0" w:firstLine="480"/>
        <w:jc w:val="both"/>
        <w:keepLines w:val="0"/>
        <w:keepNext w:val="0"/>
        <w:pageBreakBefore w:val="0"/>
        <w:spacing w:beforeAutospacing="0" w:afterAutospacing="0" w:line="48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6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六、供应商法定代表人身份证明和</w:t>
      </w:r>
      <w:r>
        <w:rPr>
          <w:rFonts w:hint="eastAsia" w:ascii="宋体" w:hAnsi="宋体" w:eastAsia="宋体" w:cs="宋体"/>
          <w:i w:val="0"/>
          <w:iCs/>
          <w:color w:val="auto"/>
          <w:highlight w:val="none"/>
          <w:u w:val="none"/>
          <w:lang w:eastAsia="zh-CN"/>
        </w:rPr>
        <w:t xml:space="preserve">投标文件</w:t>
      </w:r>
      <w:r>
        <w:rPr>
          <w:rFonts w:hint="eastAsia" w:ascii="宋体" w:hAnsi="宋体" w:eastAsia="宋体" w:cs="宋体"/>
          <w:i w:val="0"/>
          <w:iCs/>
          <w:color w:val="auto"/>
          <w:highlight w:val="none"/>
          <w:u w:val="none"/>
        </w:rPr>
        <w:t xml:space="preserve">签署授权委托书（另附法定代表人和被授权人的身份证复印件）</w:t>
      </w:r>
      <w:r/>
    </w:p>
    <w:p>
      <w:pPr>
        <w:pStyle w:val="66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七、供应商为被授权人缴纳的社会养老保险证明</w:t>
      </w:r>
      <w:r/>
    </w:p>
    <w:p>
      <w:pPr>
        <w:pStyle w:val="66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66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九</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6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66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、投标报价表</w:t>
      </w:r>
      <w:r/>
    </w:p>
    <w:p>
      <w:pPr>
        <w:pStyle w:val="66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、盐城市政府采购事前信用承诺书</w:t>
      </w:r>
      <w:r/>
    </w:p>
    <w:p>
      <w:pPr>
        <w:pStyle w:val="66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、与评审有关的其他资料</w:t>
      </w:r>
      <w:r/>
    </w:p>
    <w:p>
      <w:pPr>
        <w:pStyle w:val="663"/>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63"/>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t xml:space="preserve"> </w:t>
      </w:r>
      <w:r/>
    </w:p>
    <w:p>
      <w:pPr>
        <w:pStyle w:val="663"/>
        <w:ind w:firstLine="480"/>
        <w:jc w:val="both"/>
        <w:spacing w:beforeAutospacing="0" w:afterAutospacing="0" w:line="0" w:lineRule="atLeast"/>
        <w:rPr>
          <w:color w:val="auto"/>
          <w:highlight w:val="none"/>
        </w:rPr>
      </w:pPr>
      <w:r>
        <w:rPr>
          <w:color w:val="auto"/>
          <w:highlight w:val="none"/>
        </w:rPr>
        <w:t xml:space="preserve"> </w:t>
      </w:r>
      <w:r/>
    </w:p>
    <w:p>
      <w:pPr>
        <w:pStyle w:val="663"/>
        <w:ind w:firstLine="480"/>
        <w:jc w:val="both"/>
        <w:spacing w:beforeAutospacing="0" w:afterAutospacing="0" w:line="0" w:lineRule="atLeast"/>
        <w:rPr>
          <w:color w:val="auto"/>
          <w:highlight w:val="none"/>
        </w:rPr>
      </w:pPr>
      <w:r>
        <w:rPr>
          <w:color w:val="auto"/>
          <w:highlight w:val="none"/>
        </w:rPr>
        <w:t xml:space="preserve"> </w:t>
      </w:r>
      <w:r/>
    </w:p>
    <w:p>
      <w:pPr>
        <w:pStyle w:val="663"/>
        <w:ind w:firstLine="480"/>
        <w:jc w:val="both"/>
        <w:spacing w:beforeAutospacing="0" w:afterAutospacing="0" w:line="0" w:lineRule="atLeast"/>
        <w:rPr>
          <w:color w:val="auto"/>
          <w:highlight w:val="none"/>
        </w:rPr>
      </w:pPr>
      <w:r>
        <w:rPr>
          <w:color w:val="auto"/>
          <w:highlight w:val="none"/>
        </w:rPr>
        <w:t xml:space="preserve"> </w:t>
      </w:r>
      <w:r/>
    </w:p>
    <w:p>
      <w:pPr>
        <w:pStyle w:val="663"/>
        <w:ind w:firstLine="480"/>
        <w:jc w:val="both"/>
        <w:spacing w:beforeAutospacing="0" w:afterAutospacing="0" w:line="0" w:lineRule="atLeast"/>
        <w:rPr>
          <w:color w:val="auto"/>
          <w:highlight w:val="none"/>
        </w:rPr>
      </w:pPr>
      <w:r>
        <w:rPr>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r>
      <w:r/>
    </w:p>
    <w:p>
      <w:pPr>
        <w:pStyle w:val="663"/>
        <w:ind w:firstLine="480"/>
        <w:jc w:val="both"/>
        <w:spacing w:beforeAutospacing="0" w:afterAutospacing="0" w:line="0" w:lineRule="atLeast"/>
        <w:rPr>
          <w:color w:val="auto"/>
          <w:highlight w:val="none"/>
        </w:rPr>
      </w:pPr>
      <w:r>
        <w:rPr>
          <w:color w:val="auto"/>
          <w:highlight w:val="none"/>
        </w:rPr>
      </w:r>
      <w:r/>
    </w:p>
    <w:p>
      <w:pPr>
        <w:pStyle w:val="66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63"/>
        <w:ind w:firstLine="480"/>
        <w:jc w:val="both"/>
        <w:spacing w:beforeAutospacing="0" w:afterAutospacing="0" w:line="0" w:lineRule="atLeast"/>
        <w:rPr>
          <w:color w:val="auto"/>
          <w:highlight w:val="none"/>
        </w:rPr>
      </w:pPr>
      <w:r>
        <w:rPr>
          <w:color w:val="auto"/>
          <w:highlight w:val="none"/>
        </w:rPr>
        <w:t xml:space="preserve"> </w:t>
      </w:r>
      <w:r/>
    </w:p>
    <w:p>
      <w:pPr>
        <w:pStyle w:val="663"/>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二、上一年度的财务状况报表</w:t>
      </w:r>
      <w:r/>
    </w:p>
    <w:p>
      <w:pPr>
        <w:pStyle w:val="66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投标人成立不满一年不需提供</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663"/>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63"/>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3"/>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663"/>
        <w:ind w:firstLine="480"/>
        <w:jc w:val="both"/>
        <w:spacing w:beforeAutospacing="0" w:afterAutospacing="0"/>
        <w:rPr>
          <w:color w:val="auto"/>
          <w:highlight w:val="none"/>
        </w:rPr>
      </w:pPr>
      <w:r/>
      <w:bookmarkStart w:id="186"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6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663"/>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63"/>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63"/>
        <w:jc w:val="both"/>
        <w:spacing w:beforeAutospacing="0" w:afterAutospacing="0"/>
        <w:rPr>
          <w:color w:val="auto"/>
          <w:highlight w:val="none"/>
        </w:rPr>
      </w:pPr>
      <w:r>
        <w:rPr>
          <w:color w:val="auto"/>
          <w:highlight w:val="none"/>
        </w:rPr>
        <w:t xml:space="preserve"> </w:t>
      </w:r>
      <w:r/>
    </w:p>
    <w:p>
      <w:pPr>
        <w:pStyle w:val="663"/>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3"/>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3"/>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3"/>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3"/>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3"/>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3"/>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3"/>
        <w:jc w:val="both"/>
        <w:spacing w:beforeAutospacing="0" w:afterAutospacing="0"/>
        <w:rPr>
          <w:rFonts w:hint="eastAsia" w:ascii="宋体" w:hAnsi="宋体" w:eastAsia="宋体" w:cs="宋体"/>
          <w:color w:val="auto"/>
          <w:highlight w:val="none"/>
        </w:rPr>
      </w:pPr>
      <w:r/>
      <w:bookmarkStart w:id="187" w:name="_Hlt26955070"/>
      <w:r/>
      <w:bookmarkStart w:id="188" w:name="_格式3__银行出具的资信证明"/>
      <w:r/>
      <w:bookmarkStart w:id="189" w:name="_Hlt26671380"/>
      <w:r>
        <w:rPr>
          <w:rFonts w:hint="eastAsia" w:ascii="宋体" w:hAnsi="宋体" w:eastAsia="宋体" w:cs="宋体"/>
          <w:i/>
          <w:color w:val="auto"/>
          <w:sz w:val="32"/>
          <w:szCs w:val="32"/>
          <w:highlight w:val="none"/>
          <w:u w:val="single"/>
        </w:rPr>
        <w:t xml:space="preserve">六、</w:t>
      </w:r>
      <w:r>
        <w:rPr>
          <w:rFonts w:hint="eastAsia" w:ascii="宋体" w:hAnsi="宋体" w:eastAsia="宋体" w:cs="宋体"/>
          <w:i/>
          <w:color w:val="auto"/>
          <w:sz w:val="32"/>
          <w:szCs w:val="32"/>
          <w:highlight w:val="none"/>
          <w:u w:val="single"/>
          <w:lang w:val="en-US" w:eastAsia="zh-CN"/>
        </w:rPr>
        <w:t xml:space="preserve">供应商</w:t>
      </w:r>
      <w:r>
        <w:rPr>
          <w:rFonts w:hint="eastAsia" w:ascii="宋体" w:hAnsi="宋体" w:eastAsia="宋体" w:cs="宋体"/>
          <w:i/>
          <w:color w:val="auto"/>
          <w:sz w:val="32"/>
          <w:szCs w:val="32"/>
          <w:highlight w:val="none"/>
          <w:u w:val="single"/>
        </w:rPr>
        <w:t xml:space="preserve">法定代表人身份证明和</w:t>
      </w:r>
      <w:r>
        <w:rPr>
          <w:rFonts w:hint="eastAsia" w:ascii="宋体" w:hAnsi="宋体" w:eastAsia="宋体" w:cs="宋体"/>
          <w:i/>
          <w:color w:val="auto"/>
          <w:sz w:val="32"/>
          <w:szCs w:val="32"/>
          <w:highlight w:val="none"/>
          <w:u w:val="single"/>
          <w:lang w:val="en-US" w:eastAsia="zh-CN"/>
        </w:rPr>
        <w:t xml:space="preserve">投标</w:t>
      </w:r>
      <w:r>
        <w:rPr>
          <w:rFonts w:hint="eastAsia" w:ascii="宋体" w:hAnsi="宋体" w:eastAsia="宋体" w:cs="宋体"/>
          <w:i/>
          <w:color w:val="auto"/>
          <w:sz w:val="32"/>
          <w:szCs w:val="32"/>
          <w:highlight w:val="none"/>
          <w:u w:val="single"/>
          <w:lang w:eastAsia="zh-CN"/>
        </w:rPr>
        <w:t xml:space="preserve">文件</w:t>
      </w:r>
      <w:r>
        <w:rPr>
          <w:rFonts w:hint="eastAsia" w:ascii="宋体" w:hAnsi="宋体" w:eastAsia="宋体" w:cs="宋体"/>
          <w:i/>
          <w:color w:val="auto"/>
          <w:sz w:val="32"/>
          <w:szCs w:val="32"/>
          <w:highlight w:val="none"/>
          <w:u w:val="single"/>
        </w:rPr>
        <w:t xml:space="preserve">签署授权委托书（另附法定代表人和被授权人的身份证复印件）</w:t>
      </w:r>
      <w:r/>
    </w:p>
    <w:p>
      <w:pPr>
        <w:jc w:val="center"/>
        <w:spacing w:line="60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法定代表人身份证明书</w:t>
      </w:r>
      <w:r/>
    </w:p>
    <w:p>
      <w:pPr>
        <w:jc w:val="center"/>
        <w:spacing w:line="6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（盖单位公章）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00" w:lineRule="exact"/>
        <w:rPr>
          <w:rFonts w:hint="eastAsia" w:ascii="宋体" w:hAnsi="宋体" w:eastAsia="宋体" w:cs="宋体"/>
          <w:color w:val="auto"/>
          <w:sz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lang w:eastAsia="zh-CN"/>
        </w:rPr>
        <w:t xml:space="preserve">投标文件</w:t>
      </w:r>
      <w:r>
        <w:rPr>
          <w:rFonts w:hint="eastAsia" w:ascii="宋体" w:hAnsi="宋体" w:eastAsia="宋体" w:cs="宋体"/>
          <w:b/>
          <w:bCs/>
          <w:color w:val="auto"/>
          <w:sz w:val="32"/>
          <w:szCs w:val="32"/>
          <w:highlight w:val="none"/>
        </w:rPr>
        <w:t xml:space="preserve">签署授权委托书</w:t>
      </w:r>
      <w:r/>
    </w:p>
    <w:p>
      <w:pPr>
        <w:jc w:val="center"/>
        <w:spacing w:line="4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为我公司签署本项目的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的法定代表人授权委托代</w:t>
      </w:r>
      <w:r>
        <w:rPr>
          <w:rFonts w:hint="eastAsia" w:ascii="宋体" w:hAnsi="宋体" w:eastAsia="宋体" w:cs="宋体"/>
          <w:color w:val="auto"/>
          <w:sz w:val="24"/>
          <w:highlight w:val="none"/>
          <w:lang w:eastAsia="zh-CN"/>
        </w:rPr>
        <w:t xml:space="preserve">理人</w:t>
      </w:r>
      <w:r>
        <w:rPr>
          <w:rFonts w:hint="eastAsia" w:ascii="宋体" w:hAnsi="宋体" w:eastAsia="宋体" w:cs="宋体"/>
          <w:color w:val="auto"/>
          <w:sz w:val="24"/>
          <w:highlight w:val="none"/>
        </w:rPr>
        <w:t xml:space="preserve">，我承认被授权人全权代表我所签署的本项目的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特此委托。</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代理人（被授权人）：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联系电话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 xml:space="preserve">        </w:t>
      </w:r>
      <w:r/>
    </w:p>
    <w:p>
      <w:pPr>
        <w:pStyle w:val="66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szCs w:val="22"/>
          <w:highlight w:val="none"/>
        </w:rPr>
        <w:t xml:space="preserve">联系号码（手机号码）</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（盖单位公章）</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（附：被授权人身份证正反面复印件）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66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663"/>
        <w:jc w:val="both"/>
        <w:spacing w:beforeAutospacing="0" w:afterAutospacing="0" w:line="0" w:lineRule="atLeast"/>
        <w:rPr>
          <w:rFonts w:hint="eastAsia" w:ascii="宋体" w:hAnsi="宋体" w:eastAsia="宋体" w:cs="宋体"/>
          <w:b/>
          <w:iCs/>
          <w:color w:val="auto"/>
          <w:sz w:val="32"/>
          <w:szCs w:val="32"/>
          <w:highlight w:val="none"/>
          <w:u w:val="single"/>
        </w:rPr>
      </w:pPr>
      <w:r>
        <w:rPr>
          <w:rFonts w:hint="eastAsia" w:ascii="宋体" w:hAnsi="宋体" w:eastAsia="宋体" w:cs="宋体"/>
          <w:b/>
          <w:iCs/>
          <w:color w:val="auto"/>
          <w:sz w:val="32"/>
          <w:szCs w:val="32"/>
          <w:highlight w:val="none"/>
          <w:u w:val="single"/>
        </w:rPr>
      </w:r>
      <w:r/>
    </w:p>
    <w:p>
      <w:pPr>
        <w:pStyle w:val="663"/>
        <w:numPr>
          <w:ilvl w:val="0"/>
          <w:numId w:val="0"/>
        </w:numPr>
        <w:jc w:val="center"/>
        <w:spacing w:beforeAutospacing="0" w:afterAutospacing="0" w:line="0" w:lineRule="atLeast"/>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bidi="ar-SA"/>
        </w:rPr>
        <w:t xml:space="preserve">八、</w:t>
      </w:r>
      <w:r>
        <w:rPr>
          <w:rFonts w:hint="eastAsia" w:ascii="黑体" w:hAnsi="宋体" w:eastAsia="黑体" w:cs="黑体"/>
          <w:b/>
          <w:color w:val="auto"/>
          <w:sz w:val="32"/>
          <w:szCs w:val="32"/>
          <w:highlight w:val="none"/>
        </w:rPr>
        <w:t xml:space="preserve">投标函</w:t>
      </w:r>
      <w:r/>
    </w:p>
    <w:p>
      <w:pPr>
        <w:pStyle w:val="663"/>
        <w:keepLines w:val="0"/>
        <w:keepNext w:val="0"/>
        <w:pageBreakBefore w:val="0"/>
        <w:spacing w:beforeAutospacing="0" w:afterAutospacing="0" w:line="480" w:lineRule="exact"/>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（采购人名称）   </w:t>
      </w:r>
      <w:r/>
    </w:p>
    <w:p>
      <w:pPr>
        <w:pStyle w:val="66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根据贵方</w:t>
      </w:r>
      <w:r>
        <w:rPr>
          <w:rFonts w:hint="eastAsia" w:ascii="宋体" w:hAnsi="宋体" w:eastAsia="宋体" w:cs="宋体"/>
          <w:color w:val="auto"/>
          <w:highlight w:val="none"/>
          <w:lang w:val="en-US" w:eastAsia="zh-CN"/>
        </w:rPr>
        <w:t xml:space="preserve">编号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的</w:t>
      </w:r>
      <w:r>
        <w:rPr>
          <w:rFonts w:hint="eastAsia" w:ascii="宋体" w:hAnsi="宋体" w:eastAsia="宋体" w:cs="宋体"/>
          <w:color w:val="auto"/>
          <w:highlight w:val="none"/>
        </w:rPr>
        <w:t xml:space="preserve">招标文件，正式授权下述签字人______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66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66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6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6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6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6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6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6.一旦我方中标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我方将根据招标文件的规定，严格履行合同的责任和义务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并保证在招标文件规定的时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66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663"/>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地          址：</w:t>
      </w:r>
      <w:r/>
    </w:p>
    <w:p>
      <w:pPr>
        <w:pStyle w:val="663"/>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邮          编：</w:t>
      </w:r>
      <w:r/>
    </w:p>
    <w:p>
      <w:pPr>
        <w:pStyle w:val="663"/>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电          话：</w:t>
      </w:r>
      <w:r/>
    </w:p>
    <w:p>
      <w:pPr>
        <w:pStyle w:val="663"/>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传          真：</w:t>
      </w:r>
      <w:r/>
    </w:p>
    <w:p>
      <w:pPr>
        <w:pStyle w:val="663"/>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投标人开户行：</w:t>
      </w:r>
      <w:r/>
    </w:p>
    <w:p>
      <w:pPr>
        <w:pStyle w:val="663"/>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账          号： </w:t>
      </w:r>
      <w:r/>
    </w:p>
    <w:p>
      <w:pPr>
        <w:pStyle w:val="663"/>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663"/>
        <w:ind w:firstLine="240"/>
        <w:jc w:val="center"/>
        <w:spacing w:beforeAutospacing="0" w:afterAutospacing="0" w:line="0" w:lineRule="atLeast"/>
        <w:rPr>
          <w:color w:val="auto"/>
          <w:highlight w:val="none"/>
        </w:rPr>
      </w:pPr>
      <w:r>
        <w:rPr>
          <w:color w:val="auto"/>
          <w:highlight w:val="none"/>
        </w:rPr>
        <w:t xml:space="preserve"> </w:t>
      </w:r>
      <w:r/>
    </w:p>
    <w:p>
      <w:pPr>
        <w:pStyle w:val="663"/>
        <w:ind w:firstLine="240"/>
        <w:jc w:val="center"/>
        <w:spacing w:beforeAutospacing="0" w:afterAutospacing="0" w:line="0" w:lineRule="atLeast"/>
        <w:rPr>
          <w:color w:val="auto"/>
          <w:highlight w:val="none"/>
        </w:rPr>
      </w:pPr>
      <w:r>
        <w:rPr>
          <w:color w:val="auto"/>
          <w:highlight w:val="none"/>
        </w:rPr>
        <w:t xml:space="preserve"> </w:t>
      </w:r>
      <w:r/>
    </w:p>
    <w:p>
      <w:pPr>
        <w:pStyle w:val="663"/>
        <w:ind w:firstLine="240"/>
        <w:jc w:val="center"/>
        <w:spacing w:beforeAutospacing="0" w:afterAutospacing="0" w:line="0" w:lineRule="atLeast"/>
        <w:rPr>
          <w:color w:val="auto"/>
          <w:highlight w:val="none"/>
        </w:rPr>
      </w:pPr>
      <w:r>
        <w:rPr>
          <w:color w:val="auto"/>
          <w:highlight w:val="none"/>
        </w:rPr>
        <w:t xml:space="preserve"> </w:t>
      </w:r>
      <w:r/>
    </w:p>
    <w:p>
      <w:pPr>
        <w:pStyle w:val="663"/>
        <w:ind w:firstLine="240"/>
        <w:jc w:val="center"/>
        <w:spacing w:beforeAutospacing="0" w:afterAutospacing="0" w:line="0" w:lineRule="atLeast"/>
        <w:rPr>
          <w:color w:val="auto"/>
          <w:highlight w:val="none"/>
        </w:rPr>
      </w:pPr>
      <w:r>
        <w:rPr>
          <w:color w:val="auto"/>
          <w:highlight w:val="none"/>
        </w:rPr>
        <w:t xml:space="preserve"> </w:t>
      </w:r>
      <w:r/>
    </w:p>
    <w:p>
      <w:pPr>
        <w:pStyle w:val="663"/>
        <w:ind w:firstLine="240"/>
        <w:jc w:val="center"/>
        <w:spacing w:beforeAutospacing="0" w:afterAutospacing="0" w:line="0" w:lineRule="atLeast"/>
        <w:rPr>
          <w:color w:val="auto"/>
          <w:highlight w:val="none"/>
        </w:rPr>
      </w:pPr>
      <w:r>
        <w:rPr>
          <w:color w:val="auto"/>
          <w:highlight w:val="none"/>
        </w:rPr>
        <w:t xml:space="preserve"> </w:t>
      </w:r>
      <w:r/>
    </w:p>
    <w:p>
      <w:pPr>
        <w:pStyle w:val="663"/>
        <w:ind w:firstLine="240"/>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val="en-US" w:eastAsia="zh-CN"/>
        </w:rPr>
        <w:t xml:space="preserve">九</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lang w:val="en-US" w:eastAsia="zh-CN"/>
        </w:rPr>
        <w:t xml:space="preserve"> （采购人名称） </w:t>
      </w:r>
      <w:r>
        <w:rPr>
          <w:rFonts w:hint="eastAsia"/>
          <w:color w:val="auto"/>
          <w:sz w:val="24"/>
          <w:highlight w:val="none"/>
        </w:rPr>
        <w:t xml:space="preserve">组织的采购编号为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keepLines w:val="0"/>
        <w:keepNext w:val="0"/>
        <w:pageBreakBefore w:val="0"/>
        <w:spacing w:line="48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keepLines w:val="0"/>
        <w:keepNext w:val="0"/>
        <w:pageBreakBefore w:val="0"/>
        <w:spacing w:line="48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63"/>
        <w:ind w:right="72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663"/>
        <w:ind w:right="180" w:firstLine="360"/>
        <w:jc w:val="right"/>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企业名称（加盖CA电子公章）：</w:t>
      </w:r>
      <w:r/>
    </w:p>
    <w:p>
      <w:pPr>
        <w:pStyle w:val="663"/>
        <w:ind w:right="480" w:firstLine="540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日  期：</w:t>
      </w:r>
      <w:r/>
    </w:p>
    <w:p>
      <w:pPr>
        <w:pStyle w:val="663"/>
        <w:ind w:firstLine="24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663"/>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63"/>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6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66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3"/>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663"/>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63"/>
        <w:ind w:firstLine="48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663"/>
        <w:ind w:firstLine="480"/>
        <w:jc w:val="both"/>
        <w:keepLines w:val="0"/>
        <w:keepNext w:val="0"/>
        <w:pageBreakBefore w:val="0"/>
        <w:spacing w:beforeAutospacing="0" w:afterAutospacing="0" w:line="48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663"/>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中标人为残疾人福利单位的，此声明函将随中标结果同时公告，接受社会监督</w:t>
      </w:r>
      <w:r/>
    </w:p>
    <w:p>
      <w:pPr>
        <w:pStyle w:val="663"/>
        <w:ind w:firstLine="624"/>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663"/>
        <w:ind w:right="1560" w:firstLine="624"/>
        <w:jc w:val="center"/>
        <w:keepLines w:val="0"/>
        <w:keepNext w:val="0"/>
        <w:pageBreakBefore w:val="0"/>
        <w:spacing w:beforeAutospacing="0" w:afterAutospacing="0" w:line="480" w:lineRule="exact"/>
        <w:widowControl w:val="off"/>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63"/>
        <w:ind w:right="1560" w:firstLine="480"/>
        <w:jc w:val="center"/>
        <w:keepLines w:val="0"/>
        <w:keepNext w:val="0"/>
        <w:pageBreakBefore w:val="0"/>
        <w:spacing w:beforeAutospacing="0" w:afterAutospacing="0" w:line="48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3"/>
        <w:ind w:right="1560" w:firstLine="480"/>
        <w:jc w:val="center"/>
        <w:keepLines w:val="0"/>
        <w:keepNext w:val="0"/>
        <w:pageBreakBefore w:val="0"/>
        <w:spacing w:beforeAutospacing="0" w:afterAutospacing="0" w:line="480" w:lineRule="exact"/>
        <w:widowControl w:val="off"/>
        <w:tabs>
          <w:tab w:val="left" w:pos="4864" w:leader="none"/>
        </w:tabs>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t xml:space="preserve"> </w:t>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color w:val="auto"/>
          <w:highlight w:val="none"/>
        </w:rPr>
      </w:pPr>
      <w:r>
        <w:rPr>
          <w:color w:val="auto"/>
          <w:highlight w:val="none"/>
        </w:rPr>
      </w:r>
      <w:r/>
    </w:p>
    <w:p>
      <w:pPr>
        <w:pStyle w:val="663"/>
        <w:jc w:val="center"/>
        <w:spacing w:beforeAutospacing="0" w:afterAutospacing="0" w:line="0" w:lineRule="atLeast"/>
        <w:rPr>
          <w:rFonts w:hint="default"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w:t>
      </w:r>
      <w:bookmarkStart w:id="190" w:name="_Toc462564146"/>
      <w:r/>
      <w:bookmarkStart w:id="191" w:name="_Hlt26671374"/>
      <w:r/>
      <w:bookmarkStart w:id="192" w:name="_Hlt26955054"/>
      <w:r/>
      <w:bookmarkStart w:id="193" w:name="_Hlt26955066"/>
      <w:r/>
      <w:bookmarkStart w:id="194" w:name="_Hlt26609389"/>
      <w:r/>
      <w:bookmarkStart w:id="195" w:name="_格式2__法定代表人授权书"/>
      <w:r>
        <w:rPr>
          <w:rFonts w:hint="eastAsia" w:ascii="黑体" w:hAnsi="宋体" w:eastAsia="黑体" w:cs="黑体"/>
          <w:b/>
          <w:color w:val="auto"/>
          <w:sz w:val="32"/>
          <w:szCs w:val="32"/>
          <w:highlight w:val="none"/>
          <w:lang w:val="en-US" w:eastAsia="zh-CN"/>
        </w:rPr>
        <w:t xml:space="preserve">投标报价表</w:t>
      </w:r>
      <w:r/>
    </w:p>
    <w:p>
      <w:pPr>
        <w:pStyle w:val="663"/>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投标人全称（加盖CA电子签章）：</w:t>
      </w:r>
      <w:r/>
    </w:p>
    <w:p>
      <w:pPr>
        <w:pStyle w:val="663"/>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项目名称：</w:t>
      </w:r>
      <w:r/>
    </w:p>
    <w:p>
      <w:pPr>
        <w:pStyle w:val="663"/>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7"/>
        <w:gridCol w:w="1524"/>
        <w:gridCol w:w="2400"/>
        <w:gridCol w:w="2401"/>
      </w:tblGrid>
      <w:tr>
        <w:trPr>
          <w:jc w:val="center"/>
          <w:trHeight w:val="845"/>
        </w:trPr>
        <w:tc>
          <w:tcPr>
            <w:tcW w:w="2197"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项目名称</w:t>
            </w:r>
            <w:r/>
          </w:p>
        </w:tc>
        <w:tc>
          <w:tcPr>
            <w:tcW w:w="1524"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数量</w:t>
            </w:r>
            <w:r/>
          </w:p>
        </w:tc>
        <w:tc>
          <w:tcPr>
            <w:tcW w:w="2400"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单价（元）</w:t>
            </w:r>
            <w:r/>
          </w:p>
        </w:tc>
        <w:tc>
          <w:tcPr>
            <w:tcW w:w="2401"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合价（元）</w:t>
            </w:r>
            <w:r/>
          </w:p>
        </w:tc>
      </w:tr>
      <w:tr>
        <w:trPr>
          <w:jc w:val="center"/>
          <w:trHeight w:val="845"/>
        </w:trPr>
        <w:tc>
          <w:tcPr>
            <w:tcW w:w="2197"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垃圾分类</w:t>
            </w:r>
            <w:r>
              <w:rPr>
                <w:rFonts w:hint="eastAsia" w:ascii="宋体" w:hAnsi="宋体" w:eastAsia="宋体" w:cs="宋体"/>
                <w:bCs/>
                <w:color w:val="auto"/>
                <w:sz w:val="24"/>
                <w:szCs w:val="24"/>
                <w:highlight w:val="none"/>
                <w:lang w:val="en-US" w:eastAsia="zh-CN"/>
              </w:rPr>
              <w:t xml:space="preserve">房运营</w:t>
            </w:r>
            <w:r/>
          </w:p>
        </w:tc>
        <w:tc>
          <w:tcPr>
            <w:tcW w:w="1524"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90座</w:t>
            </w:r>
            <w:r/>
          </w:p>
        </w:tc>
        <w:tc>
          <w:tcPr>
            <w:tcW w:w="2400"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401"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845"/>
        </w:trPr>
        <w:tc>
          <w:tcPr>
            <w:tcW w:w="2197"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垃圾分类亭运营</w:t>
            </w:r>
            <w:r/>
          </w:p>
        </w:tc>
        <w:tc>
          <w:tcPr>
            <w:tcW w:w="1524"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63座</w:t>
            </w:r>
            <w:r/>
          </w:p>
        </w:tc>
        <w:tc>
          <w:tcPr>
            <w:tcW w:w="2400"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W w:w="2401"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r>
      <w:tr>
        <w:trPr>
          <w:jc w:val="center"/>
          <w:trHeight w:val="845"/>
        </w:trPr>
        <w:tc>
          <w:tcPr>
            <w:tcW w:w="2197"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无人值守分类亭</w:t>
            </w:r>
            <w:r/>
          </w:p>
        </w:tc>
        <w:tc>
          <w:tcPr>
            <w:tcW w:w="1524" w:type="dxa"/>
            <w:vAlign w:val="center"/>
            <w:textDirection w:val="lrTb"/>
            <w:noWrap w:val="false"/>
          </w:tcPr>
          <w:p>
            <w:pPr>
              <w:jc w:val="center"/>
              <w:spacing w:line="240" w:lineRule="auto"/>
              <w:widowControl/>
              <w:tabs>
                <w:tab w:val="left" w:pos="900"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30座</w:t>
            </w:r>
            <w:r/>
          </w:p>
        </w:tc>
        <w:tc>
          <w:tcPr>
            <w:tcW w:w="2400"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W w:w="2401"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r>
      <w:tr>
        <w:trPr>
          <w:jc w:val="center"/>
          <w:trHeight w:val="845"/>
        </w:trPr>
        <w:tc>
          <w:tcPr>
            <w:tcW w:w="2197"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eastAsia="zh-CN"/>
              </w:rPr>
              <w:t xml:space="preserve">）</w:t>
            </w:r>
            <w:r/>
          </w:p>
        </w:tc>
        <w:tc>
          <w:tcPr>
            <w:gridSpan w:val="3"/>
            <w:tcW w:w="6325" w:type="dxa"/>
            <w:vAlign w:val="center"/>
            <w:textDirection w:val="lrTb"/>
            <w:noWrap w:val="false"/>
          </w:tcPr>
          <w:p>
            <w:pPr>
              <w:jc w:val="center"/>
              <w:spacing w:line="240" w:lineRule="auto"/>
              <w:widowControl/>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tc>
      </w:tr>
    </w:tbl>
    <w:p>
      <w:pPr>
        <w:pStyle w:val="663"/>
        <w:ind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总价</w:t>
      </w:r>
      <w:r>
        <w:rPr>
          <w:rFonts w:hint="eastAsia" w:ascii="宋体" w:hAnsi="宋体" w:eastAsia="宋体" w:cs="宋体"/>
          <w:color w:val="auto"/>
          <w:sz w:val="24"/>
          <w:highlight w:val="none"/>
        </w:rPr>
        <w:t xml:space="preserve">除标的物的价款外还应包括人员、</w:t>
      </w:r>
      <w:r>
        <w:rPr>
          <w:rFonts w:hint="eastAsia" w:ascii="宋体" w:hAnsi="宋体" w:eastAsia="宋体" w:cs="宋体"/>
          <w:color w:val="auto"/>
          <w:sz w:val="24"/>
          <w:highlight w:val="none"/>
          <w:lang w:eastAsia="zh-CN"/>
        </w:rPr>
        <w:t xml:space="preserve">垃圾房（</w:t>
      </w:r>
      <w:r>
        <w:rPr>
          <w:rFonts w:hint="eastAsia" w:ascii="宋体" w:hAnsi="宋体" w:eastAsia="宋体" w:cs="宋体"/>
          <w:color w:val="auto"/>
          <w:sz w:val="24"/>
          <w:highlight w:val="none"/>
          <w:lang w:val="en-US" w:eastAsia="zh-CN"/>
        </w:rPr>
        <w:t xml:space="preserve">亭</w:t>
      </w:r>
      <w:r>
        <w:rPr>
          <w:rFonts w:hint="eastAsia" w:ascii="宋体" w:hAnsi="宋体" w:eastAsia="宋体" w:cs="宋体"/>
          <w:color w:val="auto"/>
          <w:sz w:val="24"/>
          <w:highlight w:val="none"/>
          <w:lang w:eastAsia="zh-CN"/>
        </w:rPr>
        <w:t xml:space="preserve">）水电费、</w:t>
      </w:r>
      <w:r>
        <w:rPr>
          <w:rFonts w:hint="eastAsia" w:ascii="宋体" w:hAnsi="宋体" w:eastAsia="宋体" w:cs="宋体"/>
          <w:color w:val="auto"/>
          <w:sz w:val="24"/>
          <w:highlight w:val="none"/>
        </w:rPr>
        <w:t xml:space="preserve">设备维护、耗材、人员培训、税费等全部项目的费用。</w:t>
      </w:r>
      <w:r>
        <w:rPr>
          <w:rFonts w:hint="eastAsia" w:ascii="宋体" w:hAnsi="宋体" w:eastAsia="宋体" w:cs="宋体"/>
          <w:color w:val="auto"/>
          <w:highlight w:val="none"/>
        </w:rPr>
        <w:t xml:space="preserve">   </w:t>
      </w:r>
      <w:r/>
    </w:p>
    <w:p>
      <w:pPr>
        <w:pStyle w:val="66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3"/>
        <w:ind w:firstLine="3902"/>
        <w:jc w:val="both"/>
        <w:spacing w:beforeAutospacing="0" w:afterAutospacing="0"/>
        <w:rPr>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63"/>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665"/>
        <w:rPr>
          <w:color w:val="auto"/>
          <w:highlight w:val="none"/>
        </w:rPr>
      </w:pPr>
      <w:r>
        <w:rPr>
          <w:color w:val="auto"/>
          <w:highlight w:val="none"/>
        </w:rPr>
      </w:r>
      <w:r/>
    </w:p>
    <w:p>
      <w:pPr>
        <w:pStyle w:val="665"/>
        <w:rPr>
          <w:color w:val="auto"/>
          <w:highlight w:val="none"/>
        </w:rPr>
      </w:pPr>
      <w:r>
        <w:rPr>
          <w:color w:val="auto"/>
          <w:highlight w:val="none"/>
        </w:rPr>
      </w:r>
      <w:r/>
    </w:p>
    <w:p>
      <w:pPr>
        <w:pStyle w:val="665"/>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665"/>
        <w:rPr>
          <w:color w:val="auto"/>
          <w:highlight w:val="none"/>
        </w:rPr>
      </w:pPr>
      <w:r>
        <w:rPr>
          <w:color w:val="auto"/>
          <w:highlight w:val="none"/>
        </w:rPr>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、盐城市政府采购事前信用承诺书</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 </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eastAsia="zh-CN"/>
        </w:rPr>
        <w:t xml:space="preserve">做</w:t>
      </w:r>
      <w:r>
        <w:rPr>
          <w:rFonts w:hint="eastAsia" w:ascii="宋体" w:hAnsi="宋体" w:eastAsia="宋体" w:cs="宋体"/>
          <w:color w:val="auto"/>
          <w:sz w:val="24"/>
          <w:highlight w:val="none"/>
        </w:rPr>
        <w:t xml:space="preserve">了宣传教育。</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56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w:t>
      </w:r>
      <w:r>
        <w:rPr>
          <w:rFonts w:hint="eastAsia" w:ascii="宋体" w:hAnsi="宋体" w:eastAsia="宋体" w:cs="宋体"/>
          <w:color w:val="auto"/>
          <w:sz w:val="24"/>
          <w:highlight w:val="none"/>
          <w:lang w:val="en-US" w:eastAsia="zh-CN"/>
        </w:rPr>
        <w:t xml:space="preserve">名或</w:t>
      </w:r>
      <w:r>
        <w:rPr>
          <w:rFonts w:hint="eastAsia" w:ascii="宋体" w:hAnsi="宋体" w:eastAsia="宋体" w:cs="宋体"/>
          <w:color w:val="auto"/>
          <w:sz w:val="24"/>
          <w:highlight w:val="none"/>
        </w:rPr>
        <w:t xml:space="preserve">盖章）：</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单位名称（盖章）：</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bookmarkEnd w:id="184"/>
      <w:bookmarkEnd w:id="185"/>
      <w:bookmarkEnd w:id="187"/>
      <w:bookmarkEnd w:id="188"/>
      <w:bookmarkEnd w:id="189"/>
      <w:bookmarkEnd w:id="190"/>
      <w:bookmarkEnd w:id="191"/>
      <w:bookmarkEnd w:id="192"/>
      <w:bookmarkEnd w:id="193"/>
      <w:bookmarkEnd w:id="194"/>
      <w:bookmarkEnd w:id="195"/>
      <w:r/>
    </w:p>
    <w:p>
      <w:pPr>
        <w:pStyle w:val="663"/>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十三、</w:t>
      </w:r>
      <w:r>
        <w:rPr>
          <w:rFonts w:hint="eastAsia" w:ascii="宋体" w:hAnsi="宋体" w:eastAsia="宋体" w:cs="宋体"/>
          <w:b/>
          <w:bCs/>
          <w:color w:val="auto"/>
          <w:sz w:val="32"/>
          <w:szCs w:val="32"/>
          <w:highlight w:val="none"/>
        </w:rPr>
        <w:t xml:space="preserve">与评审有关的其他资料</w:t>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3"/>
        <w:numPr>
          <w:ilvl w:val="0"/>
          <w:numId w:val="0"/>
        </w:numPr>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63"/>
        <w:jc w:val="both"/>
        <w:keepLines w:val="0"/>
        <w:keepNext w:val="0"/>
        <w:pageBreakBefore w:val="0"/>
        <w:spacing w:before="290"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63"/>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66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63"/>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63"/>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3"/>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63"/>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63"/>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63"/>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3"/>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3"/>
      <w:spacing w:line="169" w:lineRule="auto"/>
      <w:rPr>
        <w:rFonts w:ascii="Calibri" w:hAnsi="Calibri" w:eastAsia="Calibri" w:cs="Calibri"/>
        <w:sz w:val="18"/>
        <w:szCs w:val="18"/>
      </w:rPr>
    </w:pPr>
    <w:r>
      <w:rPr>
        <w:rFonts w:ascii="Calibri" w:hAnsi="Calibri" w:eastAsia="Calibri" w:cs="Calibri"/>
        <w:spacing w:val="-5"/>
        <w:sz w:val="18"/>
        <w:szCs w:val="18"/>
      </w:rPr>
      <w:t xml:space="preserve">30</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5"/>
    <w:link w:val="12"/>
    <w:uiPriority w:val="9"/>
    <w:rPr>
      <w:rFonts w:ascii="Arial" w:hAnsi="Arial" w:eastAsia="Arial" w:cs="Arial"/>
      <w:sz w:val="40"/>
      <w:szCs w:val="40"/>
    </w:rPr>
  </w:style>
  <w:style w:type="character" w:styleId="15">
    <w:name w:val="Heading 2 Char"/>
    <w:basedOn w:val="655"/>
    <w:link w:val="65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5"/>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5"/>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5"/>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5"/>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5"/>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5"/>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5"/>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655"/>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655"/>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5"/>
    <w:link w:val="662"/>
    <w:uiPriority w:val="99"/>
  </w:style>
  <w:style w:type="character" w:styleId="44">
    <w:name w:val="Footer Char"/>
    <w:basedOn w:val="655"/>
    <w:link w:val="661"/>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661"/>
    <w:uiPriority w:val="99"/>
  </w:style>
  <w:style w:type="table" w:styleId="48">
    <w:name w:val="Table Grid Light"/>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5"/>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5"/>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4">
    <w:name w:val="Heading 2"/>
    <w:basedOn w:val="653"/>
    <w:next w:val="65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annotation text"/>
    <w:basedOn w:val="653"/>
    <w:uiPriority w:val="0"/>
    <w:qFormat/>
    <w:pPr>
      <w:jc w:val="left"/>
    </w:pPr>
  </w:style>
  <w:style w:type="paragraph" w:styleId="658">
    <w:name w:val="Body Text"/>
    <w:basedOn w:val="653"/>
    <w:uiPriority w:val="0"/>
    <w:qFormat/>
    <w:pPr>
      <w:spacing w:after="120"/>
    </w:pPr>
  </w:style>
  <w:style w:type="paragraph" w:styleId="659">
    <w:name w:val="Body Text Indent"/>
    <w:basedOn w:val="653"/>
    <w:next w:val="660"/>
    <w:uiPriority w:val="0"/>
    <w:qFormat/>
    <w:pPr>
      <w:ind w:firstLine="600"/>
      <w:spacing w:line="360" w:lineRule="auto"/>
    </w:pPr>
    <w:rPr>
      <w:rFonts w:ascii="仿宋_GB2312" w:eastAsia="仿宋_GB2312"/>
      <w:sz w:val="30"/>
    </w:rPr>
  </w:style>
  <w:style w:type="paragraph" w:styleId="660">
    <w:name w:val="envelope return"/>
    <w:basedOn w:val="653"/>
    <w:uiPriority w:val="0"/>
    <w:qFormat/>
    <w:rPr>
      <w:rFonts w:ascii="Arial" w:hAnsi="Arial"/>
    </w:rPr>
  </w:style>
  <w:style w:type="paragraph" w:styleId="661">
    <w:name w:val="Footer"/>
    <w:basedOn w:val="653"/>
    <w:link w:val="667"/>
    <w:uiPriority w:val="0"/>
    <w:qFormat/>
    <w:pPr>
      <w:jc w:val="left"/>
      <w:tabs>
        <w:tab w:val="center" w:pos="4153" w:leader="none"/>
        <w:tab w:val="right" w:pos="8306" w:leader="none"/>
      </w:tabs>
    </w:pPr>
    <w:rPr>
      <w:sz w:val="18"/>
      <w:szCs w:val="18"/>
    </w:rPr>
  </w:style>
  <w:style w:type="paragraph" w:styleId="662">
    <w:name w:val="Header"/>
    <w:basedOn w:val="653"/>
    <w:link w:val="666"/>
    <w:uiPriority w:val="0"/>
    <w:qFormat/>
    <w:pPr>
      <w:jc w:val="center"/>
      <w:tabs>
        <w:tab w:val="center" w:pos="4153" w:leader="none"/>
        <w:tab w:val="right" w:pos="8306" w:leader="none"/>
      </w:tabs>
      <w:pBdr>
        <w:bottom w:val="single" w:color="auto" w:sz="6" w:space="1"/>
      </w:pBdr>
    </w:pPr>
    <w:rPr>
      <w:sz w:val="18"/>
      <w:szCs w:val="18"/>
    </w:rPr>
  </w:style>
  <w:style w:type="paragraph" w:styleId="663">
    <w:name w:val="Normal (Web)"/>
    <w:basedOn w:val="653"/>
    <w:uiPriority w:val="0"/>
    <w:qFormat/>
    <w:pPr>
      <w:jc w:val="left"/>
      <w:spacing w:beforeAutospacing="1" w:afterAutospacing="1"/>
    </w:pPr>
    <w:rPr>
      <w:rFonts w:cs="Times New Roman"/>
      <w:sz w:val="24"/>
    </w:rPr>
  </w:style>
  <w:style w:type="table" w:styleId="664">
    <w:name w:val="Table Grid"/>
    <w:basedOn w:val="6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65" w:customStyle="1">
    <w:name w:val="Default"/>
    <w:basedOn w:val="653"/>
    <w:uiPriority w:val="0"/>
    <w:semiHidden/>
    <w:qFormat/>
    <w:pPr>
      <w:jc w:val="left"/>
    </w:pPr>
    <w:rPr>
      <w:rFonts w:ascii="宋体" w:hAnsi="Calibri" w:cs="宋体"/>
      <w:color w:val="000000"/>
      <w:sz w:val="24"/>
    </w:rPr>
  </w:style>
  <w:style w:type="character" w:styleId="666" w:customStyle="1">
    <w:name w:val="页眉 Char"/>
    <w:basedOn w:val="655"/>
    <w:link w:val="662"/>
    <w:uiPriority w:val="0"/>
    <w:qFormat/>
    <w:rPr>
      <w:rFonts w:asciiTheme="minorHAnsi" w:hAnsiTheme="minorHAnsi" w:eastAsiaTheme="minorEastAsia" w:cstheme="minorBidi"/>
      <w:sz w:val="18"/>
      <w:szCs w:val="18"/>
    </w:rPr>
  </w:style>
  <w:style w:type="character" w:styleId="667" w:customStyle="1">
    <w:name w:val="页脚 Char"/>
    <w:basedOn w:val="655"/>
    <w:link w:val="661"/>
    <w:uiPriority w:val="0"/>
    <w:qFormat/>
    <w:rPr>
      <w:rFonts w:asciiTheme="minorHAnsi" w:hAnsiTheme="minorHAnsi" w:eastAsiaTheme="minorEastAsia" w:cstheme="minorBidi"/>
      <w:sz w:val="18"/>
      <w:szCs w:val="18"/>
    </w:rPr>
  </w:style>
  <w:style w:type="paragraph" w:styleId="668" w:customStyle="1">
    <w:name w:val="普通正文"/>
    <w:basedOn w:val="653"/>
    <w:uiPriority w:val="0"/>
    <w:qFormat/>
    <w:pPr>
      <w:ind w:firstLine="480"/>
      <w:jc w:val="left"/>
      <w:spacing w:before="120" w:after="120" w:line="360" w:lineRule="auto"/>
    </w:pPr>
    <w:rPr>
      <w:rFonts w:ascii="Arial" w:hAnsi="Arial" w:eastAsia="等线" w:cs="Arial"/>
      <w:sz w:val="24"/>
      <w:szCs w:val="24"/>
    </w:rPr>
  </w:style>
  <w:style w:type="paragraph" w:styleId="669" w:customStyle="1">
    <w:name w:val="正文首行缩进 21"/>
    <w:basedOn w:val="670"/>
    <w:uiPriority w:val="0"/>
    <w:qFormat/>
    <w:pPr>
      <w:ind w:firstLine="420"/>
    </w:pPr>
  </w:style>
  <w:style w:type="paragraph" w:styleId="670" w:customStyle="1">
    <w:name w:val="正文文本缩进1"/>
    <w:basedOn w:val="653"/>
    <w:uiPriority w:val="0"/>
    <w:qFormat/>
    <w:pPr>
      <w:ind w:left="420"/>
      <w:spacing w:after="120"/>
    </w:pPr>
  </w:style>
  <w:style w:type="paragraph" w:styleId="671" w:customStyle="1">
    <w:name w:val="正文首行缩进1"/>
    <w:basedOn w:val="658"/>
    <w:uiPriority w:val="0"/>
    <w:qFormat/>
    <w:pPr>
      <w:ind w:firstLine="200"/>
      <w:spacing w:line="360" w:lineRule="auto"/>
    </w:pPr>
    <w:rPr>
      <w:rFonts w:ascii="仿宋_GB2312" w:hAnsi="仿宋_GB2312" w:eastAsia="仿宋_GB2312"/>
      <w:sz w:val="30"/>
      <w:szCs w:val="30"/>
    </w:rPr>
  </w:style>
  <w:style w:type="paragraph" w:styleId="672" w:customStyle="1">
    <w:name w:val="小节标题"/>
    <w:basedOn w:val="653"/>
    <w:next w:val="653"/>
    <w:uiPriority w:val="0"/>
    <w:qFormat/>
    <w:pPr>
      <w:spacing w:before="175" w:after="102" w:line="351" w:lineRule="atLeast"/>
      <w:widowControl/>
    </w:pPr>
    <w:rPr>
      <w:rFonts w:eastAsia="黑体"/>
      <w:color w:val="000000"/>
    </w:rPr>
  </w:style>
  <w:style w:type="paragraph" w:styleId="673" w:customStyle="1">
    <w:name w:val="正文1"/>
    <w:next w:val="653"/>
    <w:uiPriority w:val="0"/>
    <w:qFormat/>
    <w:pPr>
      <w:jc w:val="both"/>
    </w:pPr>
    <w:rPr>
      <w:rFonts w:ascii="Times New Roman" w:hAnsi="Times New Roman" w:eastAsia="宋体" w:cs="Times New Roman"/>
      <w:sz w:val="21"/>
      <w:szCs w:val="21"/>
      <w:lang w:val="en-US" w:eastAsia="zh-CN" w:bidi="ar-SA"/>
    </w:rPr>
  </w:style>
  <w:style w:type="paragraph" w:styleId="674" w:customStyle="1">
    <w:name w:val="Table Text"/>
    <w:basedOn w:val="653"/>
    <w:uiPriority w:val="0"/>
    <w:semiHidden/>
    <w:qFormat/>
    <w:rPr>
      <w:rFonts w:ascii="宋体" w:hAnsi="宋体" w:eastAsia="宋体" w:cs="宋体"/>
      <w:sz w:val="24"/>
      <w:szCs w:val="24"/>
      <w:lang w:val="en-US" w:eastAsia="en-US" w:bidi="ar-SA"/>
    </w:rPr>
  </w:style>
  <w:style w:type="table" w:styleId="675" w:customStyle="1">
    <w:name w:val="Table Normal"/>
    <w:uiPriority w:val="0"/>
    <w:semiHidden/>
    <w:unhideWhenUsed/>
    <w:qFormat/>
    <w:tblPr>
      <w:tblCellMar>
        <w:left w:w="0" w:type="dxa"/>
        <w:top w:w="0" w:type="dxa"/>
        <w:right w:w="0" w:type="dxa"/>
        <w:bottom w:w="0" w:type="dxa"/>
      </w:tblCellMar>
    </w:tblPr>
  </w:style>
  <w:style w:type="numbering" w:styleId="114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8c5b5e26-1660-43dc-8afc-66cd7eed5b70</errorID>
      <errorWord>-</errorWord>
      <group>L1_Format</group>
      <groupName>格式问题</groupName>
      <ability>L2_HalfPunc</ability>
      <abilityName>全半角检查</abilityName>
      <candidateList>
        <item>－</item>
      </candidateList>
      <explain>文本全半角错误。</explain>
      <paraID>32A21B87</paraID>
      <start>14</start>
      <end>15</end>
      <status>ignored</status>
      <modifiedWord/>
      <trackRevisions>false</trackRevisions>
    </reviewItem>
    <reviewItem>
      <errorID>9004017c-7940-4857-be60-938d9a8ec975</errorID>
      <errorWord>-</errorWord>
      <group>L1_Format</group>
      <groupName>格式问题</groupName>
      <ability>L2_HalfPunc</ability>
      <abilityName>全半角检查</abilityName>
      <candidateList>
        <item>－</item>
      </candidateList>
      <explain>文本全半角错误。</explain>
      <paraID>32A21B87</paraID>
      <start>15</start>
      <end>16</end>
      <status>ignored</status>
      <modifiedWord/>
      <trackRevisions>false</trackRevisions>
    </reviewItem>
    <reviewItem>
      <errorID>54ca6bc1-b13e-4853-9d0c-39009b25fb6f</errorID>
      <errorWord>“.</errorWord>
      <group>L1_Punc</group>
      <groupName>标点问题</groupName>
      <ability>L2_Punc</ability>
      <abilityName>标点符号检查</abilityName>
      <candidateList>
        <item>“</item>
      </candidateList>
      <explain/>
      <paraID>32A21B87</paraID>
      <start>57</start>
      <end>59</end>
      <status>ignored</status>
      <modifiedWord/>
      <trackRevisions>false</trackRevisions>
    </reviewItem>
    <reviewItem>
      <errorID>014259d7-5fa6-4ee1-8522-2b2a8295a96f</errorID>
      <errorWord>“.</errorWord>
      <group>L1_Punc</group>
      <groupName>标点问题</groupName>
      <ability>L2_Punc</ability>
      <abilityName>标点符号检查</abilityName>
      <candidateList>
        <item>“</item>
      </candidateList>
      <explain/>
      <paraID>32A21B87</paraID>
      <start>72</start>
      <end>74</end>
      <status>ignored</status>
      <modifiedWord/>
      <trackRevisions>false</trackRevisions>
    </reviewItem>
    <reviewItem>
      <errorID>532fc6c4-4938-48f6-bc91-e69ea7b0f01d</errorID>
      <errorWord>-</errorWord>
      <group>L1_Format</group>
      <groupName>格式问题</groupName>
      <ability>L2_HalfPunc</ability>
      <abilityName>全半角检查</abilityName>
      <candidateList>
        <item>－</item>
      </candidateList>
      <explain>文本全半角错误。</explain>
      <paraID>32A21B87</paraID>
      <start>95</start>
      <end>96</end>
      <status>ignored</status>
      <modifiedWord/>
      <trackRevisions>false</trackRevisions>
    </reviewItem>
    <reviewItem>
      <errorID>92481ce0-efeb-4e8c-a73a-9a669ed05801</errorID>
      <errorWord>-</errorWord>
      <group>L1_Format</group>
      <groupName>格式问题</groupName>
      <ability>L2_HalfPunc</ability>
      <abilityName>全半角检查</abilityName>
      <candidateList>
        <item>－</item>
      </candidateList>
      <explain>文本全半角错误。</explain>
      <paraID>32A21B87</paraID>
      <start>96</start>
      <end>97</end>
      <status>ignored</status>
      <modifiedWord/>
      <trackRevisions>false</trackRevisions>
    </reviewItem>
    <reviewItem>
      <errorID>c91c167d-d7b3-4bcc-afbb-f124d59c0941</errorID>
      <errorWord>-</errorWord>
      <group>L1_Format</group>
      <groupName>格式问题</groupName>
      <ability>L2_HalfPunc</ability>
      <abilityName>全半角检查</abilityName>
      <candidateList>
        <item>－</item>
      </candidateList>
      <explain>文本全半角错误。</explain>
      <paraID>32A21B87</paraID>
      <start>103</start>
      <end>104</end>
      <status>ignored</status>
      <modifiedWord/>
      <trackRevisions>false</trackRevisions>
    </reviewItem>
    <reviewItem>
      <errorID>95c0af18-dd82-4555-a25a-5a0ffb60c439</errorID>
      <errorWord>-</errorWord>
      <group>L1_Format</group>
      <groupName>格式问题</groupName>
      <ability>L2_HalfPunc</ability>
      <abilityName>全半角检查</abilityName>
      <candidateList>
        <item>－</item>
      </candidateList>
      <explain>文本全半角错误。</explain>
      <paraID>32A21B87</paraID>
      <start>104</start>
      <end>105</end>
      <status>ignored</status>
      <modifiedWord/>
      <trackRevisions>false</trackRevisions>
    </reviewItem>
    <reviewItem>
      <errorID>29067f43-bec9-4abf-bb11-01e470945267</errorID>
      <errorWord>-</errorWord>
      <group>L1_Format</group>
      <groupName>格式问题</groupName>
      <ability>L2_HalfPunc</ability>
      <abilityName>全半角检查</abilityName>
      <candidateList>
        <item>－</item>
      </candidateList>
      <explain>文本全半角错误。</explain>
      <paraID>32A21B87</paraID>
      <start>175</start>
      <end>176</end>
      <status>ignored</status>
      <modifiedWord/>
      <trackRevisions>false</trackRevisions>
    </reviewItem>
    <reviewItem>
      <errorID>c17a1899-a76b-43f3-b329-212b01eaa002</errorID>
      <errorWord>-</errorWord>
      <group>L1_Format</group>
      <groupName>格式问题</groupName>
      <ability>L2_HalfPunc</ability>
      <abilityName>全半角检查</abilityName>
      <candidateList>
        <item>－</item>
      </candidateList>
      <explain>文本全半角错误。</explain>
      <paraID>26A03879</paraID>
      <start>31</start>
      <end>32</end>
      <status>ignored</status>
      <modifiedWord/>
      <trackRevisions>false</trackRevisions>
    </reviewItem>
    <reviewItem>
      <errorID>1b63ebb4-6567-4920-8c5c-6941a1817b28</errorID>
      <errorWord>“.</errorWord>
      <group>L1_Punc</group>
      <groupName>标点问题</groupName>
      <ability>L2_Punc</ability>
      <abilityName>标点符号检查</abilityName>
      <candidateList>
        <item>“</item>
      </candidateList>
      <explain/>
      <paraID>5B5DA349</paraID>
      <start>13</start>
      <end>15</end>
      <status>ignored</status>
      <modifiedWord/>
      <trackRevisions>false</trackRevisions>
    </reviewItem>
    <reviewItem>
      <errorID>87d01c7e-b61f-487f-b457-44f62e4086ab</errorID>
      <errorWord>&lt;</errorWord>
      <group>L1_Format</group>
      <groupName>格式问题</groupName>
      <ability>L2_HalfPunc</ability>
      <abilityName>全半角检查</abilityName>
      <candidateList>
        <item>〈</item>
      </candidateList>
      <explain>文本全半角错误。</explain>
      <paraID>56593D64</paraID>
      <start>37</start>
      <end>38</end>
      <status>ignored</status>
      <modifiedWord/>
      <trackRevisions>false</trackRevisions>
    </reviewItem>
    <reviewItem>
      <errorID>9d4e7226-7c2e-428a-b379-15398f3000c7</errorID>
      <errorWord>&lt;</errorWord>
      <group>L1_Format</group>
      <groupName>格式问题</groupName>
      <ability>L2_HalfPunc</ability>
      <abilityName>全半角检查</abilityName>
      <candidateList>
        <item>〈</item>
      </candidateList>
      <explain>文本全半角错误。</explain>
      <paraID>1FF1541A</paraID>
      <start>37</start>
      <end>38</end>
      <status>ignored</status>
      <modifiedWord/>
      <trackRevisions>false</trackRevisions>
    </reviewItem>
    <reviewItem>
      <errorID>0cf0b565-d673-41b4-9293-43cd690dceaf</errorID>
      <errorWord>&lt;</errorWord>
      <group>L1_Format</group>
      <groupName>格式问题</groupName>
      <ability>L2_HalfPunc</ability>
      <abilityName>全半角检查</abilityName>
      <candidateList>
        <item>〈</item>
      </candidateList>
      <explain>文本全半角错误。</explain>
      <paraID>4DAB9A50</paraID>
      <start>26</start>
      <end>27</end>
      <status>ignored</status>
      <modifiedWord/>
      <trackRevisions>false</trackRevisions>
    </reviewItem>
    <reviewItem>
      <errorID>c63e2204-3ed5-4734-af5b-7d5682b4b0cf</errorID>
      <errorWord>&lt;</errorWord>
      <group>L1_Format</group>
      <groupName>格式问题</groupName>
      <ability>L2_HalfPunc</ability>
      <abilityName>全半角检查</abilityName>
      <candidateList>
        <item>〈</item>
      </candidateList>
      <explain>文本全半角错误。</explain>
      <paraID>7831DEFD</paraID>
      <start>22</start>
      <end>23</end>
      <status>ignored</status>
      <modifiedWord/>
      <trackRevisions>false</trackRevisions>
    </reviewItem>
    <reviewItem>
      <errorID>85d7511f-b5f3-4efc-8c99-23ce97f8607c</errorID>
      <errorWord>个人</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 92E074D</paraID>
      <start>44</start>
      <end>45</end>
      <status>modified</status>
      <modifiedWord>人</modifiedWord>
      <trackRevisions>false</trackRevisions>
    </reviewItem>
    <reviewItem>
      <errorID>e13aeb9f-157c-4249-aea0-653474136461</errorID>
      <errorWord>较</errorWord>
      <group>L1_Word</group>
      <groupName>字词问题</groupName>
      <ability>L2_Typo</ability>
      <abilityName>字词错误</abilityName>
      <candidateList>
        <item>较为</item>
      </candidateList>
      <explain/>
      <paraID>6678E3D3</paraID>
      <start>26</start>
      <end>28</end>
      <status>modified</status>
      <modifiedWord>较为</modifiedWord>
      <trackRevisions>false</trackRevisions>
    </reviewItem>
    <reviewItem>
      <errorID>b3fee60c-76e2-4b77-8714-da8541c34fe2</errorID>
      <errorWord>工做</errorWord>
      <group>L1_Word</group>
      <groupName>字词问题</groupName>
      <ability>L2_Typo</ability>
      <abilityName>字词错误</abilityName>
      <candidateList>
        <item>工作</item>
      </candidateList>
      <explain>存在发音相同字词的误用。</explain>
      <paraID>17E8A388</paraID>
      <start>22</start>
      <end>24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7F1E5D4-0142-42B8-A397-5D25C31223B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273</cp:revision>
  <dcterms:created xsi:type="dcterms:W3CDTF">2014-10-29T12:08:00Z</dcterms:created>
  <dcterms:modified xsi:type="dcterms:W3CDTF">2026-05-22T09:03:24Z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2D9600A2618D423BA2CC4B6FE35AACEF_13</vt:lpwstr>
  </property>
  <property fmtid="{D5CDD505-2E9C-101B-9397-08002B2CF9AE}" pid="4" name="KSOTemplateDocerSaveRecord">
    <vt:lpwstr>eyJoZGlkIjoiYjA5ZGM2ZWEzZTFmMTNmZjQ5MzY5NzkxNDYyYzFhMTYiLCJ1c2VySWQiOiIxMzA2NDU5MDMyIn0=</vt:lpwstr>
  </property>
</Properties>
</file>