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B0ECB">
      <w:pPr>
        <w:pStyle w:val="208"/>
        <w:spacing w:before="120" w:beforeAutospacing="0" w:after="120" w:afterAutospacing="0" w:line="360" w:lineRule="auto"/>
        <w:rPr>
          <w:color w:val="auto"/>
          <w:highlight w:val="none"/>
        </w:rPr>
      </w:pPr>
      <w:r>
        <w:rPr>
          <w:color w:val="auto"/>
          <w:highlight w:val="none"/>
        </w:rPr>
        <w:t> </w:t>
      </w:r>
    </w:p>
    <w:p w14:paraId="05A6AE62">
      <w:pPr>
        <w:pStyle w:val="208"/>
        <w:spacing w:before="120" w:beforeAutospacing="0" w:after="120" w:afterAutospacing="0" w:line="360" w:lineRule="auto"/>
        <w:jc w:val="center"/>
        <w:rPr>
          <w:rFonts w:ascii="Arial" w:hAnsi="Arial" w:cs="Arial"/>
          <w:b/>
          <w:color w:val="auto"/>
          <w:sz w:val="84"/>
          <w:szCs w:val="84"/>
          <w:highlight w:val="none"/>
        </w:rPr>
      </w:pPr>
    </w:p>
    <w:p w14:paraId="5F634C3E">
      <w:pPr>
        <w:pStyle w:val="208"/>
        <w:spacing w:before="120" w:beforeAutospacing="0" w:after="120" w:afterAutospacing="0" w:line="360" w:lineRule="auto"/>
        <w:jc w:val="center"/>
        <w:rPr>
          <w:color w:val="auto"/>
          <w:highlight w:val="none"/>
        </w:rPr>
      </w:pPr>
      <w:r>
        <w:rPr>
          <w:rFonts w:ascii="Arial" w:hAnsi="Arial" w:cs="Arial"/>
          <w:b/>
          <w:color w:val="auto"/>
          <w:sz w:val="84"/>
          <w:szCs w:val="84"/>
          <w:highlight w:val="none"/>
        </w:rPr>
        <w:t>招 标 文 件</w:t>
      </w:r>
    </w:p>
    <w:p w14:paraId="3CE9CEE3">
      <w:pPr>
        <w:pStyle w:val="208"/>
        <w:spacing w:before="120" w:beforeAutospacing="0" w:after="120" w:afterAutospacing="0" w:line="360" w:lineRule="auto"/>
        <w:jc w:val="center"/>
        <w:rPr>
          <w:rFonts w:ascii="Arial" w:hAnsi="Arial" w:cs="Arial"/>
          <w:b/>
          <w:color w:val="auto"/>
          <w:sz w:val="32"/>
          <w:szCs w:val="32"/>
          <w:highlight w:val="none"/>
        </w:rPr>
      </w:pPr>
    </w:p>
    <w:p w14:paraId="352BA74B">
      <w:pPr>
        <w:pStyle w:val="208"/>
        <w:spacing w:before="120" w:beforeAutospacing="0" w:after="120" w:afterAutospacing="0" w:line="360" w:lineRule="auto"/>
        <w:jc w:val="both"/>
        <w:rPr>
          <w:rFonts w:ascii="Arial" w:hAnsi="Arial" w:cs="Arial"/>
          <w:b/>
          <w:color w:val="auto"/>
          <w:sz w:val="32"/>
          <w:szCs w:val="32"/>
          <w:highlight w:val="none"/>
        </w:rPr>
      </w:pPr>
    </w:p>
    <w:p w14:paraId="21D213CC">
      <w:pPr>
        <w:pStyle w:val="208"/>
        <w:spacing w:before="120" w:beforeAutospacing="0" w:after="120" w:afterAutospacing="0" w:line="360" w:lineRule="auto"/>
        <w:jc w:val="center"/>
        <w:rPr>
          <w:rFonts w:hint="eastAsia" w:ascii="Arial" w:hAnsi="Arial" w:cs="Arial"/>
          <w:b/>
          <w:color w:val="auto"/>
          <w:sz w:val="32"/>
          <w:szCs w:val="32"/>
          <w:highlight w:val="none"/>
        </w:rPr>
      </w:pPr>
      <w:r>
        <w:rPr>
          <w:rFonts w:ascii="Arial" w:hAnsi="Arial" w:cs="Arial"/>
          <w:b/>
          <w:color w:val="auto"/>
          <w:sz w:val="32"/>
          <w:szCs w:val="32"/>
          <w:highlight w:val="none"/>
        </w:rPr>
        <w:t>项目名称：</w:t>
      </w:r>
      <w:r>
        <w:rPr>
          <w:rFonts w:hint="eastAsia" w:ascii="Arial" w:hAnsi="Arial" w:cs="Arial"/>
          <w:b/>
          <w:color w:val="auto"/>
          <w:sz w:val="32"/>
          <w:szCs w:val="32"/>
          <w:highlight w:val="none"/>
        </w:rPr>
        <w:t>盐城市公安局亭湖分局农村地区智慧安防村居</w:t>
      </w:r>
    </w:p>
    <w:p w14:paraId="342AE5B1">
      <w:pPr>
        <w:pStyle w:val="208"/>
        <w:spacing w:before="120" w:beforeAutospacing="0" w:after="120" w:afterAutospacing="0" w:line="360" w:lineRule="auto"/>
        <w:jc w:val="center"/>
        <w:rPr>
          <w:rFonts w:hint="eastAsia" w:ascii="Arial" w:hAnsi="Arial" w:cs="Arial"/>
          <w:b/>
          <w:color w:val="auto"/>
          <w:sz w:val="32"/>
          <w:szCs w:val="32"/>
          <w:highlight w:val="none"/>
        </w:rPr>
      </w:pPr>
      <w:r>
        <w:rPr>
          <w:rFonts w:hint="eastAsia" w:ascii="Arial" w:hAnsi="Arial" w:cs="Arial"/>
          <w:b/>
          <w:color w:val="auto"/>
          <w:sz w:val="32"/>
          <w:szCs w:val="32"/>
          <w:highlight w:val="none"/>
        </w:rPr>
        <w:t>建设(2026年)项目</w:t>
      </w:r>
    </w:p>
    <w:p w14:paraId="09B236A3">
      <w:pPr>
        <w:pStyle w:val="208"/>
        <w:spacing w:before="120" w:beforeAutospacing="0" w:after="120" w:afterAutospacing="0" w:line="360" w:lineRule="auto"/>
        <w:ind w:firstLine="321"/>
        <w:rPr>
          <w:rFonts w:hint="eastAsia" w:ascii="Arial" w:hAnsi="Arial" w:eastAsia="宋体" w:cs="Arial"/>
          <w:b/>
          <w:color w:val="auto"/>
          <w:sz w:val="32"/>
          <w:szCs w:val="32"/>
          <w:highlight w:val="none"/>
          <w:lang w:eastAsia="zh-CN"/>
        </w:rPr>
      </w:pPr>
      <w:r>
        <w:rPr>
          <w:rFonts w:ascii="Arial" w:hAnsi="Arial" w:cs="Arial"/>
          <w:b/>
          <w:color w:val="auto"/>
          <w:sz w:val="32"/>
          <w:szCs w:val="32"/>
          <w:highlight w:val="none"/>
        </w:rPr>
        <w:t>项目编号：</w:t>
      </w:r>
      <w:r>
        <w:rPr>
          <w:rFonts w:hint="eastAsia" w:ascii="Arial" w:hAnsi="Arial" w:cs="Arial"/>
          <w:b/>
          <w:color w:val="auto"/>
          <w:sz w:val="32"/>
          <w:szCs w:val="32"/>
          <w:highlight w:val="none"/>
          <w:lang w:eastAsia="zh-CN"/>
        </w:rPr>
        <w:t>JSZC-320900-XSYG-G2026-0011</w:t>
      </w:r>
    </w:p>
    <w:p w14:paraId="075273E1">
      <w:pPr>
        <w:pStyle w:val="208"/>
        <w:spacing w:beforeAutospacing="0" w:afterAutospacing="0" w:line="360" w:lineRule="auto"/>
        <w:rPr>
          <w:rFonts w:hint="eastAsia" w:eastAsia="宋体"/>
          <w:color w:val="auto"/>
          <w:highlight w:val="none"/>
          <w:lang w:val="en-US" w:eastAsia="zh-CN"/>
        </w:rPr>
      </w:pPr>
      <w:r>
        <w:rPr>
          <w:color w:val="auto"/>
          <w:highlight w:val="none"/>
        </w:rPr>
        <w:t> </w:t>
      </w:r>
      <w:r>
        <w:rPr>
          <w:rFonts w:hint="eastAsia"/>
          <w:color w:val="auto"/>
          <w:highlight w:val="none"/>
          <w:lang w:val="en-US" w:eastAsia="zh-CN"/>
        </w:rPr>
        <w:t xml:space="preserve"> </w:t>
      </w:r>
    </w:p>
    <w:p w14:paraId="535678FB">
      <w:pPr>
        <w:pStyle w:val="208"/>
        <w:spacing w:beforeAutospacing="0" w:afterAutospacing="0" w:line="360" w:lineRule="auto"/>
        <w:rPr>
          <w:color w:val="auto"/>
          <w:highlight w:val="none"/>
        </w:rPr>
      </w:pPr>
      <w:r>
        <w:rPr>
          <w:color w:val="auto"/>
          <w:highlight w:val="none"/>
        </w:rPr>
        <w:t> </w:t>
      </w:r>
    </w:p>
    <w:p w14:paraId="4986C34C">
      <w:pPr>
        <w:pStyle w:val="208"/>
        <w:spacing w:beforeAutospacing="0" w:afterAutospacing="0" w:line="360" w:lineRule="auto"/>
        <w:rPr>
          <w:color w:val="auto"/>
          <w:highlight w:val="none"/>
        </w:rPr>
      </w:pPr>
      <w:r>
        <w:rPr>
          <w:color w:val="auto"/>
          <w:highlight w:val="none"/>
        </w:rPr>
        <w:t> </w:t>
      </w:r>
    </w:p>
    <w:p w14:paraId="1A43DA00">
      <w:pPr>
        <w:pStyle w:val="208"/>
        <w:spacing w:beforeAutospacing="0" w:afterAutospacing="0" w:line="360" w:lineRule="auto"/>
        <w:rPr>
          <w:color w:val="auto"/>
          <w:highlight w:val="none"/>
        </w:rPr>
      </w:pPr>
      <w:r>
        <w:rPr>
          <w:color w:val="auto"/>
          <w:highlight w:val="none"/>
        </w:rPr>
        <w:t> </w:t>
      </w:r>
    </w:p>
    <w:p w14:paraId="1496A503">
      <w:pPr>
        <w:pStyle w:val="208"/>
        <w:spacing w:beforeAutospacing="0" w:afterAutospacing="0" w:line="360" w:lineRule="auto"/>
        <w:rPr>
          <w:color w:val="auto"/>
          <w:highlight w:val="none"/>
        </w:rPr>
      </w:pPr>
      <w:r>
        <w:rPr>
          <w:color w:val="auto"/>
          <w:highlight w:val="none"/>
        </w:rPr>
        <w:t> </w:t>
      </w:r>
    </w:p>
    <w:p w14:paraId="5CA618A3">
      <w:pPr>
        <w:pStyle w:val="208"/>
        <w:spacing w:beforeAutospacing="0" w:afterAutospacing="0" w:line="360" w:lineRule="auto"/>
        <w:rPr>
          <w:color w:val="auto"/>
          <w:highlight w:val="none"/>
        </w:rPr>
      </w:pPr>
      <w:r>
        <w:rPr>
          <w:color w:val="auto"/>
          <w:highlight w:val="none"/>
        </w:rPr>
        <w:t> </w:t>
      </w:r>
    </w:p>
    <w:p w14:paraId="3B6BC141">
      <w:pPr>
        <w:pStyle w:val="208"/>
        <w:spacing w:before="120" w:beforeAutospacing="0" w:after="120" w:afterAutospacing="0" w:line="360" w:lineRule="auto"/>
        <w:jc w:val="center"/>
        <w:rPr>
          <w:rFonts w:hint="eastAsia" w:ascii="Arial" w:hAnsi="Arial" w:eastAsia="宋体" w:cs="Arial"/>
          <w:b/>
          <w:color w:val="auto"/>
          <w:sz w:val="32"/>
          <w:szCs w:val="32"/>
          <w:highlight w:val="none"/>
          <w:lang w:eastAsia="zh-CN"/>
        </w:rPr>
      </w:pPr>
      <w:r>
        <w:rPr>
          <w:rFonts w:hint="eastAsia" w:ascii="Arial" w:hAnsi="Arial" w:cs="Arial"/>
          <w:b/>
          <w:color w:val="auto"/>
          <w:sz w:val="32"/>
          <w:szCs w:val="32"/>
          <w:highlight w:val="none"/>
          <w:lang w:eastAsia="zh-CN"/>
        </w:rPr>
        <w:t>盐城市公安局亭湖分局</w:t>
      </w:r>
    </w:p>
    <w:p w14:paraId="5A9A54DE">
      <w:pPr>
        <w:pStyle w:val="208"/>
        <w:spacing w:before="120" w:beforeAutospacing="0" w:after="120" w:afterAutospacing="0" w:line="360" w:lineRule="auto"/>
        <w:jc w:val="center"/>
        <w:rPr>
          <w:rFonts w:hint="eastAsia" w:ascii="Arial" w:hAnsi="Arial" w:eastAsia="宋体" w:cs="Arial"/>
          <w:b/>
          <w:color w:val="auto"/>
          <w:sz w:val="32"/>
          <w:szCs w:val="32"/>
          <w:highlight w:val="none"/>
          <w:lang w:eastAsia="zh-CN"/>
        </w:rPr>
      </w:pPr>
      <w:r>
        <w:rPr>
          <w:rFonts w:hint="eastAsia" w:ascii="Arial" w:hAnsi="Arial" w:cs="Arial"/>
          <w:b/>
          <w:color w:val="auto"/>
          <w:sz w:val="32"/>
          <w:szCs w:val="32"/>
          <w:highlight w:val="none"/>
          <w:lang w:eastAsia="zh-CN"/>
        </w:rPr>
        <w:t>盐城市携手阳光集中采购代理有限公司</w:t>
      </w:r>
    </w:p>
    <w:p w14:paraId="4B1D4E34">
      <w:pPr>
        <w:pStyle w:val="208"/>
        <w:spacing w:before="120" w:beforeAutospacing="0" w:after="120" w:afterAutospacing="0" w:line="360" w:lineRule="auto"/>
        <w:jc w:val="center"/>
        <w:rPr>
          <w:color w:val="auto"/>
          <w:highlight w:val="none"/>
        </w:rPr>
      </w:pPr>
      <w:r>
        <w:rPr>
          <w:rFonts w:hint="eastAsia" w:ascii="Arial" w:hAnsi="Arial" w:cs="Arial"/>
          <w:b/>
          <w:color w:val="auto"/>
          <w:sz w:val="32"/>
          <w:szCs w:val="32"/>
          <w:highlight w:val="none"/>
        </w:rPr>
        <w:t>202</w:t>
      </w:r>
      <w:r>
        <w:rPr>
          <w:rFonts w:hint="eastAsia" w:ascii="Arial" w:hAnsi="Arial" w:cs="Arial"/>
          <w:b/>
          <w:color w:val="auto"/>
          <w:sz w:val="32"/>
          <w:szCs w:val="32"/>
          <w:highlight w:val="none"/>
          <w:lang w:val="en-US" w:eastAsia="zh-CN"/>
        </w:rPr>
        <w:t>6</w:t>
      </w:r>
      <w:r>
        <w:rPr>
          <w:rFonts w:ascii="Arial" w:hAnsi="Arial" w:cs="Arial"/>
          <w:b/>
          <w:color w:val="auto"/>
          <w:sz w:val="32"/>
          <w:szCs w:val="32"/>
          <w:highlight w:val="none"/>
        </w:rPr>
        <w:t>年</w:t>
      </w:r>
      <w:r>
        <w:rPr>
          <w:rFonts w:hint="eastAsia" w:ascii="Arial" w:hAnsi="Arial" w:cs="Arial"/>
          <w:b/>
          <w:color w:val="auto"/>
          <w:sz w:val="32"/>
          <w:szCs w:val="32"/>
          <w:highlight w:val="none"/>
          <w:lang w:val="en-US" w:eastAsia="zh-CN"/>
        </w:rPr>
        <w:t>8</w:t>
      </w:r>
      <w:r>
        <w:rPr>
          <w:rFonts w:ascii="Arial" w:hAnsi="Arial" w:cs="Arial"/>
          <w:b/>
          <w:color w:val="auto"/>
          <w:sz w:val="32"/>
          <w:szCs w:val="32"/>
          <w:highlight w:val="none"/>
        </w:rPr>
        <w:t>月</w:t>
      </w:r>
    </w:p>
    <w:p w14:paraId="3DBF6E6E">
      <w:pPr>
        <w:pStyle w:val="208"/>
        <w:spacing w:before="120" w:beforeAutospacing="0" w:after="120" w:afterAutospacing="0" w:line="360" w:lineRule="auto"/>
        <w:rPr>
          <w:rFonts w:hint="eastAsia" w:eastAsia="宋体"/>
          <w:color w:val="auto"/>
          <w:highlight w:val="none"/>
          <w:lang w:val="en-US" w:eastAsia="zh-CN"/>
        </w:rPr>
      </w:pPr>
      <w:r>
        <w:rPr>
          <w:rFonts w:ascii="Arial" w:hAnsi="Arial" w:cs="Arial"/>
          <w:color w:val="auto"/>
          <w:highlight w:val="none"/>
        </w:rPr>
        <w:t>                       </w:t>
      </w:r>
    </w:p>
    <w:p w14:paraId="1E264EB9">
      <w:pPr>
        <w:pStyle w:val="208"/>
        <w:spacing w:beforeAutospacing="0" w:afterAutospacing="0" w:line="480" w:lineRule="auto"/>
        <w:jc w:val="center"/>
        <w:rPr>
          <w:rFonts w:ascii="Times New Roman" w:hAnsi="Times New Roman"/>
          <w:color w:val="auto"/>
          <w:sz w:val="21"/>
          <w:szCs w:val="21"/>
          <w:highlight w:val="none"/>
        </w:rPr>
      </w:pPr>
      <w:r>
        <w:rPr>
          <w:rFonts w:ascii="Times New Roman" w:hAnsi="Times New Roman"/>
          <w:color w:val="auto"/>
          <w:sz w:val="21"/>
          <w:szCs w:val="21"/>
          <w:highlight w:val="none"/>
        </w:rPr>
        <w:br w:type="page"/>
      </w:r>
      <w:r>
        <w:rPr>
          <w:rFonts w:ascii="Times New Roman" w:hAnsi="Times New Roman"/>
          <w:color w:val="auto"/>
          <w:sz w:val="21"/>
          <w:szCs w:val="21"/>
          <w:highlight w:val="none"/>
        </w:rPr>
        <w:t> </w:t>
      </w:r>
      <w:bookmarkStart w:id="0" w:name="_Toc523127445"/>
      <w:bookmarkStart w:id="1" w:name="_Toc16938516"/>
      <w:bookmarkStart w:id="2" w:name="_Toc513029200"/>
      <w:bookmarkStart w:id="3" w:name="_Toc20823272"/>
      <w:bookmarkStart w:id="4" w:name="_Toc120614210"/>
      <w:bookmarkStart w:id="5" w:name="_Toc479757206"/>
    </w:p>
    <w:p w14:paraId="5B68CFB8">
      <w:pPr>
        <w:pStyle w:val="208"/>
        <w:spacing w:beforeAutospacing="0" w:afterAutospacing="0" w:line="480" w:lineRule="auto"/>
        <w:jc w:val="center"/>
        <w:rPr>
          <w:rFonts w:ascii="Times New Roman" w:hAnsi="Times New Roman"/>
          <w:color w:val="auto"/>
          <w:sz w:val="21"/>
          <w:szCs w:val="21"/>
          <w:highlight w:val="none"/>
        </w:rPr>
      </w:pPr>
    </w:p>
    <w:p w14:paraId="3F4A5276">
      <w:pPr>
        <w:pStyle w:val="208"/>
        <w:spacing w:beforeAutospacing="0" w:afterAutospacing="0" w:line="480" w:lineRule="auto"/>
        <w:jc w:val="center"/>
        <w:rPr>
          <w:color w:val="auto"/>
          <w:highlight w:val="none"/>
        </w:rPr>
      </w:pPr>
      <w:r>
        <w:rPr>
          <w:rFonts w:ascii="黑体" w:hAnsi="宋体" w:eastAsia="黑体" w:cs="黑体"/>
          <w:b/>
          <w:color w:val="auto"/>
          <w:sz w:val="44"/>
          <w:szCs w:val="44"/>
          <w:highlight w:val="none"/>
        </w:rPr>
        <w:t>总  目  录</w:t>
      </w:r>
      <w:bookmarkEnd w:id="0"/>
      <w:bookmarkEnd w:id="1"/>
      <w:bookmarkEnd w:id="2"/>
      <w:bookmarkEnd w:id="3"/>
      <w:bookmarkEnd w:id="4"/>
      <w:bookmarkEnd w:id="5"/>
    </w:p>
    <w:p w14:paraId="1C05A5E0">
      <w:pPr>
        <w:pStyle w:val="208"/>
        <w:spacing w:beforeAutospacing="0" w:afterAutospacing="0" w:line="480" w:lineRule="auto"/>
        <w:jc w:val="both"/>
        <w:rPr>
          <w:color w:val="auto"/>
          <w:highlight w:val="none"/>
        </w:rPr>
      </w:pPr>
      <w:r>
        <w:rPr>
          <w:color w:val="auto"/>
          <w:highlight w:val="none"/>
        </w:rPr>
        <w:t> </w:t>
      </w:r>
    </w:p>
    <w:p w14:paraId="1F6C6FF9">
      <w:pPr>
        <w:pStyle w:val="208"/>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 xml:space="preserve">招标公告……………………………………3 </w:t>
      </w:r>
    </w:p>
    <w:p w14:paraId="2484F86C">
      <w:pPr>
        <w:pStyle w:val="208"/>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 xml:space="preserve">投标人须知…………………………………6  </w:t>
      </w:r>
    </w:p>
    <w:p w14:paraId="161F0902">
      <w:pPr>
        <w:pStyle w:val="208"/>
        <w:tabs>
          <w:tab w:val="left" w:pos="1441"/>
        </w:tabs>
        <w:spacing w:beforeAutospacing="0" w:afterAutospacing="0" w:line="480" w:lineRule="auto"/>
        <w:ind w:left="2160" w:hanging="1440"/>
        <w:jc w:val="both"/>
        <w:rPr>
          <w:rFonts w:eastAsia="黑体"/>
          <w:color w:val="auto"/>
          <w:highlight w:val="none"/>
        </w:rPr>
      </w:pPr>
      <w:r>
        <w:rPr>
          <w:rFonts w:hint="eastAsia" w:ascii="黑体" w:hAnsi="宋体" w:eastAsia="黑体" w:cs="黑体"/>
          <w:color w:val="auto"/>
          <w:sz w:val="36"/>
          <w:szCs w:val="36"/>
          <w:highlight w:val="none"/>
        </w:rPr>
        <w:t>合同条款……………………………………19</w:t>
      </w:r>
    </w:p>
    <w:p w14:paraId="76FA41D8">
      <w:pPr>
        <w:pStyle w:val="208"/>
        <w:tabs>
          <w:tab w:val="left" w:pos="1441"/>
        </w:tabs>
        <w:spacing w:beforeAutospacing="0" w:afterAutospacing="0" w:line="480" w:lineRule="auto"/>
        <w:ind w:left="2160" w:hanging="1440"/>
        <w:jc w:val="both"/>
        <w:rPr>
          <w:rFonts w:hint="eastAsia" w:eastAsia="黑体"/>
          <w:color w:val="auto"/>
          <w:highlight w:val="none"/>
        </w:rPr>
      </w:pPr>
      <w:r>
        <w:rPr>
          <w:rFonts w:hint="eastAsia" w:ascii="黑体" w:hAnsi="宋体" w:eastAsia="黑体" w:cs="黑体"/>
          <w:color w:val="auto"/>
          <w:sz w:val="36"/>
          <w:szCs w:val="36"/>
          <w:highlight w:val="none"/>
        </w:rPr>
        <w:t>采购需求……………………………………</w:t>
      </w:r>
      <w:r>
        <w:rPr>
          <w:rFonts w:hint="eastAsia" w:ascii="黑体" w:hAnsi="宋体" w:eastAsia="黑体" w:cs="黑体"/>
          <w:color w:val="auto"/>
          <w:sz w:val="36"/>
          <w:szCs w:val="36"/>
          <w:highlight w:val="none"/>
          <w:lang w:val="en-US" w:eastAsia="zh-CN"/>
        </w:rPr>
        <w:t>33</w:t>
      </w:r>
    </w:p>
    <w:p w14:paraId="64E8D582">
      <w:pPr>
        <w:pStyle w:val="208"/>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评标方法与评标标准………………………</w:t>
      </w:r>
      <w:r>
        <w:rPr>
          <w:rFonts w:hint="eastAsia" w:ascii="黑体" w:hAnsi="宋体" w:eastAsia="黑体" w:cs="黑体"/>
          <w:color w:val="auto"/>
          <w:sz w:val="36"/>
          <w:szCs w:val="36"/>
          <w:highlight w:val="none"/>
          <w:lang w:val="en-US" w:eastAsia="zh-CN"/>
        </w:rPr>
        <w:t>155</w:t>
      </w:r>
    </w:p>
    <w:p w14:paraId="56A1EDEE">
      <w:pPr>
        <w:pStyle w:val="208"/>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投标文件格式………………………………</w:t>
      </w:r>
      <w:r>
        <w:rPr>
          <w:rFonts w:hint="eastAsia" w:ascii="黑体" w:hAnsi="宋体" w:eastAsia="黑体" w:cs="黑体"/>
          <w:color w:val="auto"/>
          <w:sz w:val="36"/>
          <w:szCs w:val="36"/>
          <w:highlight w:val="none"/>
          <w:lang w:val="en-US" w:eastAsia="zh-CN"/>
        </w:rPr>
        <w:t>158</w:t>
      </w:r>
    </w:p>
    <w:p w14:paraId="60A770E4">
      <w:pPr>
        <w:pStyle w:val="208"/>
        <w:spacing w:beforeAutospacing="0" w:afterAutospacing="0"/>
        <w:jc w:val="both"/>
        <w:rPr>
          <w:color w:val="auto"/>
          <w:highlight w:val="none"/>
        </w:rPr>
      </w:pPr>
      <w:r>
        <w:rPr>
          <w:color w:val="auto"/>
          <w:highlight w:val="none"/>
        </w:rPr>
        <w:t> </w:t>
      </w:r>
    </w:p>
    <w:p w14:paraId="1CA0748C">
      <w:pPr>
        <w:pStyle w:val="208"/>
        <w:spacing w:beforeAutospacing="0" w:afterAutospacing="0"/>
        <w:jc w:val="both"/>
        <w:rPr>
          <w:color w:val="auto"/>
          <w:highlight w:val="none"/>
        </w:rPr>
      </w:pPr>
      <w:r>
        <w:rPr>
          <w:color w:val="auto"/>
          <w:highlight w:val="none"/>
        </w:rPr>
        <w:t> </w:t>
      </w:r>
    </w:p>
    <w:p w14:paraId="7C7F7012">
      <w:pPr>
        <w:pStyle w:val="208"/>
        <w:spacing w:beforeAutospacing="0" w:afterAutospacing="0"/>
        <w:jc w:val="both"/>
        <w:rPr>
          <w:color w:val="auto"/>
          <w:highlight w:val="none"/>
        </w:rPr>
      </w:pPr>
      <w:r>
        <w:rPr>
          <w:color w:val="auto"/>
          <w:highlight w:val="none"/>
        </w:rPr>
        <w:t> </w:t>
      </w:r>
    </w:p>
    <w:p w14:paraId="5E64F793">
      <w:pPr>
        <w:pStyle w:val="208"/>
        <w:spacing w:beforeAutospacing="0" w:afterAutospacing="0"/>
        <w:jc w:val="both"/>
        <w:rPr>
          <w:color w:val="auto"/>
          <w:highlight w:val="none"/>
        </w:rPr>
      </w:pPr>
      <w:r>
        <w:rPr>
          <w:color w:val="auto"/>
          <w:highlight w:val="none"/>
        </w:rPr>
        <w:t> </w:t>
      </w:r>
    </w:p>
    <w:p w14:paraId="7DFCA462">
      <w:pPr>
        <w:pStyle w:val="208"/>
        <w:spacing w:beforeAutospacing="0" w:afterAutospacing="0"/>
        <w:jc w:val="both"/>
        <w:rPr>
          <w:color w:val="auto"/>
          <w:highlight w:val="none"/>
        </w:rPr>
      </w:pPr>
      <w:r>
        <w:rPr>
          <w:color w:val="auto"/>
          <w:highlight w:val="none"/>
        </w:rPr>
        <w:t> </w:t>
      </w:r>
    </w:p>
    <w:p w14:paraId="1BE3EEE2">
      <w:pPr>
        <w:pStyle w:val="208"/>
        <w:spacing w:beforeAutospacing="0" w:afterAutospacing="0"/>
        <w:jc w:val="both"/>
        <w:rPr>
          <w:color w:val="auto"/>
          <w:highlight w:val="none"/>
        </w:rPr>
      </w:pPr>
      <w:r>
        <w:rPr>
          <w:color w:val="auto"/>
          <w:highlight w:val="none"/>
        </w:rPr>
        <w:t> </w:t>
      </w:r>
    </w:p>
    <w:p w14:paraId="1B4A3417">
      <w:pPr>
        <w:pStyle w:val="208"/>
        <w:spacing w:beforeAutospacing="0" w:afterAutospacing="0"/>
        <w:jc w:val="both"/>
        <w:rPr>
          <w:color w:val="auto"/>
          <w:highlight w:val="none"/>
        </w:rPr>
      </w:pPr>
      <w:r>
        <w:rPr>
          <w:color w:val="auto"/>
          <w:highlight w:val="none"/>
        </w:rPr>
        <w:t> </w:t>
      </w:r>
    </w:p>
    <w:p w14:paraId="66EBB08D">
      <w:pPr>
        <w:pStyle w:val="208"/>
        <w:spacing w:beforeAutospacing="0" w:afterAutospacing="0"/>
        <w:jc w:val="both"/>
        <w:rPr>
          <w:color w:val="auto"/>
          <w:highlight w:val="none"/>
        </w:rPr>
      </w:pPr>
      <w:r>
        <w:rPr>
          <w:color w:val="auto"/>
          <w:highlight w:val="none"/>
        </w:rPr>
        <w:t> </w:t>
      </w:r>
    </w:p>
    <w:p w14:paraId="4EDBA37A">
      <w:pPr>
        <w:pStyle w:val="208"/>
        <w:spacing w:beforeAutospacing="0" w:afterAutospacing="0"/>
        <w:jc w:val="both"/>
        <w:rPr>
          <w:color w:val="auto"/>
          <w:highlight w:val="none"/>
        </w:rPr>
      </w:pPr>
      <w:r>
        <w:rPr>
          <w:color w:val="auto"/>
          <w:highlight w:val="none"/>
        </w:rPr>
        <w:t> </w:t>
      </w:r>
    </w:p>
    <w:p w14:paraId="2FC0DDD8">
      <w:pPr>
        <w:pStyle w:val="208"/>
        <w:spacing w:beforeAutospacing="0" w:afterAutospacing="0"/>
        <w:jc w:val="both"/>
        <w:rPr>
          <w:color w:val="auto"/>
          <w:highlight w:val="none"/>
        </w:rPr>
      </w:pPr>
      <w:r>
        <w:rPr>
          <w:color w:val="auto"/>
          <w:highlight w:val="none"/>
        </w:rPr>
        <w:t> </w:t>
      </w:r>
    </w:p>
    <w:p w14:paraId="7351E9C6">
      <w:pPr>
        <w:pStyle w:val="208"/>
        <w:spacing w:beforeAutospacing="0" w:afterAutospacing="0"/>
        <w:jc w:val="both"/>
        <w:rPr>
          <w:color w:val="auto"/>
          <w:highlight w:val="none"/>
        </w:rPr>
      </w:pPr>
      <w:r>
        <w:rPr>
          <w:color w:val="auto"/>
          <w:highlight w:val="none"/>
        </w:rPr>
        <w:t> </w:t>
      </w:r>
    </w:p>
    <w:p w14:paraId="75175CC6">
      <w:pPr>
        <w:pStyle w:val="208"/>
        <w:spacing w:beforeAutospacing="0" w:afterAutospacing="0"/>
        <w:jc w:val="both"/>
        <w:rPr>
          <w:color w:val="auto"/>
          <w:highlight w:val="none"/>
        </w:rPr>
      </w:pPr>
      <w:r>
        <w:rPr>
          <w:color w:val="auto"/>
          <w:highlight w:val="none"/>
        </w:rPr>
        <w:t> </w:t>
      </w:r>
    </w:p>
    <w:p w14:paraId="0F8B43B9">
      <w:pPr>
        <w:pStyle w:val="208"/>
        <w:spacing w:beforeAutospacing="0" w:afterAutospacing="0"/>
        <w:jc w:val="both"/>
        <w:rPr>
          <w:color w:val="auto"/>
          <w:highlight w:val="none"/>
        </w:rPr>
      </w:pPr>
      <w:r>
        <w:rPr>
          <w:color w:val="auto"/>
          <w:highlight w:val="none"/>
        </w:rPr>
        <w:t> </w:t>
      </w:r>
    </w:p>
    <w:p w14:paraId="5658C0AD">
      <w:pPr>
        <w:pStyle w:val="208"/>
        <w:spacing w:beforeAutospacing="0" w:afterAutospacing="0"/>
        <w:jc w:val="both"/>
        <w:rPr>
          <w:color w:val="auto"/>
          <w:highlight w:val="none"/>
        </w:rPr>
      </w:pPr>
      <w:r>
        <w:rPr>
          <w:color w:val="auto"/>
          <w:highlight w:val="none"/>
        </w:rPr>
        <w:t> </w:t>
      </w:r>
    </w:p>
    <w:p w14:paraId="13976A42">
      <w:pPr>
        <w:pStyle w:val="208"/>
        <w:spacing w:beforeAutospacing="0" w:afterAutospacing="0"/>
        <w:jc w:val="both"/>
        <w:rPr>
          <w:color w:val="auto"/>
          <w:highlight w:val="none"/>
        </w:rPr>
      </w:pPr>
      <w:r>
        <w:rPr>
          <w:color w:val="auto"/>
          <w:highlight w:val="none"/>
        </w:rPr>
        <w:t> </w:t>
      </w:r>
    </w:p>
    <w:p w14:paraId="37459130">
      <w:pPr>
        <w:pStyle w:val="208"/>
        <w:spacing w:beforeAutospacing="0" w:afterAutospacing="0"/>
        <w:jc w:val="both"/>
        <w:rPr>
          <w:color w:val="auto"/>
          <w:highlight w:val="none"/>
        </w:rPr>
      </w:pPr>
      <w:r>
        <w:rPr>
          <w:color w:val="auto"/>
          <w:highlight w:val="none"/>
        </w:rPr>
        <w:t> </w:t>
      </w:r>
    </w:p>
    <w:p w14:paraId="129455AA">
      <w:pPr>
        <w:pStyle w:val="208"/>
        <w:spacing w:beforeAutospacing="0" w:afterAutospacing="0"/>
        <w:jc w:val="both"/>
        <w:rPr>
          <w:color w:val="auto"/>
          <w:highlight w:val="none"/>
        </w:rPr>
      </w:pPr>
      <w:r>
        <w:rPr>
          <w:color w:val="auto"/>
          <w:highlight w:val="none"/>
        </w:rPr>
        <w:t> </w:t>
      </w:r>
    </w:p>
    <w:p w14:paraId="15C947ED">
      <w:pPr>
        <w:pStyle w:val="208"/>
        <w:spacing w:beforeAutospacing="0" w:afterAutospacing="0"/>
        <w:jc w:val="both"/>
        <w:rPr>
          <w:color w:val="auto"/>
          <w:highlight w:val="none"/>
        </w:rPr>
      </w:pPr>
      <w:r>
        <w:rPr>
          <w:color w:val="auto"/>
          <w:highlight w:val="none"/>
        </w:rPr>
        <w:t> </w:t>
      </w:r>
    </w:p>
    <w:p w14:paraId="3EA497B3">
      <w:pPr>
        <w:pStyle w:val="208"/>
        <w:spacing w:beforeAutospacing="0" w:afterAutospacing="0"/>
        <w:jc w:val="both"/>
        <w:rPr>
          <w:color w:val="auto"/>
          <w:highlight w:val="none"/>
        </w:rPr>
      </w:pPr>
      <w:r>
        <w:rPr>
          <w:color w:val="auto"/>
          <w:highlight w:val="none"/>
        </w:rPr>
        <w:t> </w:t>
      </w:r>
    </w:p>
    <w:p w14:paraId="652C82C1">
      <w:pPr>
        <w:pStyle w:val="208"/>
        <w:spacing w:beforeAutospacing="0" w:afterAutospacing="0"/>
        <w:jc w:val="center"/>
        <w:rPr>
          <w:rFonts w:eastAsia="黑体"/>
          <w:color w:val="auto"/>
          <w:highlight w:val="none"/>
        </w:rPr>
      </w:pPr>
      <w:r>
        <w:rPr>
          <w:color w:val="auto"/>
          <w:highlight w:val="none"/>
        </w:rPr>
        <w:t> </w:t>
      </w:r>
      <w:bookmarkStart w:id="6" w:name="_Toc28359086"/>
      <w:r>
        <w:rPr>
          <w:rFonts w:hint="eastAsia" w:ascii="黑体" w:hAnsi="宋体" w:eastAsia="黑体" w:cs="黑体"/>
          <w:color w:val="auto"/>
          <w:sz w:val="44"/>
          <w:szCs w:val="44"/>
          <w:highlight w:val="none"/>
        </w:rPr>
        <w:t>第一章 招标公告</w:t>
      </w:r>
    </w:p>
    <w:p w14:paraId="403DCEED">
      <w:pPr>
        <w:pStyle w:val="208"/>
        <w:pBdr>
          <w:top w:val="single" w:color="000000" w:sz="4" w:space="0"/>
          <w:left w:val="single" w:color="000000" w:sz="4" w:space="0"/>
          <w:bottom w:val="single" w:color="000000" w:sz="4" w:space="0"/>
          <w:right w:val="single" w:color="000000" w:sz="4" w:space="0"/>
        </w:pBdr>
        <w:spacing w:beforeAutospacing="0" w:afterAutospacing="0" w:line="312" w:lineRule="auto"/>
        <w:ind w:firstLine="482"/>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项目概况</w:t>
      </w:r>
    </w:p>
    <w:p w14:paraId="17FC400F">
      <w:pPr>
        <w:pStyle w:val="208"/>
        <w:pBdr>
          <w:top w:val="single" w:color="000000" w:sz="4" w:space="0"/>
          <w:left w:val="single" w:color="000000" w:sz="4" w:space="0"/>
          <w:bottom w:val="single" w:color="000000" w:sz="4" w:space="0"/>
          <w:right w:val="single" w:color="000000" w:sz="4" w:space="0"/>
        </w:pBdr>
        <w:spacing w:beforeAutospacing="0" w:afterAutospacing="0" w:line="312" w:lineRule="auto"/>
        <w:ind w:firstLine="482"/>
        <w:jc w:val="both"/>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盐城市公安局亭湖分局农村地区智慧安防村居建设(2026年)项目</w:t>
      </w:r>
      <w:r>
        <w:rPr>
          <w:rFonts w:hint="eastAsia" w:ascii="宋体" w:hAnsi="宋体" w:cs="宋体"/>
          <w:color w:val="auto"/>
          <w:sz w:val="21"/>
          <w:szCs w:val="21"/>
          <w:highlight w:val="none"/>
        </w:rPr>
        <w:t>招标项目的潜在投标人可在</w:t>
      </w:r>
      <w:r>
        <w:rPr>
          <w:rFonts w:hint="eastAsia" w:ascii="宋体" w:hAnsi="宋体" w:cs="宋体"/>
          <w:color w:val="auto"/>
          <w:sz w:val="21"/>
          <w:szCs w:val="21"/>
          <w:highlight w:val="none"/>
          <w:shd w:val="clear" w:color="auto" w:fill="FFFFFF"/>
        </w:rPr>
        <w:t>“苏采云”系统内免费下载（投标人必须在苏采云系统中获取采购文件，方能参与政府采购项目）</w:t>
      </w:r>
      <w:r>
        <w:rPr>
          <w:rFonts w:hint="eastAsia" w:ascii="宋体" w:hAnsi="宋体" w:cs="宋体"/>
          <w:color w:val="auto"/>
          <w:sz w:val="21"/>
          <w:szCs w:val="21"/>
          <w:highlight w:val="none"/>
        </w:rPr>
        <w:t>，并于</w:t>
      </w:r>
      <w:r>
        <w:rPr>
          <w:rFonts w:hint="eastAsia" w:ascii="宋体" w:hAnsi="宋体" w:cs="宋体"/>
          <w:color w:val="auto"/>
          <w:sz w:val="21"/>
          <w:szCs w:val="21"/>
          <w:highlight w:val="none"/>
          <w:u w:val="single"/>
        </w:rPr>
        <w:t>202</w:t>
      </w:r>
      <w:r>
        <w:rPr>
          <w:rFonts w:hint="eastAsia" w:ascii="宋体" w:hAnsi="宋体" w:cs="宋体"/>
          <w:color w:val="auto"/>
          <w:sz w:val="21"/>
          <w:szCs w:val="21"/>
          <w:highlight w:val="none"/>
          <w:u w:val="single"/>
          <w:lang w:val="en-US" w:eastAsia="zh-CN"/>
        </w:rPr>
        <w:t>6</w:t>
      </w:r>
      <w:r>
        <w:rPr>
          <w:rFonts w:hint="eastAsia" w:ascii="宋体" w:hAnsi="宋体" w:cs="宋体"/>
          <w:color w:val="auto"/>
          <w:sz w:val="21"/>
          <w:szCs w:val="21"/>
          <w:highlight w:val="none"/>
          <w:u w:val="single"/>
        </w:rPr>
        <w:t>年</w:t>
      </w:r>
      <w:r>
        <w:rPr>
          <w:rFonts w:hint="eastAsia" w:ascii="宋体" w:hAnsi="宋体" w:cs="宋体"/>
          <w:color w:val="auto"/>
          <w:sz w:val="21"/>
          <w:szCs w:val="21"/>
          <w:highlight w:val="none"/>
          <w:u w:val="single"/>
          <w:lang w:val="en-US" w:eastAsia="zh-CN"/>
        </w:rPr>
        <w:t>9</w:t>
      </w:r>
      <w:r>
        <w:rPr>
          <w:rFonts w:hint="eastAsia" w:ascii="宋体" w:hAnsi="宋体" w:cs="宋体"/>
          <w:color w:val="auto"/>
          <w:sz w:val="21"/>
          <w:szCs w:val="21"/>
          <w:highlight w:val="none"/>
          <w:u w:val="single"/>
        </w:rPr>
        <w:t>月</w:t>
      </w:r>
      <w:r>
        <w:rPr>
          <w:rFonts w:hint="eastAsia" w:ascii="宋体" w:hAnsi="宋体" w:cs="宋体"/>
          <w:color w:val="auto"/>
          <w:sz w:val="21"/>
          <w:szCs w:val="21"/>
          <w:highlight w:val="none"/>
          <w:u w:val="single"/>
          <w:lang w:val="en-US" w:eastAsia="zh-CN"/>
        </w:rPr>
        <w:t>10</w:t>
      </w:r>
      <w:r>
        <w:rPr>
          <w:rFonts w:hint="eastAsia" w:ascii="宋体" w:hAnsi="宋体" w:cs="宋体"/>
          <w:color w:val="auto"/>
          <w:sz w:val="21"/>
          <w:szCs w:val="21"/>
          <w:highlight w:val="none"/>
          <w:u w:val="single"/>
        </w:rPr>
        <w:t>日</w:t>
      </w:r>
      <w:r>
        <w:rPr>
          <w:rFonts w:hint="eastAsia" w:ascii="宋体" w:hAnsi="宋体" w:cs="宋体"/>
          <w:color w:val="auto"/>
          <w:sz w:val="21"/>
          <w:szCs w:val="21"/>
          <w:highlight w:val="none"/>
          <w:u w:val="single"/>
          <w:lang w:val="en-US" w:eastAsia="zh-CN"/>
        </w:rPr>
        <w:t>09</w:t>
      </w:r>
      <w:r>
        <w:rPr>
          <w:rFonts w:hint="eastAsia" w:ascii="宋体" w:hAnsi="宋体" w:cs="宋体"/>
          <w:color w:val="auto"/>
          <w:sz w:val="21"/>
          <w:szCs w:val="21"/>
          <w:highlight w:val="none"/>
          <w:u w:val="single"/>
        </w:rPr>
        <w:t>点</w:t>
      </w:r>
      <w:r>
        <w:rPr>
          <w:rFonts w:hint="eastAsia" w:ascii="宋体" w:hAnsi="宋体" w:cs="宋体"/>
          <w:color w:val="auto"/>
          <w:sz w:val="21"/>
          <w:szCs w:val="21"/>
          <w:highlight w:val="none"/>
          <w:u w:val="single"/>
          <w:lang w:val="en-US" w:eastAsia="zh-CN"/>
        </w:rPr>
        <w:t>00</w:t>
      </w:r>
      <w:r>
        <w:rPr>
          <w:rFonts w:hint="eastAsia" w:ascii="宋体" w:hAnsi="宋体" w:cs="宋体"/>
          <w:color w:val="auto"/>
          <w:sz w:val="21"/>
          <w:szCs w:val="21"/>
          <w:highlight w:val="none"/>
          <w:u w:val="single"/>
        </w:rPr>
        <w:t>分（</w:t>
      </w:r>
      <w:r>
        <w:rPr>
          <w:rFonts w:hint="eastAsia" w:ascii="宋体" w:hAnsi="宋体" w:cs="宋体"/>
          <w:color w:val="auto"/>
          <w:sz w:val="21"/>
          <w:szCs w:val="21"/>
          <w:highlight w:val="none"/>
        </w:rPr>
        <w:t>北京时间）前递交投标文件。</w:t>
      </w:r>
    </w:p>
    <w:p w14:paraId="647DCF2C">
      <w:pPr>
        <w:pStyle w:val="208"/>
        <w:spacing w:beforeAutospacing="0" w:afterAutospacing="0" w:line="360" w:lineRule="auto"/>
        <w:ind w:firstLine="422"/>
        <w:jc w:val="both"/>
        <w:rPr>
          <w:rFonts w:hint="eastAsia" w:ascii="宋体" w:hAnsi="宋体" w:cs="宋体"/>
          <w:color w:val="auto"/>
          <w:sz w:val="21"/>
          <w:szCs w:val="21"/>
          <w:highlight w:val="none"/>
        </w:rPr>
      </w:pPr>
      <w:bookmarkStart w:id="7" w:name="_Toc38985263"/>
      <w:bookmarkStart w:id="8" w:name="_Toc35393790"/>
      <w:bookmarkStart w:id="9" w:name="_Toc35393621"/>
      <w:bookmarkStart w:id="10" w:name="_Toc28359002"/>
      <w:bookmarkStart w:id="11" w:name="_Toc28359079"/>
      <w:bookmarkStart w:id="12" w:name="_Hlk24379207"/>
      <w:r>
        <w:rPr>
          <w:rFonts w:hint="eastAsia" w:ascii="宋体" w:hAnsi="宋体" w:cs="宋体"/>
          <w:b/>
          <w:color w:val="auto"/>
          <w:sz w:val="21"/>
          <w:szCs w:val="21"/>
          <w:highlight w:val="none"/>
        </w:rPr>
        <w:t>一、项目基本情况</w:t>
      </w:r>
      <w:bookmarkEnd w:id="7"/>
      <w:bookmarkEnd w:id="8"/>
      <w:bookmarkEnd w:id="9"/>
      <w:bookmarkEnd w:id="10"/>
      <w:bookmarkEnd w:id="11"/>
      <w:bookmarkEnd w:id="12"/>
    </w:p>
    <w:p w14:paraId="3A1018CA">
      <w:pPr>
        <w:pStyle w:val="208"/>
        <w:spacing w:beforeAutospacing="0" w:afterAutospacing="0" w:line="360" w:lineRule="auto"/>
        <w:ind w:firstLine="420"/>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shd w:val="clear" w:color="auto" w:fill="FFFFFF"/>
        </w:rPr>
        <w:t>1.项目编号：</w:t>
      </w:r>
      <w:r>
        <w:rPr>
          <w:rFonts w:hint="eastAsia" w:ascii="宋体" w:hAnsi="宋体" w:cs="宋体"/>
          <w:color w:val="auto"/>
          <w:sz w:val="21"/>
          <w:szCs w:val="21"/>
          <w:highlight w:val="none"/>
          <w:lang w:eastAsia="zh-CN"/>
        </w:rPr>
        <w:t>JSZC-320900-XSYG-G2026-0011</w:t>
      </w:r>
    </w:p>
    <w:p w14:paraId="3410CFB6">
      <w:pPr>
        <w:pStyle w:val="208"/>
        <w:spacing w:beforeAutospacing="0" w:afterAutospacing="0" w:line="360" w:lineRule="auto"/>
        <w:ind w:firstLine="420"/>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2.项目名称：</w:t>
      </w:r>
      <w:r>
        <w:rPr>
          <w:rFonts w:hint="eastAsia" w:ascii="宋体" w:hAnsi="宋体" w:cs="宋体"/>
          <w:color w:val="auto"/>
          <w:sz w:val="21"/>
          <w:szCs w:val="21"/>
          <w:highlight w:val="none"/>
          <w:lang w:eastAsia="zh-CN"/>
        </w:rPr>
        <w:t>盐城市公安局亭湖分局农村地区</w:t>
      </w:r>
      <w:bookmarkStart w:id="13" w:name="OLE_LINK3"/>
      <w:r>
        <w:rPr>
          <w:rFonts w:hint="eastAsia" w:ascii="宋体" w:hAnsi="宋体" w:cs="宋体"/>
          <w:color w:val="auto"/>
          <w:sz w:val="21"/>
          <w:szCs w:val="21"/>
          <w:highlight w:val="none"/>
          <w:lang w:eastAsia="zh-CN"/>
        </w:rPr>
        <w:t>智慧安防村居建设</w:t>
      </w:r>
      <w:bookmarkEnd w:id="13"/>
      <w:r>
        <w:rPr>
          <w:rFonts w:hint="eastAsia" w:ascii="宋体" w:hAnsi="宋体" w:cs="宋体"/>
          <w:color w:val="auto"/>
          <w:sz w:val="21"/>
          <w:szCs w:val="21"/>
          <w:highlight w:val="none"/>
          <w:lang w:eastAsia="zh-CN"/>
        </w:rPr>
        <w:t>(2026年)项目</w:t>
      </w:r>
    </w:p>
    <w:p w14:paraId="75DD6779">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3.采购方式：公开招标</w:t>
      </w:r>
    </w:p>
    <w:p w14:paraId="7861C525">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4.预算金额：3000.15万元</w:t>
      </w:r>
    </w:p>
    <w:p w14:paraId="571964EE">
      <w:pPr>
        <w:pStyle w:val="208"/>
        <w:spacing w:beforeAutospacing="0" w:afterAutospacing="0" w:line="360" w:lineRule="auto"/>
        <w:ind w:firstLine="420"/>
        <w:jc w:val="both"/>
        <w:rPr>
          <w:rFonts w:hint="eastAsia" w:ascii="宋体" w:hAnsi="宋体" w:cs="宋体"/>
          <w:color w:val="auto"/>
          <w:sz w:val="21"/>
          <w:szCs w:val="21"/>
          <w:highlight w:val="none"/>
          <w:shd w:val="clear" w:color="FFFFFF" w:fill="D9D9D9"/>
        </w:rPr>
      </w:pPr>
      <w:r>
        <w:rPr>
          <w:rFonts w:hint="eastAsia" w:ascii="宋体" w:hAnsi="宋体" w:cs="宋体"/>
          <w:color w:val="auto"/>
          <w:sz w:val="21"/>
          <w:szCs w:val="21"/>
          <w:highlight w:val="none"/>
          <w:shd w:val="clear" w:color="auto" w:fill="FFFFFF"/>
        </w:rPr>
        <w:t>5.最高限价：</w:t>
      </w:r>
      <w:bookmarkStart w:id="14" w:name="OLE_LINK30"/>
      <w:r>
        <w:rPr>
          <w:rFonts w:hint="eastAsia" w:ascii="宋体" w:hAnsi="宋体" w:cs="宋体"/>
          <w:color w:val="auto"/>
          <w:sz w:val="21"/>
          <w:szCs w:val="21"/>
          <w:highlight w:val="none"/>
        </w:rPr>
        <w:t>3000.15万元</w:t>
      </w:r>
      <w:bookmarkEnd w:id="14"/>
    </w:p>
    <w:p w14:paraId="0D99EA8C">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6.采购需求（简介）：</w:t>
      </w:r>
      <w:bookmarkStart w:id="15" w:name="OLE_LINK1"/>
      <w:r>
        <w:rPr>
          <w:rFonts w:hint="eastAsia" w:ascii="宋体" w:hAnsi="宋体" w:cs="宋体"/>
          <w:color w:val="auto"/>
          <w:sz w:val="21"/>
          <w:szCs w:val="21"/>
          <w:highlight w:val="none"/>
        </w:rPr>
        <w:t>详见附件本招标文件</w:t>
      </w:r>
      <w:bookmarkEnd w:id="15"/>
    </w:p>
    <w:p w14:paraId="7DE0AC3F">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7.合同履行期限：</w:t>
      </w:r>
      <w:bookmarkStart w:id="16" w:name="OLE_LINK31"/>
      <w:r>
        <w:rPr>
          <w:rFonts w:hint="eastAsia" w:ascii="宋体" w:hAnsi="宋体" w:cs="宋体"/>
          <w:color w:val="auto"/>
          <w:sz w:val="21"/>
          <w:szCs w:val="21"/>
          <w:highlight w:val="none"/>
          <w:lang w:val="en-US" w:eastAsia="zh-CN"/>
        </w:rPr>
        <w:t>同</w:t>
      </w:r>
      <w:r>
        <w:rPr>
          <w:rFonts w:hint="eastAsia" w:ascii="宋体" w:hAnsi="宋体" w:cs="宋体"/>
          <w:color w:val="auto"/>
          <w:sz w:val="21"/>
          <w:szCs w:val="21"/>
          <w:highlight w:val="none"/>
        </w:rPr>
        <w:t>免费质保期</w:t>
      </w:r>
      <w:bookmarkEnd w:id="16"/>
    </w:p>
    <w:p w14:paraId="1A3FC2BB">
      <w:pPr>
        <w:pStyle w:val="208"/>
        <w:spacing w:beforeAutospacing="0" w:afterAutospacing="0" w:line="360" w:lineRule="auto"/>
        <w:ind w:firstLine="420"/>
        <w:jc w:val="both"/>
        <w:rPr>
          <w:rFonts w:hint="eastAsia" w:ascii="宋体" w:hAnsi="宋体" w:cs="宋体"/>
          <w:color w:val="auto"/>
          <w:sz w:val="21"/>
          <w:szCs w:val="21"/>
          <w:highlight w:val="none"/>
          <w:shd w:val="clear" w:color="auto" w:fill="FFFF00"/>
        </w:rPr>
      </w:pPr>
      <w:r>
        <w:rPr>
          <w:rFonts w:hint="eastAsia" w:ascii="宋体" w:hAnsi="宋体" w:cs="宋体"/>
          <w:color w:val="auto"/>
          <w:sz w:val="21"/>
          <w:szCs w:val="21"/>
          <w:highlight w:val="none"/>
          <w:shd w:val="clear" w:color="auto" w:fill="FFFFFF"/>
        </w:rPr>
        <w:t>8.本项目（</w:t>
      </w:r>
      <w:r>
        <w:rPr>
          <w:rFonts w:hint="eastAsia" w:ascii="宋体" w:hAnsi="宋体" w:cs="宋体"/>
          <w:i/>
          <w:iCs/>
          <w:color w:val="auto"/>
          <w:sz w:val="21"/>
          <w:szCs w:val="21"/>
          <w:highlight w:val="none"/>
          <w:shd w:val="clear" w:color="auto" w:fill="FFFFFF"/>
        </w:rPr>
        <w:t>是/否</w:t>
      </w:r>
      <w:r>
        <w:rPr>
          <w:rFonts w:hint="eastAsia" w:ascii="宋体" w:hAnsi="宋体" w:cs="宋体"/>
          <w:color w:val="auto"/>
          <w:sz w:val="21"/>
          <w:szCs w:val="21"/>
          <w:highlight w:val="none"/>
          <w:shd w:val="clear" w:color="auto" w:fill="FFFFFF"/>
        </w:rPr>
        <w:t>）接受联合体</w:t>
      </w:r>
      <w:r>
        <w:rPr>
          <w:rFonts w:hint="eastAsia" w:ascii="宋体" w:hAnsi="宋体" w:cs="宋体"/>
          <w:color w:val="auto"/>
          <w:sz w:val="21"/>
          <w:szCs w:val="21"/>
          <w:highlight w:val="none"/>
        </w:rPr>
        <w:t>参与招标：否</w:t>
      </w:r>
    </w:p>
    <w:p w14:paraId="775E460D">
      <w:pPr>
        <w:pStyle w:val="208"/>
        <w:spacing w:beforeAutospacing="0" w:afterAutospacing="0" w:line="360" w:lineRule="auto"/>
        <w:ind w:firstLine="422"/>
        <w:jc w:val="both"/>
        <w:rPr>
          <w:rFonts w:hint="eastAsia" w:ascii="宋体" w:hAnsi="宋体" w:cs="宋体"/>
          <w:color w:val="auto"/>
          <w:sz w:val="21"/>
          <w:szCs w:val="21"/>
          <w:highlight w:val="none"/>
        </w:rPr>
      </w:pPr>
      <w:bookmarkStart w:id="17" w:name="_Toc35393791"/>
      <w:bookmarkStart w:id="18" w:name="_Toc38985264"/>
      <w:bookmarkStart w:id="19" w:name="_Toc28359080"/>
      <w:bookmarkStart w:id="20" w:name="_Toc35393622"/>
      <w:bookmarkStart w:id="21" w:name="_Toc28359003"/>
      <w:r>
        <w:rPr>
          <w:rFonts w:hint="eastAsia" w:ascii="宋体" w:hAnsi="宋体" w:cs="宋体"/>
          <w:b/>
          <w:color w:val="auto"/>
          <w:sz w:val="21"/>
          <w:szCs w:val="21"/>
          <w:highlight w:val="none"/>
        </w:rPr>
        <w:t>二、申请人的资格要求：</w:t>
      </w:r>
      <w:bookmarkEnd w:id="17"/>
      <w:bookmarkEnd w:id="18"/>
      <w:bookmarkEnd w:id="19"/>
      <w:bookmarkEnd w:id="20"/>
      <w:bookmarkEnd w:id="21"/>
    </w:p>
    <w:p w14:paraId="51D59BE6">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1.满足《中华人民共和国政府采购法》第二十二条规定，并提供下列材料：</w:t>
      </w:r>
    </w:p>
    <w:p w14:paraId="078F345D">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1.1法人或者其他组织的营业执照等证明文件，自然人的身份证明；</w:t>
      </w:r>
    </w:p>
    <w:p w14:paraId="23B1BB6C">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1.2</w:t>
      </w:r>
      <w:r>
        <w:rPr>
          <w:rFonts w:hint="eastAsia" w:ascii="宋体" w:hAnsi="宋体" w:eastAsia="宋体" w:cs="宋体"/>
          <w:color w:val="auto"/>
          <w:sz w:val="21"/>
          <w:szCs w:val="21"/>
          <w:highlight w:val="none"/>
        </w:rPr>
        <w:t>上一年度的财务状况报</w:t>
      </w:r>
      <w:r>
        <w:rPr>
          <w:rFonts w:hint="eastAsia" w:ascii="宋体" w:hAnsi="宋体" w:eastAsia="宋体" w:cs="宋体"/>
          <w:color w:val="auto"/>
          <w:sz w:val="21"/>
          <w:szCs w:val="21"/>
          <w:highlight w:val="none"/>
          <w:lang w:eastAsia="zh-CN"/>
        </w:rPr>
        <w:t>表</w:t>
      </w:r>
      <w:r>
        <w:rPr>
          <w:rFonts w:hint="eastAsia" w:ascii="宋体" w:hAnsi="宋体" w:eastAsia="宋体" w:cs="宋体"/>
          <w:color w:val="auto"/>
          <w:sz w:val="21"/>
          <w:szCs w:val="21"/>
          <w:highlight w:val="none"/>
        </w:rPr>
        <w:t>（成立不满一年无需提供）；</w:t>
      </w:r>
    </w:p>
    <w:p w14:paraId="7C827B38">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1.3具备履行合同所必需的设备和专业技术能力的书面声明；</w:t>
      </w:r>
    </w:p>
    <w:p w14:paraId="1CBE7371">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1.4</w:t>
      </w:r>
      <w:bookmarkStart w:id="22" w:name="OLE_LINK16"/>
      <w:r>
        <w:rPr>
          <w:rFonts w:hint="eastAsia" w:ascii="宋体" w:hAnsi="宋体" w:cs="宋体"/>
          <w:color w:val="auto"/>
          <w:sz w:val="21"/>
          <w:szCs w:val="21"/>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bookmarkEnd w:id="22"/>
      <w:r>
        <w:rPr>
          <w:rFonts w:hint="eastAsia" w:ascii="宋体" w:hAnsi="宋体" w:cs="宋体"/>
          <w:color w:val="auto"/>
          <w:sz w:val="21"/>
          <w:szCs w:val="21"/>
          <w:highlight w:val="none"/>
        </w:rPr>
        <w:t>；</w:t>
      </w:r>
    </w:p>
    <w:p w14:paraId="0C950AF9">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1.5参加政府采购活动前3年内在经营活动中没有重大违法记录的书面声明；</w:t>
      </w:r>
    </w:p>
    <w:p w14:paraId="7F96EFE8">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1.6法律、行政法规规定的其他条件；</w:t>
      </w:r>
    </w:p>
    <w:p w14:paraId="60E3EA31">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2D9C8854">
      <w:pPr>
        <w:pStyle w:val="208"/>
        <w:spacing w:beforeAutospacing="0" w:afterAutospacing="0" w:line="360" w:lineRule="auto"/>
        <w:ind w:firstLine="420"/>
        <w:jc w:val="both"/>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1.8</w:t>
      </w:r>
      <w:bookmarkStart w:id="23" w:name="OLE_LINK17"/>
      <w:r>
        <w:rPr>
          <w:rFonts w:hint="eastAsia" w:ascii="宋体" w:hAnsi="宋体" w:cs="宋体"/>
          <w:color w:val="auto"/>
          <w:sz w:val="21"/>
          <w:szCs w:val="21"/>
          <w:highlight w:val="none"/>
        </w:rPr>
        <w:t>单位负责人为同一人或者存在直接控股、管理关系的不同供应商，不得参加同一合同项下的政府采购活动。</w:t>
      </w:r>
      <w:r>
        <w:rPr>
          <w:rFonts w:hint="eastAsia" w:ascii="宋体" w:hAnsi="宋体" w:cs="宋体"/>
          <w:color w:val="auto"/>
          <w:sz w:val="21"/>
          <w:szCs w:val="21"/>
          <w:highlight w:val="none"/>
          <w:lang w:eastAsia="zh-CN"/>
        </w:rPr>
        <w:t>（自行提供，格式自拟）</w:t>
      </w:r>
    </w:p>
    <w:bookmarkEnd w:id="23"/>
    <w:p w14:paraId="3E96E450">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2.落实政府采购政策需满足的资格要求：无。</w:t>
      </w:r>
    </w:p>
    <w:p w14:paraId="6ED0E7E3">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3.本项目的特定资格要求：</w:t>
      </w:r>
      <w:bookmarkStart w:id="24" w:name="OLE_LINK4"/>
      <w:r>
        <w:rPr>
          <w:rFonts w:hint="eastAsia" w:ascii="宋体" w:hAnsi="宋体" w:cs="宋体"/>
          <w:color w:val="auto"/>
          <w:sz w:val="21"/>
          <w:szCs w:val="21"/>
          <w:highlight w:val="none"/>
        </w:rPr>
        <w:t>投标人必须是在中国境内注册，具有中华人民共和国工业和信息化部颁发的中华人民共和国基础电信业务经营许可证的运营商或其分（支）公司</w:t>
      </w:r>
      <w:bookmarkEnd w:id="24"/>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或获得广播电视部门“关于利用有线广播电视网开展增值业务(通道出租、数</w:t>
      </w:r>
      <w:r>
        <w:rPr>
          <w:rFonts w:hint="eastAsia" w:ascii="宋体" w:hAnsi="宋体" w:cs="宋体"/>
          <w:color w:val="auto"/>
          <w:sz w:val="21"/>
          <w:szCs w:val="21"/>
          <w:highlight w:val="none"/>
          <w:lang w:val="en-US" w:eastAsia="zh-CN"/>
        </w:rPr>
        <w:t>据</w:t>
      </w:r>
      <w:bookmarkStart w:id="244" w:name="_GoBack"/>
      <w:bookmarkEnd w:id="244"/>
      <w:r>
        <w:rPr>
          <w:rFonts w:hint="eastAsia" w:ascii="宋体" w:hAnsi="宋体" w:cs="宋体"/>
          <w:color w:val="auto"/>
          <w:sz w:val="21"/>
          <w:szCs w:val="21"/>
          <w:highlight w:val="none"/>
        </w:rPr>
        <w:t>传送与信息发布)的批复</w:t>
      </w:r>
      <w:r>
        <w:rPr>
          <w:rFonts w:hint="eastAsia" w:ascii="宋体" w:hAnsi="宋体" w:cs="宋体"/>
          <w:color w:val="auto"/>
          <w:sz w:val="21"/>
          <w:szCs w:val="21"/>
          <w:highlight w:val="none"/>
          <w:lang w:val="en-US" w:eastAsia="zh-CN"/>
        </w:rPr>
        <w:t>或许可</w:t>
      </w:r>
      <w:r>
        <w:rPr>
          <w:rFonts w:hint="eastAsia" w:ascii="宋体" w:hAnsi="宋体" w:cs="宋体"/>
          <w:color w:val="auto"/>
          <w:sz w:val="21"/>
          <w:szCs w:val="21"/>
          <w:highlight w:val="none"/>
        </w:rPr>
        <w:t>”的广播电视网络运营商或其分(支)公司。</w:t>
      </w:r>
    </w:p>
    <w:p w14:paraId="07438250">
      <w:pPr>
        <w:pStyle w:val="208"/>
        <w:spacing w:beforeAutospacing="0" w:afterAutospacing="0" w:line="360" w:lineRule="auto"/>
        <w:ind w:firstLine="422"/>
        <w:jc w:val="both"/>
        <w:rPr>
          <w:rFonts w:hint="eastAsia" w:ascii="宋体" w:hAnsi="宋体" w:cs="宋体"/>
          <w:color w:val="auto"/>
          <w:sz w:val="21"/>
          <w:szCs w:val="21"/>
          <w:highlight w:val="none"/>
        </w:rPr>
      </w:pPr>
      <w:r>
        <w:rPr>
          <w:rFonts w:hint="eastAsia" w:ascii="宋体" w:hAnsi="宋体" w:cs="宋体"/>
          <w:b/>
          <w:color w:val="auto"/>
          <w:sz w:val="21"/>
          <w:szCs w:val="21"/>
          <w:highlight w:val="none"/>
        </w:rPr>
        <w:t>三、获取招标文件</w:t>
      </w:r>
    </w:p>
    <w:p w14:paraId="0909DBC7">
      <w:pPr>
        <w:pStyle w:val="208"/>
        <w:spacing w:beforeAutospacing="0" w:afterAutospacing="0" w:line="360" w:lineRule="auto"/>
        <w:ind w:firstLine="420"/>
        <w:jc w:val="both"/>
        <w:rPr>
          <w:rFonts w:hint="eastAsia" w:ascii="宋体" w:hAnsi="宋体" w:cs="宋体"/>
          <w:color w:val="auto"/>
          <w:sz w:val="21"/>
          <w:szCs w:val="21"/>
          <w:highlight w:val="none"/>
        </w:rPr>
      </w:pPr>
      <w:bookmarkStart w:id="25" w:name="_Toc28359082"/>
      <w:bookmarkStart w:id="26" w:name="_Toc28359005"/>
      <w:bookmarkStart w:id="27" w:name="_Toc35393624"/>
      <w:bookmarkStart w:id="28" w:name="_Toc38985266"/>
      <w:bookmarkStart w:id="29" w:name="_Toc35393793"/>
      <w:r>
        <w:rPr>
          <w:rFonts w:hint="eastAsia" w:ascii="宋体" w:hAnsi="宋体" w:cs="宋体"/>
          <w:color w:val="auto"/>
          <w:sz w:val="21"/>
          <w:szCs w:val="21"/>
          <w:highlight w:val="none"/>
        </w:rPr>
        <w:t>1.时间：</w:t>
      </w:r>
      <w:bookmarkEnd w:id="25"/>
      <w:bookmarkEnd w:id="26"/>
      <w:bookmarkEnd w:id="27"/>
      <w:bookmarkEnd w:id="28"/>
      <w:bookmarkEnd w:id="29"/>
      <w:r>
        <w:rPr>
          <w:rFonts w:hint="eastAsia" w:ascii="宋体" w:hAnsi="宋体" w:cs="宋体"/>
          <w:color w:val="auto"/>
          <w:sz w:val="21"/>
          <w:szCs w:val="21"/>
          <w:highlight w:val="none"/>
        </w:rPr>
        <w:t>自招标文件公告发布之日起5个工作日 。</w:t>
      </w:r>
    </w:p>
    <w:p w14:paraId="6A67E792">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2.地点：“苏采云”系统内免费下载（投标人必须在苏采云系统中获取采购文件，方能参与政府采购项目）；</w:t>
      </w:r>
    </w:p>
    <w:p w14:paraId="49992F21">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3.方式：本项目采用网上注册登记方式。</w:t>
      </w:r>
    </w:p>
    <w:p w14:paraId="0204934C">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4.售价：0元</w:t>
      </w:r>
    </w:p>
    <w:p w14:paraId="01080F5E">
      <w:pPr>
        <w:pStyle w:val="208"/>
        <w:spacing w:beforeAutospacing="0" w:afterAutospacing="0" w:line="360" w:lineRule="auto"/>
        <w:ind w:firstLine="422"/>
        <w:jc w:val="both"/>
        <w:rPr>
          <w:rFonts w:hint="eastAsia" w:ascii="宋体" w:hAnsi="宋体" w:cs="宋体"/>
          <w:color w:val="auto"/>
          <w:sz w:val="21"/>
          <w:szCs w:val="21"/>
          <w:highlight w:val="none"/>
        </w:rPr>
      </w:pPr>
      <w:r>
        <w:rPr>
          <w:rFonts w:hint="eastAsia" w:ascii="宋体" w:hAnsi="宋体" w:cs="宋体"/>
          <w:b/>
          <w:color w:val="auto"/>
          <w:sz w:val="21"/>
          <w:szCs w:val="21"/>
          <w:highlight w:val="none"/>
        </w:rPr>
        <w:t>四、提交投标文件截止时间、开标时间和地点</w:t>
      </w:r>
    </w:p>
    <w:p w14:paraId="4AA36821">
      <w:pPr>
        <w:pStyle w:val="208"/>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color w:val="auto"/>
          <w:highlight w:val="none"/>
        </w:rPr>
      </w:pPr>
      <w:r>
        <w:rPr>
          <w:rFonts w:hint="eastAsia" w:ascii="宋体" w:hAnsi="宋体" w:cs="宋体"/>
          <w:color w:val="auto"/>
          <w:sz w:val="21"/>
          <w:szCs w:val="21"/>
          <w:highlight w:val="none"/>
        </w:rPr>
        <w:t>1.时间：</w:t>
      </w:r>
      <w:r>
        <w:rPr>
          <w:rFonts w:hint="eastAsia" w:ascii="宋体" w:hAnsi="宋体" w:cs="宋体"/>
          <w:color w:val="auto"/>
          <w:sz w:val="21"/>
          <w:szCs w:val="21"/>
          <w:highlight w:val="none"/>
          <w:u w:val="single"/>
        </w:rPr>
        <w:t>202</w:t>
      </w:r>
      <w:r>
        <w:rPr>
          <w:rFonts w:hint="eastAsia" w:ascii="宋体" w:hAnsi="宋体" w:cs="宋体"/>
          <w:color w:val="auto"/>
          <w:sz w:val="21"/>
          <w:szCs w:val="21"/>
          <w:highlight w:val="none"/>
          <w:u w:val="single"/>
          <w:lang w:val="en-US" w:eastAsia="zh-CN"/>
        </w:rPr>
        <w:t>6</w:t>
      </w:r>
      <w:r>
        <w:rPr>
          <w:rFonts w:hint="eastAsia" w:ascii="宋体" w:hAnsi="宋体" w:cs="宋体"/>
          <w:color w:val="auto"/>
          <w:sz w:val="21"/>
          <w:szCs w:val="21"/>
          <w:highlight w:val="none"/>
          <w:u w:val="single"/>
        </w:rPr>
        <w:t>年</w:t>
      </w:r>
      <w:r>
        <w:rPr>
          <w:rFonts w:hint="eastAsia" w:ascii="宋体" w:hAnsi="宋体" w:cs="宋体"/>
          <w:color w:val="auto"/>
          <w:sz w:val="21"/>
          <w:szCs w:val="21"/>
          <w:highlight w:val="none"/>
          <w:u w:val="single"/>
          <w:lang w:val="en-US" w:eastAsia="zh-CN"/>
        </w:rPr>
        <w:t>9</w:t>
      </w:r>
      <w:r>
        <w:rPr>
          <w:rFonts w:hint="eastAsia" w:ascii="宋体" w:hAnsi="宋体" w:cs="宋体"/>
          <w:color w:val="auto"/>
          <w:sz w:val="21"/>
          <w:szCs w:val="21"/>
          <w:highlight w:val="none"/>
          <w:u w:val="single"/>
        </w:rPr>
        <w:t>月</w:t>
      </w:r>
      <w:r>
        <w:rPr>
          <w:rFonts w:hint="eastAsia" w:ascii="宋体" w:hAnsi="宋体" w:cs="宋体"/>
          <w:color w:val="auto"/>
          <w:sz w:val="21"/>
          <w:szCs w:val="21"/>
          <w:highlight w:val="none"/>
          <w:u w:val="single"/>
          <w:lang w:val="en-US" w:eastAsia="zh-CN"/>
        </w:rPr>
        <w:t>10</w:t>
      </w:r>
      <w:r>
        <w:rPr>
          <w:rFonts w:hint="eastAsia" w:ascii="宋体" w:hAnsi="宋体" w:cs="宋体"/>
          <w:color w:val="auto"/>
          <w:sz w:val="21"/>
          <w:szCs w:val="21"/>
          <w:highlight w:val="none"/>
          <w:u w:val="single"/>
        </w:rPr>
        <w:t>日</w:t>
      </w:r>
      <w:r>
        <w:rPr>
          <w:rFonts w:hint="eastAsia" w:ascii="宋体" w:hAnsi="宋体" w:cs="宋体"/>
          <w:color w:val="auto"/>
          <w:sz w:val="21"/>
          <w:szCs w:val="21"/>
          <w:highlight w:val="none"/>
          <w:u w:val="single"/>
          <w:lang w:val="en-US" w:eastAsia="zh-CN"/>
        </w:rPr>
        <w:t>09</w:t>
      </w:r>
      <w:r>
        <w:rPr>
          <w:rFonts w:ascii="宋体" w:hAnsi="宋体" w:eastAsia="宋体" w:cs="宋体"/>
          <w:color w:val="auto"/>
          <w:sz w:val="21"/>
          <w:highlight w:val="none"/>
          <w:u w:val="single"/>
        </w:rPr>
        <w:t>点00分</w:t>
      </w:r>
      <w:r>
        <w:rPr>
          <w:rFonts w:ascii="宋体" w:hAnsi="宋体" w:eastAsia="宋体" w:cs="宋体"/>
          <w:color w:val="auto"/>
          <w:sz w:val="21"/>
          <w:highlight w:val="none"/>
        </w:rPr>
        <w:t>（</w:t>
      </w:r>
      <w:r>
        <w:rPr>
          <w:rFonts w:hint="eastAsia" w:ascii="宋体" w:hAnsi="宋体" w:cs="宋体"/>
          <w:color w:val="auto"/>
          <w:sz w:val="21"/>
          <w:szCs w:val="21"/>
          <w:highlight w:val="none"/>
        </w:rPr>
        <w:t>（北京时间）</w:t>
      </w:r>
    </w:p>
    <w:p w14:paraId="6C006988">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2.地点：苏采云“不见面”开标大厅。</w:t>
      </w:r>
    </w:p>
    <w:p w14:paraId="299F84E7">
      <w:pPr>
        <w:pStyle w:val="208"/>
        <w:spacing w:beforeAutospacing="0" w:afterAutospacing="0" w:line="360" w:lineRule="auto"/>
        <w:ind w:firstLine="422"/>
        <w:jc w:val="both"/>
        <w:rPr>
          <w:rFonts w:hint="eastAsia" w:ascii="宋体" w:hAnsi="宋体" w:cs="宋体"/>
          <w:color w:val="auto"/>
          <w:sz w:val="21"/>
          <w:szCs w:val="21"/>
          <w:highlight w:val="none"/>
        </w:rPr>
      </w:pPr>
      <w:bookmarkStart w:id="30" w:name="_Toc28359084"/>
      <w:bookmarkStart w:id="31" w:name="_Toc28359007"/>
      <w:bookmarkStart w:id="32" w:name="_Toc35393625"/>
      <w:bookmarkStart w:id="33" w:name="_Toc38985267"/>
      <w:bookmarkStart w:id="34" w:name="_Toc35393794"/>
      <w:r>
        <w:rPr>
          <w:rFonts w:hint="eastAsia" w:ascii="宋体" w:hAnsi="宋体" w:cs="宋体"/>
          <w:b/>
          <w:color w:val="auto"/>
          <w:sz w:val="21"/>
          <w:szCs w:val="21"/>
          <w:highlight w:val="none"/>
        </w:rPr>
        <w:t>五、公告期限</w:t>
      </w:r>
      <w:bookmarkEnd w:id="30"/>
      <w:bookmarkEnd w:id="31"/>
      <w:bookmarkEnd w:id="32"/>
      <w:bookmarkEnd w:id="33"/>
      <w:bookmarkEnd w:id="34"/>
    </w:p>
    <w:p w14:paraId="13F00346">
      <w:pPr>
        <w:pStyle w:val="208"/>
        <w:spacing w:beforeAutospacing="0" w:afterAutospacing="0" w:line="360" w:lineRule="auto"/>
        <w:ind w:firstLine="420"/>
        <w:jc w:val="both"/>
        <w:rPr>
          <w:rFonts w:hint="eastAsia" w:ascii="宋体" w:hAnsi="宋体" w:cs="宋体"/>
          <w:color w:val="auto"/>
          <w:sz w:val="21"/>
          <w:szCs w:val="21"/>
          <w:highlight w:val="none"/>
          <w:shd w:val="clear" w:color="auto" w:fill="FFFFFF"/>
        </w:rPr>
      </w:pPr>
      <w:bookmarkStart w:id="35" w:name="_Toc35393626"/>
      <w:bookmarkStart w:id="36" w:name="_Toc38985268"/>
      <w:bookmarkStart w:id="37" w:name="_Toc35393795"/>
      <w:r>
        <w:rPr>
          <w:rFonts w:hint="eastAsia" w:ascii="宋体" w:hAnsi="宋体" w:cs="宋体"/>
          <w:color w:val="auto"/>
          <w:sz w:val="21"/>
          <w:szCs w:val="21"/>
          <w:highlight w:val="none"/>
          <w:shd w:val="clear" w:color="auto" w:fill="FFFFFF"/>
        </w:rPr>
        <w:t>自本公告发布之日起5个工作日。</w:t>
      </w:r>
      <w:bookmarkEnd w:id="35"/>
      <w:bookmarkEnd w:id="36"/>
      <w:bookmarkEnd w:id="37"/>
    </w:p>
    <w:p w14:paraId="34AF8BED">
      <w:pPr>
        <w:pStyle w:val="208"/>
        <w:spacing w:beforeAutospacing="0" w:afterAutospacing="0" w:line="360" w:lineRule="auto"/>
        <w:ind w:firstLine="422"/>
        <w:jc w:val="both"/>
        <w:rPr>
          <w:rFonts w:hint="eastAsia" w:ascii="宋体" w:hAnsi="宋体" w:cs="宋体"/>
          <w:color w:val="auto"/>
          <w:sz w:val="21"/>
          <w:szCs w:val="21"/>
          <w:highlight w:val="none"/>
        </w:rPr>
      </w:pPr>
      <w:r>
        <w:rPr>
          <w:rFonts w:hint="eastAsia" w:ascii="宋体" w:hAnsi="宋体" w:cs="宋体"/>
          <w:b/>
          <w:color w:val="auto"/>
          <w:sz w:val="21"/>
          <w:szCs w:val="21"/>
          <w:highlight w:val="none"/>
        </w:rPr>
        <w:t>六、其他补充事宜</w:t>
      </w:r>
    </w:p>
    <w:p w14:paraId="4ED64ABC">
      <w:pPr>
        <w:pStyle w:val="208"/>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color w:val="auto"/>
          <w:sz w:val="21"/>
          <w:szCs w:val="21"/>
          <w:highlight w:val="none"/>
        </w:rPr>
      </w:pPr>
      <w:bookmarkStart w:id="38" w:name="_Toc28359018"/>
      <w:r>
        <w:rPr>
          <w:rFonts w:hint="eastAsia" w:ascii="宋体" w:hAnsi="宋体" w:eastAsia="宋体" w:cs="宋体"/>
          <w:color w:val="auto"/>
          <w:sz w:val="21"/>
          <w:szCs w:val="21"/>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29029360">
      <w:pPr>
        <w:pStyle w:val="208"/>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领取CA和办理电子签章（</w:t>
      </w:r>
      <w:r>
        <w:rPr>
          <w:rFonts w:hint="eastAsia" w:ascii="宋体" w:hAnsi="宋体" w:eastAsia="宋体" w:cs="宋体"/>
          <w:color w:val="auto"/>
          <w:sz w:val="21"/>
          <w:szCs w:val="21"/>
          <w:highlight w:val="none"/>
          <w:lang w:val="en-US" w:eastAsia="zh-CN"/>
        </w:rPr>
        <w:t>请至盐城市府西路1号盐城市公共资源交易中心四楼大厅10号，11号窗口办理，</w:t>
      </w:r>
      <w:r>
        <w:rPr>
          <w:rFonts w:hint="eastAsia" w:ascii="宋体" w:hAnsi="宋体" w:eastAsia="宋体" w:cs="宋体"/>
          <w:color w:val="auto"/>
          <w:sz w:val="21"/>
          <w:szCs w:val="21"/>
          <w:highlight w:val="none"/>
        </w:rPr>
        <w:t>联系电话：15051556883，办理邮箱：yancheng@ideabank.net.cn，</w:t>
      </w:r>
      <w:r>
        <w:rPr>
          <w:rFonts w:hint="eastAsia" w:ascii="宋体" w:hAnsi="宋体" w:eastAsia="宋体" w:cs="宋体"/>
          <w:color w:val="auto"/>
          <w:sz w:val="21"/>
          <w:szCs w:val="21"/>
          <w:highlight w:val="none"/>
          <w:lang w:val="en-US" w:eastAsia="zh-CN"/>
        </w:rPr>
        <w:t>具体系统操作见《苏采云系统供应商操作手册》（以下简称《操作手册》））、进行注册并按《操作手册》要求制作、上传电子投标文件,《苏采云系统供应商操作手册》，手册下载地址：苏采云系统-右侧消息通知栏。</w:t>
      </w:r>
    </w:p>
    <w:p w14:paraId="79C1C1CC">
      <w:pPr>
        <w:pStyle w:val="208"/>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2.潜在供应商访问电子招标响应交易平台的网络地址和方法： </w:t>
      </w:r>
    </w:p>
    <w:p w14:paraId="5A147AE2">
      <w:pPr>
        <w:pStyle w:val="208"/>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p>
    <w:p w14:paraId="5644A40E">
      <w:pPr>
        <w:pStyle w:val="208"/>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2.2潜在投标人访问“苏采云”系统方法：江苏省政府采购网首页-“苏采云”链接。 </w:t>
      </w:r>
    </w:p>
    <w:p w14:paraId="00C1B0FD">
      <w:pPr>
        <w:pStyle w:val="208"/>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2.3采购文件（后缀名为“.kedt”）、供应商操作手册及政府采购客户端工具可通过“苏采云”系统相应链接进行下载。</w:t>
      </w:r>
    </w:p>
    <w:p w14:paraId="316E9292">
      <w:pPr>
        <w:pStyle w:val="208"/>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2.4采购代理机构将数据电文形式的采购文件加载至“苏采云”系统，供潜在供应商下载或者查阅。</w:t>
      </w:r>
    </w:p>
    <w:p w14:paraId="790684AB">
      <w:pPr>
        <w:pStyle w:val="208"/>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i w:val="0"/>
          <w:iCs w:val="0"/>
          <w:caps w:val="0"/>
          <w:color w:val="auto"/>
          <w:spacing w:val="0"/>
          <w:sz w:val="27"/>
          <w:szCs w:val="27"/>
          <w:highlight w:val="none"/>
        </w:rPr>
      </w:pPr>
      <w:r>
        <w:rPr>
          <w:rFonts w:hint="eastAsia" w:ascii="宋体" w:hAnsi="宋体" w:eastAsia="宋体" w:cs="宋体"/>
          <w:color w:val="auto"/>
          <w:sz w:val="21"/>
          <w:szCs w:val="21"/>
          <w:highlight w:val="none"/>
        </w:rPr>
        <w:t>2.5请潜在投标单位提前安装相应的控件（详见《“苏采云”系统供应商操作手册》）并使用谷歌浏览器登录“苏采云”系统参与不见面开评标。</w:t>
      </w:r>
    </w:p>
    <w:p w14:paraId="54201A66">
      <w:pPr>
        <w:pStyle w:val="208"/>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如潜在投标人未按上述要求操作，将自行承担所产生的风险。</w:t>
      </w:r>
    </w:p>
    <w:p w14:paraId="33E3E405">
      <w:pPr>
        <w:pStyle w:val="208"/>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3.有关本次招标的事项若存在变动或修改，敬请及时关注在“中国政府采购网”、“江苏政府采购网”、“盐城市政府采购网”发布的更正公告。</w:t>
      </w:r>
    </w:p>
    <w:p w14:paraId="5B1DA281">
      <w:pPr>
        <w:pStyle w:val="208"/>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4.本次招标不收取投标保证金，不收取质量保证金。</w:t>
      </w:r>
    </w:p>
    <w:p w14:paraId="63347953">
      <w:pPr>
        <w:pStyle w:val="208"/>
        <w:spacing w:beforeAutospacing="0" w:afterAutospacing="0" w:line="360" w:lineRule="auto"/>
        <w:ind w:firstLine="422"/>
        <w:jc w:val="both"/>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七、对本次招标提出询问，请按以下方式联系。</w:t>
      </w:r>
      <w:bookmarkEnd w:id="38"/>
    </w:p>
    <w:p w14:paraId="085B5321">
      <w:pPr>
        <w:pStyle w:val="208"/>
        <w:widowControl/>
        <w:shd w:val="clear" w:color="auto" w:fill="FFFFFF"/>
        <w:spacing w:beforeAutospacing="0" w:afterAutospacing="0" w:line="360" w:lineRule="auto"/>
        <w:ind w:firstLine="560"/>
        <w:jc w:val="both"/>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1.采购人信息</w:t>
      </w:r>
    </w:p>
    <w:p w14:paraId="255828CF">
      <w:pPr>
        <w:pStyle w:val="208"/>
        <w:widowControl/>
        <w:shd w:val="clear" w:color="auto" w:fill="FFFFFF"/>
        <w:spacing w:beforeAutospacing="0" w:afterAutospacing="0" w:line="360" w:lineRule="auto"/>
        <w:ind w:firstLine="560"/>
        <w:jc w:val="both"/>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名 称：盐城市公安局亭湖分局</w:t>
      </w:r>
    </w:p>
    <w:p w14:paraId="4A215E3D">
      <w:pPr>
        <w:pStyle w:val="208"/>
        <w:widowControl/>
        <w:shd w:val="clear" w:color="auto" w:fill="FFFFFF"/>
        <w:spacing w:beforeAutospacing="0" w:afterAutospacing="0" w:line="360" w:lineRule="auto"/>
        <w:ind w:firstLine="560"/>
        <w:jc w:val="both"/>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地 址：盐城市青年东路59号</w:t>
      </w:r>
    </w:p>
    <w:p w14:paraId="515A7C25">
      <w:pPr>
        <w:pStyle w:val="208"/>
        <w:widowControl/>
        <w:shd w:val="clear" w:color="auto" w:fill="FFFFFF"/>
        <w:spacing w:beforeAutospacing="0" w:afterAutospacing="0" w:line="360" w:lineRule="auto"/>
        <w:ind w:firstLine="560"/>
        <w:jc w:val="both"/>
        <w:rPr>
          <w:rFonts w:hint="default" w:ascii="宋体" w:hAnsi="宋体" w:eastAsia="宋体" w:cs="宋体"/>
          <w:color w:val="auto"/>
          <w:sz w:val="21"/>
          <w:szCs w:val="21"/>
          <w:highlight w:val="none"/>
          <w:shd w:val="clear" w:color="auto" w:fill="FFFFFF"/>
          <w:lang w:val="en-US" w:eastAsia="zh-CN"/>
        </w:rPr>
      </w:pPr>
      <w:r>
        <w:rPr>
          <w:rFonts w:hint="eastAsia" w:ascii="宋体" w:hAnsi="宋体" w:cs="宋体"/>
          <w:color w:val="auto"/>
          <w:sz w:val="21"/>
          <w:szCs w:val="21"/>
          <w:highlight w:val="none"/>
          <w:shd w:val="clear" w:color="auto" w:fill="FFFFFF"/>
        </w:rPr>
        <w:t>联系</w:t>
      </w:r>
      <w:r>
        <w:rPr>
          <w:rFonts w:hint="eastAsia" w:ascii="宋体" w:hAnsi="宋体" w:cs="宋体"/>
          <w:color w:val="auto"/>
          <w:sz w:val="21"/>
          <w:szCs w:val="21"/>
          <w:highlight w:val="none"/>
          <w:shd w:val="clear" w:color="auto" w:fill="FFFFFF"/>
          <w:lang w:val="zh-TW"/>
        </w:rPr>
        <w:t>人：</w:t>
      </w:r>
      <w:r>
        <w:rPr>
          <w:rFonts w:hint="eastAsia" w:ascii="宋体" w:hAnsi="宋体" w:cs="宋体"/>
          <w:color w:val="auto"/>
          <w:sz w:val="21"/>
          <w:szCs w:val="21"/>
          <w:highlight w:val="none"/>
          <w:shd w:val="clear" w:color="auto" w:fill="FFFFFF"/>
          <w:lang w:val="en-US" w:eastAsia="zh-CN"/>
        </w:rPr>
        <w:t>沈警官</w:t>
      </w:r>
    </w:p>
    <w:p w14:paraId="766EF9D0">
      <w:pPr>
        <w:pStyle w:val="208"/>
        <w:widowControl/>
        <w:shd w:val="clear" w:color="auto" w:fill="FFFFFF"/>
        <w:spacing w:beforeAutospacing="0" w:afterAutospacing="0" w:line="360" w:lineRule="auto"/>
        <w:ind w:firstLine="560"/>
        <w:jc w:val="both"/>
        <w:rPr>
          <w:rFonts w:hint="default" w:ascii="宋体" w:hAnsi="宋体" w:eastAsia="宋体" w:cs="宋体"/>
          <w:color w:val="auto"/>
          <w:sz w:val="21"/>
          <w:szCs w:val="21"/>
          <w:highlight w:val="none"/>
          <w:shd w:val="clear" w:color="auto" w:fill="FFFFFF"/>
          <w:lang w:val="en-US" w:eastAsia="zh-CN"/>
        </w:rPr>
      </w:pPr>
      <w:r>
        <w:rPr>
          <w:rFonts w:hint="eastAsia" w:ascii="宋体" w:hAnsi="宋体" w:cs="宋体"/>
          <w:color w:val="auto"/>
          <w:sz w:val="21"/>
          <w:szCs w:val="21"/>
          <w:highlight w:val="none"/>
          <w:shd w:val="clear" w:color="auto" w:fill="FFFFFF"/>
          <w:lang w:val="zh-TW"/>
        </w:rPr>
        <w:t>联系方式：</w:t>
      </w:r>
      <w:r>
        <w:rPr>
          <w:rFonts w:hint="eastAsia" w:ascii="宋体" w:hAnsi="宋体" w:cs="宋体"/>
          <w:color w:val="auto"/>
          <w:sz w:val="21"/>
          <w:szCs w:val="21"/>
          <w:highlight w:val="none"/>
          <w:shd w:val="clear" w:color="auto" w:fill="FFFFFF"/>
          <w:lang w:val="en-US" w:eastAsia="zh-CN"/>
        </w:rPr>
        <w:t>0515-688088988</w:t>
      </w:r>
    </w:p>
    <w:p w14:paraId="45925CF2">
      <w:pPr>
        <w:pStyle w:val="208"/>
        <w:widowControl/>
        <w:shd w:val="clear" w:color="auto" w:fill="FFFFFF"/>
        <w:spacing w:beforeAutospacing="0" w:afterAutospacing="0" w:line="360" w:lineRule="auto"/>
        <w:ind w:firstLine="560"/>
        <w:jc w:val="both"/>
        <w:rPr>
          <w:rFonts w:hint="eastAsia" w:ascii="宋体" w:hAnsi="宋体" w:cs="宋体"/>
          <w:color w:val="auto"/>
          <w:sz w:val="21"/>
          <w:szCs w:val="21"/>
          <w:highlight w:val="none"/>
          <w:shd w:val="clear" w:color="auto" w:fill="FFFFFF"/>
          <w:lang w:val="zh-CN"/>
        </w:rPr>
      </w:pPr>
      <w:r>
        <w:rPr>
          <w:rFonts w:hint="eastAsia" w:ascii="宋体" w:hAnsi="宋体" w:cs="宋体"/>
          <w:color w:val="auto"/>
          <w:sz w:val="21"/>
          <w:szCs w:val="21"/>
          <w:highlight w:val="none"/>
          <w:shd w:val="clear" w:color="auto" w:fill="FFFFFF"/>
          <w:lang w:val="en-US" w:eastAsia="zh-CN"/>
        </w:rPr>
        <w:t>2.</w:t>
      </w:r>
      <w:r>
        <w:rPr>
          <w:rFonts w:hint="eastAsia" w:ascii="宋体" w:hAnsi="宋体" w:cs="宋体"/>
          <w:color w:val="auto"/>
          <w:sz w:val="21"/>
          <w:szCs w:val="21"/>
          <w:highlight w:val="none"/>
          <w:shd w:val="clear" w:color="auto" w:fill="FFFFFF"/>
          <w:lang w:val="zh-CN"/>
        </w:rPr>
        <w:t>名称：盐城市携手阳光集中采购代理有限公司</w:t>
      </w:r>
    </w:p>
    <w:p w14:paraId="1341B81B">
      <w:pPr>
        <w:pStyle w:val="208"/>
        <w:widowControl/>
        <w:shd w:val="clear" w:color="auto" w:fill="FFFFFF"/>
        <w:spacing w:beforeAutospacing="0" w:afterAutospacing="0" w:line="360" w:lineRule="auto"/>
        <w:ind w:firstLine="560"/>
        <w:jc w:val="both"/>
        <w:rPr>
          <w:rFonts w:hint="eastAsia" w:ascii="宋体" w:hAnsi="宋体" w:cs="宋体"/>
          <w:color w:val="auto"/>
          <w:sz w:val="21"/>
          <w:szCs w:val="21"/>
          <w:highlight w:val="none"/>
          <w:shd w:val="clear" w:color="auto" w:fill="FFFFFF"/>
          <w:lang w:val="zh-CN"/>
        </w:rPr>
      </w:pPr>
      <w:r>
        <w:rPr>
          <w:rFonts w:hint="eastAsia" w:ascii="宋体" w:hAnsi="宋体" w:cs="宋体"/>
          <w:color w:val="auto"/>
          <w:sz w:val="21"/>
          <w:szCs w:val="21"/>
          <w:highlight w:val="none"/>
          <w:shd w:val="clear" w:color="auto" w:fill="FFFFFF"/>
          <w:lang w:val="zh-CN"/>
        </w:rPr>
        <w:t>地址：盐城市府西路2号华邦国际西厦A区（东）302室</w:t>
      </w:r>
    </w:p>
    <w:p w14:paraId="1B79C247">
      <w:pPr>
        <w:pStyle w:val="208"/>
        <w:widowControl/>
        <w:shd w:val="clear" w:color="auto" w:fill="FFFFFF"/>
        <w:spacing w:beforeAutospacing="0" w:afterAutospacing="0" w:line="360" w:lineRule="auto"/>
        <w:ind w:firstLine="560"/>
        <w:jc w:val="both"/>
        <w:rPr>
          <w:rFonts w:hint="eastAsia" w:ascii="宋体" w:hAnsi="宋体" w:cs="宋体"/>
          <w:color w:val="auto"/>
          <w:sz w:val="21"/>
          <w:szCs w:val="21"/>
          <w:highlight w:val="none"/>
          <w:shd w:val="clear" w:color="auto" w:fill="FFFFFF"/>
          <w:lang w:val="zh-CN"/>
        </w:rPr>
      </w:pPr>
      <w:r>
        <w:rPr>
          <w:rFonts w:hint="eastAsia" w:ascii="宋体" w:hAnsi="宋体" w:cs="宋体"/>
          <w:color w:val="auto"/>
          <w:sz w:val="21"/>
          <w:szCs w:val="21"/>
          <w:highlight w:val="none"/>
          <w:shd w:val="clear" w:color="auto" w:fill="FFFFFF"/>
        </w:rPr>
        <w:t>联 系 人</w:t>
      </w:r>
      <w:r>
        <w:rPr>
          <w:rFonts w:hint="eastAsia" w:ascii="宋体" w:hAnsi="宋体" w:cs="宋体"/>
          <w:color w:val="auto"/>
          <w:sz w:val="21"/>
          <w:szCs w:val="21"/>
          <w:highlight w:val="none"/>
          <w:shd w:val="clear" w:color="auto" w:fill="FFFFFF"/>
          <w:lang w:val="zh-CN"/>
        </w:rPr>
        <w:t>：杨工</w:t>
      </w:r>
    </w:p>
    <w:p w14:paraId="02A188D4">
      <w:pPr>
        <w:pStyle w:val="208"/>
        <w:widowControl/>
        <w:shd w:val="clear" w:color="auto" w:fill="FFFFFF"/>
        <w:spacing w:beforeAutospacing="0" w:afterAutospacing="0" w:line="360" w:lineRule="auto"/>
        <w:ind w:firstLine="560"/>
        <w:jc w:val="both"/>
        <w:rPr>
          <w:rFonts w:hint="default" w:ascii="宋体" w:hAnsi="宋体" w:cs="宋体"/>
          <w:color w:val="auto"/>
          <w:sz w:val="21"/>
          <w:szCs w:val="21"/>
          <w:highlight w:val="none"/>
          <w:shd w:val="clear" w:color="auto" w:fill="FFFFFF"/>
          <w:lang w:val="en-US" w:eastAsia="zh-CN"/>
        </w:rPr>
      </w:pPr>
      <w:r>
        <w:rPr>
          <w:rFonts w:hint="eastAsia" w:ascii="宋体" w:hAnsi="宋体" w:cs="宋体"/>
          <w:color w:val="auto"/>
          <w:sz w:val="21"/>
          <w:szCs w:val="21"/>
          <w:highlight w:val="none"/>
          <w:shd w:val="clear" w:color="auto" w:fill="FFFFFF"/>
        </w:rPr>
        <w:t>联系电话</w:t>
      </w:r>
      <w:r>
        <w:rPr>
          <w:rFonts w:hint="eastAsia" w:ascii="宋体" w:hAnsi="宋体" w:cs="宋体"/>
          <w:color w:val="auto"/>
          <w:sz w:val="21"/>
          <w:szCs w:val="21"/>
          <w:highlight w:val="none"/>
          <w:shd w:val="clear" w:color="auto" w:fill="FFFFFF"/>
          <w:lang w:val="zh-CN"/>
        </w:rPr>
        <w:t>：</w:t>
      </w:r>
      <w:r>
        <w:rPr>
          <w:rFonts w:hint="eastAsia" w:ascii="宋体" w:hAnsi="宋体" w:cs="宋体"/>
          <w:color w:val="auto"/>
          <w:sz w:val="21"/>
          <w:szCs w:val="21"/>
          <w:highlight w:val="none"/>
          <w:shd w:val="clear" w:color="auto" w:fill="FFFFFF"/>
          <w:lang w:val="en-US" w:eastAsia="zh-CN"/>
        </w:rPr>
        <w:t>13004479698</w:t>
      </w:r>
    </w:p>
    <w:p w14:paraId="530F643B">
      <w:pPr>
        <w:pStyle w:val="208"/>
        <w:widowControl/>
        <w:shd w:val="clear" w:color="auto" w:fill="FFFFFF"/>
        <w:spacing w:beforeAutospacing="0" w:afterAutospacing="0" w:line="360" w:lineRule="auto"/>
        <w:ind w:firstLine="560"/>
        <w:jc w:val="both"/>
        <w:rPr>
          <w:rFonts w:hint="eastAsia" w:ascii="宋体" w:hAnsi="宋体" w:cs="宋体"/>
          <w:color w:val="auto"/>
          <w:sz w:val="21"/>
          <w:szCs w:val="21"/>
          <w:highlight w:val="none"/>
          <w:shd w:val="clear" w:color="auto" w:fill="FFFFFF"/>
          <w:lang w:val="zh-CN"/>
        </w:rPr>
      </w:pPr>
      <w:r>
        <w:rPr>
          <w:rFonts w:hint="eastAsia" w:ascii="宋体" w:hAnsi="宋体" w:cs="宋体"/>
          <w:color w:val="auto"/>
          <w:sz w:val="21"/>
          <w:szCs w:val="21"/>
          <w:highlight w:val="none"/>
          <w:shd w:val="clear" w:color="auto" w:fill="FFFFFF"/>
          <w:lang w:val="zh-CN"/>
        </w:rPr>
        <w:t>3.项目联系方式</w:t>
      </w:r>
    </w:p>
    <w:p w14:paraId="55D3A368">
      <w:pPr>
        <w:pStyle w:val="208"/>
        <w:widowControl/>
        <w:shd w:val="clear" w:color="auto" w:fill="FFFFFF"/>
        <w:spacing w:beforeAutospacing="0" w:afterAutospacing="0" w:line="360" w:lineRule="auto"/>
        <w:ind w:firstLine="560"/>
        <w:jc w:val="both"/>
        <w:rPr>
          <w:rFonts w:hint="eastAsia" w:ascii="宋体" w:hAnsi="宋体" w:cs="宋体"/>
          <w:color w:val="auto"/>
          <w:sz w:val="21"/>
          <w:szCs w:val="21"/>
          <w:highlight w:val="none"/>
          <w:shd w:val="clear" w:color="auto" w:fill="FFFFFF"/>
          <w:lang w:val="zh-CN"/>
        </w:rPr>
      </w:pPr>
      <w:r>
        <w:rPr>
          <w:rFonts w:hint="eastAsia" w:ascii="宋体" w:hAnsi="宋体" w:cs="宋体"/>
          <w:color w:val="auto"/>
          <w:sz w:val="21"/>
          <w:szCs w:val="21"/>
          <w:highlight w:val="none"/>
          <w:shd w:val="clear" w:color="auto" w:fill="FFFFFF"/>
          <w:lang w:val="zh-CN"/>
        </w:rPr>
        <w:t>项目联系人：杨工</w:t>
      </w:r>
    </w:p>
    <w:p w14:paraId="7B13093E">
      <w:pPr>
        <w:pStyle w:val="208"/>
        <w:widowControl/>
        <w:shd w:val="clear" w:color="auto" w:fill="FFFFFF"/>
        <w:spacing w:beforeAutospacing="0" w:afterAutospacing="0" w:line="360" w:lineRule="auto"/>
        <w:ind w:firstLine="560"/>
        <w:jc w:val="both"/>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lang w:val="zh-CN"/>
        </w:rPr>
        <w:t>电话：</w:t>
      </w:r>
      <w:r>
        <w:rPr>
          <w:rFonts w:hint="eastAsia" w:ascii="宋体" w:hAnsi="宋体" w:cs="宋体"/>
          <w:color w:val="auto"/>
          <w:sz w:val="21"/>
          <w:szCs w:val="21"/>
          <w:highlight w:val="none"/>
          <w:shd w:val="clear" w:color="auto" w:fill="FFFFFF"/>
          <w:lang w:val="en-US" w:eastAsia="zh-CN"/>
        </w:rPr>
        <w:t>13004479698</w:t>
      </w:r>
    </w:p>
    <w:p w14:paraId="56377E96">
      <w:pPr>
        <w:pStyle w:val="208"/>
        <w:widowControl/>
        <w:shd w:val="clear" w:color="auto" w:fill="FFFFFF"/>
        <w:spacing w:beforeAutospacing="0" w:afterAutospacing="0" w:line="360" w:lineRule="auto"/>
        <w:ind w:firstLine="560"/>
        <w:jc w:val="both"/>
        <w:rPr>
          <w:rFonts w:hint="eastAsia" w:ascii="宋体" w:hAnsi="宋体" w:cs="宋体"/>
          <w:color w:val="auto"/>
          <w:sz w:val="21"/>
          <w:szCs w:val="21"/>
          <w:highlight w:val="none"/>
          <w:shd w:val="clear" w:color="auto" w:fill="FFFFFF"/>
        </w:rPr>
      </w:pPr>
      <w:bookmarkStart w:id="39" w:name="_Toc120614211"/>
    </w:p>
    <w:p w14:paraId="6894FC83">
      <w:pPr>
        <w:rPr>
          <w:rFonts w:hint="eastAsia" w:ascii="宋体" w:hAnsi="宋体" w:cs="宋体"/>
          <w:color w:val="auto"/>
          <w:szCs w:val="21"/>
          <w:highlight w:val="none"/>
        </w:rPr>
      </w:pPr>
      <w:r>
        <w:rPr>
          <w:rFonts w:hint="eastAsia" w:ascii="宋体" w:hAnsi="宋体" w:cs="宋体"/>
          <w:color w:val="auto"/>
          <w:szCs w:val="21"/>
          <w:highlight w:val="none"/>
        </w:rPr>
        <w:br w:type="page"/>
      </w:r>
    </w:p>
    <w:p w14:paraId="5E7D36FF">
      <w:pPr>
        <w:pStyle w:val="208"/>
        <w:keepNext/>
        <w:keepLines/>
        <w:spacing w:before="260" w:beforeAutospacing="0" w:after="260" w:afterAutospacing="0" w:line="415" w:lineRule="auto"/>
        <w:ind w:firstLine="2429"/>
        <w:jc w:val="both"/>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t xml:space="preserve">第二章  </w:t>
      </w:r>
      <w:bookmarkEnd w:id="39"/>
      <w:bookmarkStart w:id="40" w:name="_Toc120614213"/>
      <w:bookmarkStart w:id="41" w:name="_Toc16938518"/>
      <w:bookmarkStart w:id="42" w:name="_Toc20823274"/>
      <w:bookmarkStart w:id="43" w:name="_Toc513029202"/>
      <w:r>
        <w:rPr>
          <w:rFonts w:hint="eastAsia" w:ascii="黑体" w:hAnsi="宋体" w:eastAsia="黑体" w:cs="黑体"/>
          <w:b/>
          <w:color w:val="auto"/>
          <w:sz w:val="44"/>
          <w:szCs w:val="44"/>
          <w:highlight w:val="none"/>
        </w:rPr>
        <w:t>投标人须知</w:t>
      </w:r>
      <w:bookmarkEnd w:id="40"/>
      <w:bookmarkEnd w:id="41"/>
      <w:bookmarkEnd w:id="42"/>
      <w:bookmarkEnd w:id="43"/>
      <w:bookmarkStart w:id="44" w:name="_Toc20823275"/>
      <w:bookmarkStart w:id="45" w:name="_Toc120614214"/>
      <w:bookmarkStart w:id="46" w:name="_Toc513029203"/>
      <w:bookmarkStart w:id="47" w:name="_Toc16938519"/>
    </w:p>
    <w:p w14:paraId="4E38BA42">
      <w:pPr>
        <w:pStyle w:val="208"/>
        <w:numPr>
          <w:ilvl w:val="0"/>
          <w:numId w:val="1"/>
        </w:numPr>
        <w:spacing w:beforeAutospacing="0" w:afterAutospacing="0" w:line="348" w:lineRule="auto"/>
        <w:ind w:firstLine="420"/>
        <w:jc w:val="both"/>
        <w:rPr>
          <w:rFonts w:hint="eastAsia" w:ascii="宋体" w:hAnsi="宋体" w:cs="宋体"/>
          <w:b/>
          <w:color w:val="auto"/>
          <w:sz w:val="21"/>
          <w:szCs w:val="21"/>
          <w:highlight w:val="none"/>
        </w:rPr>
      </w:pPr>
      <w:r>
        <w:rPr>
          <w:rFonts w:hint="eastAsia" w:ascii="宋体" w:hAnsi="宋体" w:cs="宋体"/>
          <w:b/>
          <w:color w:val="auto"/>
          <w:sz w:val="21"/>
          <w:szCs w:val="21"/>
          <w:highlight w:val="none"/>
        </w:rPr>
        <w:t>总则</w:t>
      </w:r>
      <w:bookmarkEnd w:id="44"/>
      <w:bookmarkEnd w:id="45"/>
      <w:bookmarkEnd w:id="46"/>
      <w:bookmarkEnd w:id="47"/>
      <w:bookmarkStart w:id="48" w:name="_Toc20823276"/>
      <w:bookmarkStart w:id="49" w:name="_Toc513029204"/>
      <w:bookmarkStart w:id="50" w:name="_Toc16938520"/>
      <w:bookmarkStart w:id="51" w:name="_Toc458694821"/>
      <w:bookmarkStart w:id="52" w:name="_Hlt16619475"/>
    </w:p>
    <w:p w14:paraId="3CBF5F5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w:t>
      </w:r>
      <w:bookmarkEnd w:id="48"/>
      <w:r>
        <w:rPr>
          <w:rFonts w:hint="eastAsia" w:ascii="宋体" w:hAnsi="宋体" w:cs="宋体"/>
          <w:color w:val="auto"/>
          <w:sz w:val="21"/>
          <w:szCs w:val="21"/>
          <w:highlight w:val="none"/>
        </w:rPr>
        <w:t>、招标方式</w:t>
      </w:r>
      <w:bookmarkEnd w:id="49"/>
      <w:bookmarkEnd w:id="50"/>
      <w:bookmarkEnd w:id="51"/>
    </w:p>
    <w:p w14:paraId="2D52A6C8">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1.1本次招标采取公开招标方式，本招标文件仅适用于招标公告中所述项目。</w:t>
      </w:r>
    </w:p>
    <w:p w14:paraId="6F777F0D">
      <w:pPr>
        <w:pStyle w:val="208"/>
        <w:spacing w:beforeAutospacing="0" w:afterAutospacing="0" w:line="348" w:lineRule="auto"/>
        <w:ind w:firstLine="420"/>
        <w:jc w:val="both"/>
        <w:rPr>
          <w:rFonts w:hint="eastAsia" w:ascii="宋体" w:hAnsi="宋体" w:cs="宋体"/>
          <w:color w:val="auto"/>
          <w:sz w:val="21"/>
          <w:szCs w:val="21"/>
          <w:highlight w:val="none"/>
        </w:rPr>
      </w:pPr>
      <w:bookmarkStart w:id="53" w:name="_Toc16938521"/>
      <w:bookmarkStart w:id="54" w:name="_Toc20823277"/>
      <w:bookmarkStart w:id="55" w:name="_Toc513029205"/>
      <w:r>
        <w:rPr>
          <w:rFonts w:hint="eastAsia" w:ascii="宋体" w:hAnsi="宋体" w:cs="宋体"/>
          <w:color w:val="auto"/>
          <w:sz w:val="21"/>
          <w:szCs w:val="21"/>
          <w:highlight w:val="none"/>
        </w:rPr>
        <w:t>2、合格的投标人</w:t>
      </w:r>
      <w:bookmarkEnd w:id="53"/>
      <w:bookmarkEnd w:id="54"/>
      <w:bookmarkEnd w:id="55"/>
    </w:p>
    <w:p w14:paraId="3FC8C144">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2.1满足招标公告中供应商的资格要求的规定。</w:t>
      </w:r>
    </w:p>
    <w:p w14:paraId="57F1788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2.2满足本文件实质性要求和条件的规定。</w:t>
      </w:r>
    </w:p>
    <w:p w14:paraId="21A2146B">
      <w:pPr>
        <w:pStyle w:val="208"/>
        <w:spacing w:beforeAutospacing="0" w:afterAutospacing="0" w:line="348" w:lineRule="auto"/>
        <w:ind w:firstLine="420"/>
        <w:jc w:val="both"/>
        <w:rPr>
          <w:rFonts w:hint="eastAsia" w:ascii="宋体" w:hAnsi="宋体" w:eastAsia="宋体" w:cs="宋体"/>
          <w:color w:val="auto"/>
          <w:sz w:val="21"/>
          <w:szCs w:val="21"/>
          <w:highlight w:val="none"/>
        </w:rPr>
      </w:pPr>
      <w:bookmarkStart w:id="56" w:name="_Toc513029206"/>
      <w:bookmarkStart w:id="57" w:name="_Toc20823278"/>
      <w:bookmarkStart w:id="58" w:name="_Toc16938522"/>
      <w:r>
        <w:rPr>
          <w:rFonts w:hint="eastAsia" w:ascii="宋体" w:hAnsi="宋体" w:eastAsia="宋体" w:cs="宋体"/>
          <w:color w:val="auto"/>
          <w:sz w:val="21"/>
          <w:szCs w:val="21"/>
          <w:highlight w:val="none"/>
        </w:rPr>
        <w:t>3、</w:t>
      </w:r>
      <w:bookmarkEnd w:id="56"/>
      <w:bookmarkEnd w:id="57"/>
      <w:bookmarkEnd w:id="58"/>
      <w:r>
        <w:rPr>
          <w:rFonts w:hint="eastAsia" w:ascii="宋体" w:hAnsi="宋体" w:eastAsia="宋体" w:cs="宋体"/>
          <w:color w:val="auto"/>
          <w:sz w:val="21"/>
          <w:szCs w:val="21"/>
          <w:highlight w:val="none"/>
        </w:rPr>
        <w:t>适用法律和标准</w:t>
      </w:r>
    </w:p>
    <w:p w14:paraId="5DA95B25">
      <w:pPr>
        <w:pStyle w:val="208"/>
        <w:spacing w:beforeAutospacing="0" w:afterAutospacing="0" w:line="348"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3.1本次招标及由此产生的合同受中华人民共和国有关的法律法规制约和保护。</w:t>
      </w:r>
    </w:p>
    <w:p w14:paraId="72E71DC6">
      <w:pPr>
        <w:pStyle w:val="208"/>
        <w:spacing w:beforeAutospacing="0" w:afterAutospacing="0" w:line="348"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3.2在本项目政府采购活动过程中，如果所执行的标准有更新的，按照最新标准执行。</w:t>
      </w:r>
    </w:p>
    <w:p w14:paraId="2DEA3B3A">
      <w:pPr>
        <w:pStyle w:val="208"/>
        <w:spacing w:beforeAutospacing="0" w:afterAutospacing="0" w:line="348" w:lineRule="auto"/>
        <w:ind w:firstLine="420"/>
        <w:jc w:val="both"/>
        <w:rPr>
          <w:rFonts w:hint="eastAsia" w:ascii="宋体" w:hAnsi="宋体" w:cs="宋体"/>
          <w:color w:val="auto"/>
          <w:sz w:val="21"/>
          <w:szCs w:val="21"/>
          <w:highlight w:val="none"/>
        </w:rPr>
      </w:pPr>
      <w:bookmarkStart w:id="59" w:name="_Toc462564067"/>
      <w:bookmarkStart w:id="60" w:name="_Toc20823279"/>
      <w:bookmarkStart w:id="61" w:name="_Toc513029207"/>
      <w:bookmarkStart w:id="62" w:name="_Toc16938523"/>
      <w:r>
        <w:rPr>
          <w:rFonts w:hint="eastAsia" w:ascii="宋体" w:hAnsi="宋体" w:cs="宋体"/>
          <w:color w:val="auto"/>
          <w:sz w:val="21"/>
          <w:szCs w:val="21"/>
          <w:highlight w:val="none"/>
        </w:rPr>
        <w:t>4、投标费用</w:t>
      </w:r>
      <w:bookmarkEnd w:id="59"/>
      <w:bookmarkEnd w:id="60"/>
      <w:bookmarkEnd w:id="61"/>
      <w:bookmarkEnd w:id="62"/>
    </w:p>
    <w:p w14:paraId="6ACE0677">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4.1投标人应自行承担所有与参加投标有关的费用，无论投标过程中的做法和结果如何，采购人和采购代理机构在任何情况下均无义务和责任承担这些费用。</w:t>
      </w:r>
    </w:p>
    <w:p w14:paraId="01194016">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4.2本次招标采购人和采购代理机构不收取标书工本费。</w:t>
      </w:r>
    </w:p>
    <w:p w14:paraId="6F81435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4.3本项目代理服务费由项目中标单位支付，</w:t>
      </w:r>
      <w:r>
        <w:rPr>
          <w:rFonts w:hint="eastAsia" w:ascii="宋体" w:hAnsi="宋体" w:cs="宋体"/>
          <w:color w:val="auto"/>
          <w:sz w:val="21"/>
          <w:szCs w:val="21"/>
          <w:highlight w:val="none"/>
          <w:lang w:val="en-US" w:eastAsia="zh-CN"/>
        </w:rPr>
        <w:t>根据代理合同双方约定</w:t>
      </w:r>
      <w:r>
        <w:rPr>
          <w:rFonts w:hint="eastAsia" w:ascii="宋体" w:hAnsi="宋体" w:cs="宋体"/>
          <w:color w:val="auto"/>
          <w:sz w:val="21"/>
          <w:szCs w:val="21"/>
          <w:highlight w:val="none"/>
        </w:rPr>
        <w:t>代理服务费</w:t>
      </w:r>
      <w:r>
        <w:rPr>
          <w:rFonts w:hint="eastAsia" w:ascii="宋体" w:hAnsi="宋体" w:cs="宋体"/>
          <w:color w:val="auto"/>
          <w:sz w:val="21"/>
          <w:szCs w:val="21"/>
          <w:highlight w:val="none"/>
          <w:lang w:val="en-US" w:eastAsia="zh-CN"/>
        </w:rPr>
        <w:t>为49500元</w:t>
      </w:r>
      <w:r>
        <w:rPr>
          <w:rFonts w:hint="eastAsia" w:ascii="宋体" w:hAnsi="宋体" w:cs="宋体"/>
          <w:color w:val="auto"/>
          <w:sz w:val="21"/>
          <w:szCs w:val="21"/>
          <w:highlight w:val="none"/>
        </w:rPr>
        <w:t>，由中标人领取中标通知书前，向代理公司支付，请投标人考虑在投标报价中。</w:t>
      </w:r>
    </w:p>
    <w:p w14:paraId="17ECFC18">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bCs/>
          <w:color w:val="auto"/>
          <w:sz w:val="21"/>
          <w:szCs w:val="21"/>
          <w:highlight w:val="none"/>
        </w:rPr>
        <w:t>5、</w:t>
      </w:r>
      <w:r>
        <w:rPr>
          <w:rFonts w:hint="eastAsia" w:ascii="宋体" w:hAnsi="宋体" w:cs="宋体"/>
          <w:color w:val="auto"/>
          <w:sz w:val="21"/>
          <w:szCs w:val="21"/>
          <w:highlight w:val="none"/>
        </w:rPr>
        <w:t>招标文件的约束力</w:t>
      </w:r>
    </w:p>
    <w:p w14:paraId="5EA6681A">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5.1投标人一旦参加本项目采购活动，即被认为接受了本招标文件的规定和约束。</w:t>
      </w:r>
    </w:p>
    <w:p w14:paraId="4F466D60">
      <w:pPr>
        <w:pStyle w:val="208"/>
        <w:keepNext/>
        <w:keepLines/>
        <w:spacing w:before="145" w:beforeAutospacing="0" w:after="145" w:afterAutospacing="0" w:line="348" w:lineRule="auto"/>
        <w:ind w:firstLine="321"/>
        <w:jc w:val="both"/>
        <w:rPr>
          <w:rFonts w:hint="eastAsia" w:ascii="宋体" w:hAnsi="宋体" w:cs="宋体"/>
          <w:color w:val="auto"/>
          <w:sz w:val="21"/>
          <w:szCs w:val="21"/>
          <w:highlight w:val="none"/>
        </w:rPr>
      </w:pPr>
      <w:bookmarkStart w:id="63" w:name="_Toc120614215"/>
      <w:bookmarkStart w:id="64" w:name="_Toc513029209"/>
      <w:bookmarkStart w:id="65" w:name="_Toc20823281"/>
      <w:bookmarkStart w:id="66" w:name="_Toc16938525"/>
      <w:r>
        <w:rPr>
          <w:rFonts w:hint="eastAsia" w:ascii="宋体" w:hAnsi="宋体" w:cs="宋体"/>
          <w:b/>
          <w:color w:val="auto"/>
          <w:sz w:val="21"/>
          <w:szCs w:val="21"/>
          <w:highlight w:val="none"/>
        </w:rPr>
        <w:t>二、招标文件</w:t>
      </w:r>
      <w:bookmarkEnd w:id="63"/>
      <w:bookmarkEnd w:id="64"/>
      <w:bookmarkEnd w:id="65"/>
      <w:bookmarkEnd w:id="66"/>
    </w:p>
    <w:p w14:paraId="24617AAC">
      <w:pPr>
        <w:pStyle w:val="208"/>
        <w:spacing w:beforeAutospacing="0" w:afterAutospacing="0" w:line="348" w:lineRule="auto"/>
        <w:ind w:firstLine="420"/>
        <w:jc w:val="both"/>
        <w:rPr>
          <w:rFonts w:hint="eastAsia" w:ascii="宋体" w:hAnsi="宋体" w:cs="宋体"/>
          <w:color w:val="auto"/>
          <w:sz w:val="21"/>
          <w:szCs w:val="21"/>
          <w:highlight w:val="none"/>
        </w:rPr>
      </w:pPr>
      <w:bookmarkStart w:id="67" w:name="_Toc16938526"/>
      <w:bookmarkStart w:id="68" w:name="_Toc513029210"/>
      <w:bookmarkStart w:id="69" w:name="_Toc20823282"/>
      <w:r>
        <w:rPr>
          <w:rFonts w:hint="eastAsia" w:ascii="宋体" w:hAnsi="宋体" w:cs="宋体"/>
          <w:color w:val="auto"/>
          <w:sz w:val="21"/>
          <w:szCs w:val="21"/>
          <w:highlight w:val="none"/>
        </w:rPr>
        <w:t>6、招标文件构成</w:t>
      </w:r>
      <w:bookmarkEnd w:id="67"/>
      <w:bookmarkEnd w:id="68"/>
      <w:bookmarkEnd w:id="69"/>
    </w:p>
    <w:p w14:paraId="636A1D7C">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6.1招标文件由以下部分组成：</w:t>
      </w:r>
    </w:p>
    <w:p w14:paraId="539082A5">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（1）招标公告</w:t>
      </w:r>
    </w:p>
    <w:p w14:paraId="34D75304">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（2）投标人须知</w:t>
      </w:r>
    </w:p>
    <w:p w14:paraId="0D89A91C">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（3）合同文本</w:t>
      </w:r>
    </w:p>
    <w:p w14:paraId="372D6C50">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（4）采购需求</w:t>
      </w:r>
    </w:p>
    <w:p w14:paraId="21B0EB5A">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（5）评标方法与评标标准</w:t>
      </w:r>
    </w:p>
    <w:p w14:paraId="41AB49EF">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（6）投标文件格式</w:t>
      </w:r>
    </w:p>
    <w:p w14:paraId="6E7A96EF">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请仔细检查招标文件是否齐全，如有缺漏请立即与采购代理机构联系解决。</w:t>
      </w:r>
    </w:p>
    <w:p w14:paraId="7AAB55C9">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EFD874B">
      <w:pPr>
        <w:pStyle w:val="208"/>
        <w:spacing w:beforeAutospacing="0" w:afterAutospacing="0" w:line="348" w:lineRule="auto"/>
        <w:ind w:firstLine="420"/>
        <w:jc w:val="both"/>
        <w:rPr>
          <w:rFonts w:hint="eastAsia" w:ascii="宋体" w:hAnsi="宋体" w:cs="宋体"/>
          <w:color w:val="auto"/>
          <w:sz w:val="21"/>
          <w:szCs w:val="21"/>
          <w:highlight w:val="none"/>
        </w:rPr>
      </w:pPr>
      <w:bookmarkStart w:id="70" w:name="_Toc20823283"/>
      <w:bookmarkStart w:id="71" w:name="_Toc462564070"/>
      <w:bookmarkStart w:id="72" w:name="_Toc16938527"/>
      <w:bookmarkStart w:id="73" w:name="_Toc513029211"/>
      <w:r>
        <w:rPr>
          <w:rFonts w:hint="eastAsia" w:ascii="宋体" w:hAnsi="宋体" w:cs="宋体"/>
          <w:color w:val="auto"/>
          <w:sz w:val="21"/>
          <w:szCs w:val="21"/>
          <w:highlight w:val="none"/>
        </w:rPr>
        <w:t>7、招标文件的澄清</w:t>
      </w:r>
      <w:bookmarkEnd w:id="70"/>
      <w:bookmarkEnd w:id="71"/>
      <w:bookmarkEnd w:id="72"/>
      <w:bookmarkEnd w:id="73"/>
    </w:p>
    <w:p w14:paraId="77E6D8C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7.1任何要求对招标文件进行澄清的投标人，应在投标截止期</w:t>
      </w:r>
      <w:r>
        <w:rPr>
          <w:rFonts w:hint="eastAsia" w:ascii="宋体" w:hAnsi="宋体" w:cs="宋体"/>
          <w:b/>
          <w:color w:val="auto"/>
          <w:sz w:val="21"/>
          <w:szCs w:val="21"/>
          <w:highlight w:val="none"/>
        </w:rPr>
        <w:t>十日</w:t>
      </w:r>
      <w:r>
        <w:rPr>
          <w:rFonts w:hint="eastAsia" w:ascii="宋体" w:hAnsi="宋体" w:cs="宋体"/>
          <w:color w:val="auto"/>
          <w:sz w:val="21"/>
          <w:szCs w:val="21"/>
          <w:highlight w:val="none"/>
        </w:rPr>
        <w:t>前按招标公告中的通讯地址，以书面形式通知采购代理机构。</w:t>
      </w:r>
    </w:p>
    <w:p w14:paraId="27BA8C87">
      <w:pPr>
        <w:pStyle w:val="208"/>
        <w:spacing w:beforeAutospacing="0" w:afterAutospacing="0" w:line="348" w:lineRule="auto"/>
        <w:ind w:firstLine="420"/>
        <w:jc w:val="both"/>
        <w:rPr>
          <w:rFonts w:hint="eastAsia" w:ascii="宋体" w:hAnsi="宋体" w:cs="宋体"/>
          <w:color w:val="auto"/>
          <w:sz w:val="21"/>
          <w:szCs w:val="21"/>
          <w:highlight w:val="none"/>
        </w:rPr>
      </w:pPr>
      <w:bookmarkStart w:id="74" w:name="_Toc16938528"/>
      <w:bookmarkStart w:id="75" w:name="_Toc513029212"/>
      <w:bookmarkStart w:id="76" w:name="_Toc20823284"/>
      <w:bookmarkStart w:id="77" w:name="_Toc462564071"/>
      <w:r>
        <w:rPr>
          <w:rFonts w:hint="eastAsia" w:ascii="宋体" w:hAnsi="宋体" w:cs="宋体"/>
          <w:color w:val="auto"/>
          <w:sz w:val="21"/>
          <w:szCs w:val="21"/>
          <w:highlight w:val="none"/>
        </w:rPr>
        <w:t>8、招标文件的修改</w:t>
      </w:r>
      <w:bookmarkEnd w:id="74"/>
      <w:bookmarkEnd w:id="75"/>
      <w:bookmarkEnd w:id="76"/>
      <w:bookmarkEnd w:id="77"/>
    </w:p>
    <w:p w14:paraId="291168A0">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8.1在投标截止时间前，采购代理机构可以对招标文件进行修改。</w:t>
      </w:r>
    </w:p>
    <w:p w14:paraId="712475FB">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8.2采购代理机构有权按照法定的要求推迟投标截止日期和开标日期。</w:t>
      </w:r>
    </w:p>
    <w:p w14:paraId="7577C5B9">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8.3招标文件的修改将在中国政府采购网</w:t>
      </w:r>
      <w:r>
        <w:rPr>
          <w:rFonts w:hint="eastAsia" w:ascii="宋体" w:hAnsi="宋体" w:cs="宋体"/>
          <w:color w:val="auto"/>
          <w:sz w:val="21"/>
          <w:szCs w:val="21"/>
          <w:highlight w:val="none"/>
          <w:shd w:val="clear" w:color="auto" w:fill="FFFFFF"/>
        </w:rPr>
        <w:t>、</w:t>
      </w:r>
      <w:r>
        <w:rPr>
          <w:rFonts w:hint="eastAsia" w:ascii="宋体" w:hAnsi="宋体" w:cs="宋体"/>
          <w:color w:val="auto"/>
          <w:sz w:val="21"/>
          <w:szCs w:val="21"/>
          <w:highlight w:val="none"/>
        </w:rPr>
        <w:t>江苏政府采购网、盐城市政府采购网公布，补充文件将作为招标文件的组成部分，并对投标人具有约束力。</w:t>
      </w:r>
    </w:p>
    <w:p w14:paraId="0780161D">
      <w:pPr>
        <w:pStyle w:val="208"/>
        <w:spacing w:beforeAutospacing="0" w:afterAutospacing="0" w:line="348" w:lineRule="auto"/>
        <w:ind w:firstLine="422"/>
        <w:jc w:val="both"/>
        <w:rPr>
          <w:rFonts w:hint="eastAsia" w:ascii="宋体" w:hAnsi="宋体" w:cs="宋体"/>
          <w:color w:val="auto"/>
          <w:sz w:val="21"/>
          <w:szCs w:val="21"/>
          <w:highlight w:val="none"/>
        </w:rPr>
      </w:pPr>
      <w:bookmarkStart w:id="78" w:name="_Toc16938529"/>
      <w:bookmarkStart w:id="79" w:name="_Toc20823285"/>
      <w:bookmarkStart w:id="80" w:name="_Toc120614216"/>
      <w:bookmarkStart w:id="81" w:name="_Toc462564072"/>
      <w:bookmarkStart w:id="82" w:name="_Toc513029213"/>
      <w:r>
        <w:rPr>
          <w:rFonts w:hint="eastAsia" w:ascii="宋体" w:hAnsi="宋体" w:cs="宋体"/>
          <w:b/>
          <w:color w:val="auto"/>
          <w:sz w:val="21"/>
          <w:szCs w:val="21"/>
          <w:highlight w:val="none"/>
        </w:rPr>
        <w:t>三、投标文件的编制</w:t>
      </w:r>
      <w:bookmarkEnd w:id="78"/>
      <w:bookmarkEnd w:id="79"/>
      <w:bookmarkEnd w:id="80"/>
      <w:bookmarkEnd w:id="81"/>
      <w:bookmarkEnd w:id="82"/>
    </w:p>
    <w:p w14:paraId="1942E97E">
      <w:pPr>
        <w:pStyle w:val="208"/>
        <w:spacing w:beforeAutospacing="0" w:afterAutospacing="0" w:line="348" w:lineRule="auto"/>
        <w:ind w:firstLine="420"/>
        <w:jc w:val="both"/>
        <w:rPr>
          <w:rFonts w:hint="eastAsia" w:ascii="宋体" w:hAnsi="宋体" w:cs="宋体"/>
          <w:color w:val="auto"/>
          <w:sz w:val="21"/>
          <w:szCs w:val="21"/>
          <w:highlight w:val="none"/>
        </w:rPr>
      </w:pPr>
      <w:bookmarkStart w:id="83" w:name="_Toc513029214"/>
      <w:bookmarkStart w:id="84" w:name="_Toc16938530"/>
      <w:bookmarkStart w:id="85" w:name="_Toc20823286"/>
      <w:bookmarkStart w:id="86" w:name="_Toc462564073"/>
      <w:r>
        <w:rPr>
          <w:rFonts w:hint="eastAsia" w:ascii="宋体" w:hAnsi="宋体" w:cs="宋体"/>
          <w:color w:val="auto"/>
          <w:sz w:val="21"/>
          <w:szCs w:val="21"/>
          <w:highlight w:val="none"/>
        </w:rPr>
        <w:t>9、投标文件的语言及度量衡单位</w:t>
      </w:r>
      <w:bookmarkEnd w:id="83"/>
      <w:bookmarkEnd w:id="84"/>
      <w:bookmarkEnd w:id="85"/>
      <w:bookmarkEnd w:id="86"/>
    </w:p>
    <w:p w14:paraId="1A598ED4">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9.1投标人提交的投标文件以及投标人与采购代理机构就有关投标的所有来往通知、函件和文件均应使用</w:t>
      </w:r>
      <w:r>
        <w:rPr>
          <w:rFonts w:hint="eastAsia" w:ascii="宋体" w:hAnsi="宋体" w:cs="宋体"/>
          <w:b/>
          <w:color w:val="auto"/>
          <w:sz w:val="21"/>
          <w:szCs w:val="21"/>
          <w:highlight w:val="none"/>
        </w:rPr>
        <w:t>简体中文</w:t>
      </w:r>
      <w:r>
        <w:rPr>
          <w:rFonts w:hint="eastAsia" w:ascii="宋体" w:hAnsi="宋体" w:cs="宋体"/>
          <w:color w:val="auto"/>
          <w:sz w:val="21"/>
          <w:szCs w:val="21"/>
          <w:highlight w:val="none"/>
        </w:rPr>
        <w:t>。</w:t>
      </w:r>
    </w:p>
    <w:p w14:paraId="071A3199">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9.2除技术性能另有规定外，投标文件所使用的度量衡单位，均须采用国家法定计量单位。</w:t>
      </w:r>
    </w:p>
    <w:p w14:paraId="37EA7481">
      <w:pPr>
        <w:pStyle w:val="208"/>
        <w:spacing w:beforeAutospacing="0" w:afterAutospacing="0" w:line="348" w:lineRule="auto"/>
        <w:ind w:firstLine="420"/>
        <w:jc w:val="both"/>
        <w:rPr>
          <w:rFonts w:hint="eastAsia" w:ascii="宋体" w:hAnsi="宋体" w:cs="宋体"/>
          <w:color w:val="auto"/>
          <w:sz w:val="21"/>
          <w:szCs w:val="21"/>
          <w:highlight w:val="none"/>
        </w:rPr>
      </w:pPr>
      <w:bookmarkStart w:id="87" w:name="_Toc16938531"/>
      <w:bookmarkStart w:id="88" w:name="_Toc513029215"/>
      <w:bookmarkStart w:id="89" w:name="_Toc462564074"/>
      <w:bookmarkStart w:id="90" w:name="_Toc20823287"/>
      <w:r>
        <w:rPr>
          <w:rFonts w:hint="eastAsia" w:ascii="宋体" w:hAnsi="宋体" w:cs="宋体"/>
          <w:color w:val="auto"/>
          <w:sz w:val="21"/>
          <w:szCs w:val="21"/>
          <w:highlight w:val="none"/>
        </w:rPr>
        <w:t>10、投标文件构成</w:t>
      </w:r>
      <w:bookmarkEnd w:id="87"/>
      <w:bookmarkEnd w:id="88"/>
      <w:bookmarkEnd w:id="89"/>
      <w:bookmarkEnd w:id="90"/>
    </w:p>
    <w:p w14:paraId="239F75AB">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10.1投标人编写的投标文件应包括资格证明文件、符合性证明文件、投标分项报价表、技术要求响应及偏离表、商务要求响应及偏离表、其他证明文件、投标函、开标一览表等部分。</w:t>
      </w:r>
    </w:p>
    <w:p w14:paraId="54A7B0AD">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10.2如标书制作工具中格式和内容与</w:t>
      </w:r>
      <w:r>
        <w:rPr>
          <w:rFonts w:hint="eastAsia" w:ascii="宋体" w:hAnsi="宋体" w:cs="宋体"/>
          <w:color w:val="auto"/>
          <w:sz w:val="21"/>
          <w:szCs w:val="21"/>
          <w:highlight w:val="none"/>
          <w:shd w:val="clear" w:color="auto" w:fill="FFFFFF"/>
        </w:rPr>
        <w:t>“</w:t>
      </w:r>
      <w:r>
        <w:rPr>
          <w:rFonts w:hint="eastAsia" w:ascii="宋体" w:hAnsi="宋体" w:cs="宋体"/>
          <w:color w:val="auto"/>
          <w:sz w:val="21"/>
          <w:szCs w:val="21"/>
          <w:highlight w:val="none"/>
        </w:rPr>
        <w:t>中国政府采购网”“江苏政府采购网”“盐城市政府采购网</w:t>
      </w:r>
      <w:r>
        <w:rPr>
          <w:rFonts w:hint="eastAsia" w:ascii="宋体" w:hAnsi="宋体" w:cs="宋体"/>
          <w:color w:val="auto"/>
          <w:sz w:val="21"/>
          <w:szCs w:val="21"/>
          <w:highlight w:val="none"/>
          <w:shd w:val="clear" w:color="auto" w:fill="FFFFFF"/>
        </w:rPr>
        <w:t>”</w:t>
      </w:r>
      <w:r>
        <w:rPr>
          <w:rFonts w:hint="eastAsia" w:ascii="宋体" w:hAnsi="宋体" w:cs="宋体"/>
          <w:color w:val="auto"/>
          <w:sz w:val="21"/>
          <w:szCs w:val="21"/>
          <w:highlight w:val="none"/>
        </w:rPr>
        <w:t>发布的招标文件不一致，请以中国政府采购网”“江苏政府采购网”“盐城市政府采购网</w:t>
      </w:r>
      <w:r>
        <w:rPr>
          <w:rFonts w:hint="eastAsia" w:ascii="宋体" w:hAnsi="宋体" w:cs="宋体"/>
          <w:color w:val="auto"/>
          <w:sz w:val="21"/>
          <w:szCs w:val="21"/>
          <w:highlight w:val="none"/>
          <w:shd w:val="clear" w:color="auto" w:fill="FFFFFF"/>
        </w:rPr>
        <w:t>”</w:t>
      </w:r>
      <w:r>
        <w:rPr>
          <w:rFonts w:hint="eastAsia" w:ascii="宋体" w:hAnsi="宋体" w:cs="宋体"/>
          <w:color w:val="auto"/>
          <w:sz w:val="21"/>
          <w:szCs w:val="21"/>
          <w:highlight w:val="none"/>
        </w:rPr>
        <w:t>发布的招标文件为准。</w:t>
      </w:r>
    </w:p>
    <w:p w14:paraId="3E9753F9">
      <w:pPr>
        <w:pStyle w:val="208"/>
        <w:spacing w:beforeAutospacing="0" w:afterAutospacing="0" w:line="348" w:lineRule="auto"/>
        <w:ind w:firstLine="420"/>
        <w:jc w:val="both"/>
        <w:rPr>
          <w:rFonts w:hint="eastAsia" w:ascii="宋体" w:hAnsi="宋体" w:cs="宋体"/>
          <w:color w:val="auto"/>
          <w:sz w:val="21"/>
          <w:szCs w:val="21"/>
          <w:highlight w:val="none"/>
        </w:rPr>
      </w:pPr>
      <w:bookmarkStart w:id="91" w:name="_Toc49090507"/>
      <w:bookmarkStart w:id="92" w:name="_Toc14577357"/>
      <w:bookmarkStart w:id="93" w:name="_Toc49090508"/>
      <w:bookmarkStart w:id="94" w:name="_Toc14577355"/>
      <w:bookmarkStart w:id="95" w:name="_Toc513029216"/>
      <w:bookmarkStart w:id="96" w:name="_Toc513029219"/>
      <w:bookmarkStart w:id="97" w:name="_Toc49090509"/>
      <w:bookmarkStart w:id="98" w:name="_Toc14577354"/>
      <w:bookmarkStart w:id="99" w:name="_Hlt26670360"/>
      <w:bookmarkStart w:id="100" w:name="_Hlt26954838"/>
      <w:bookmarkStart w:id="101" w:name="_Hlt26668975"/>
      <w:r>
        <w:rPr>
          <w:rFonts w:hint="eastAsia" w:ascii="宋体" w:hAnsi="宋体" w:cs="宋体"/>
          <w:color w:val="auto"/>
          <w:sz w:val="21"/>
          <w:szCs w:val="21"/>
          <w:highlight w:val="none"/>
        </w:rPr>
        <w:t>11、证明投标人及投标标的符合招标文件规定的文件</w:t>
      </w:r>
      <w:bookmarkEnd w:id="91"/>
      <w:bookmarkEnd w:id="92"/>
      <w:bookmarkEnd w:id="93"/>
      <w:bookmarkEnd w:id="94"/>
      <w:bookmarkEnd w:id="95"/>
      <w:bookmarkEnd w:id="96"/>
      <w:bookmarkEnd w:id="97"/>
      <w:bookmarkEnd w:id="98"/>
    </w:p>
    <w:p w14:paraId="073C2BA1">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11.1投标人应按照招标文件要求提交证明文件，证明其及投标标的符合招标文件规定。</w:t>
      </w:r>
    </w:p>
    <w:p w14:paraId="4708E345">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11.2招标文件对证明文件无明确形式要求的，证明文件可以以文字资料、图纸和数据等形式提交。</w:t>
      </w:r>
    </w:p>
    <w:p w14:paraId="72B6BA6A">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12、投标分项报价表</w:t>
      </w:r>
    </w:p>
    <w:p w14:paraId="269EE986">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12.1投标人应按照招标文件规定格式填报投标分项报价表。</w:t>
      </w:r>
    </w:p>
    <w:p w14:paraId="0A11BCD5">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12.2投标货币。投标文件中的单价和总价无特殊规定的采用人民币报价，以元为单位标注。招标文件中另有规定的按规定执行。</w:t>
      </w:r>
    </w:p>
    <w:p w14:paraId="03B94C1F">
      <w:pPr>
        <w:pStyle w:val="208"/>
        <w:spacing w:beforeAutospacing="0" w:afterAutospacing="0" w:line="348" w:lineRule="auto"/>
        <w:ind w:firstLine="420"/>
        <w:jc w:val="both"/>
        <w:rPr>
          <w:rFonts w:hint="eastAsia" w:ascii="宋体" w:hAnsi="宋体" w:cs="宋体"/>
          <w:color w:val="auto"/>
          <w:sz w:val="21"/>
          <w:szCs w:val="21"/>
          <w:highlight w:val="none"/>
        </w:rPr>
      </w:pPr>
      <w:bookmarkStart w:id="102" w:name="_Hlt26670486"/>
      <w:bookmarkStart w:id="103" w:name="_Hlt26670482"/>
      <w:bookmarkStart w:id="104" w:name="_Hlt26954848"/>
      <w:bookmarkStart w:id="105" w:name="_Hlt26954846"/>
      <w:bookmarkStart w:id="106" w:name="_Hlt26954731"/>
      <w:r>
        <w:rPr>
          <w:rFonts w:hint="eastAsia" w:ascii="宋体" w:hAnsi="宋体" w:cs="宋体"/>
          <w:color w:val="auto"/>
          <w:sz w:val="21"/>
          <w:szCs w:val="21"/>
          <w:highlight w:val="none"/>
        </w:rPr>
        <w:t>13、技术要求响应及偏离表、商务要求响应及偏离表</w:t>
      </w:r>
    </w:p>
    <w:p w14:paraId="21BEDAC7">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13.1投标人需对招标文件中的技术要求与商务要求逐项作出响应或偏离，并说明原因。</w:t>
      </w:r>
    </w:p>
    <w:p w14:paraId="1E63CBB5">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13.2投标人可在投标文件中提供认为需要的其他技术文件或说明。</w:t>
      </w:r>
    </w:p>
    <w:p w14:paraId="4AFB8E13">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14、服务承诺、培训计划、人员安排及其他</w:t>
      </w:r>
    </w:p>
    <w:p w14:paraId="6700DADF">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14.1投标人需根据招标文件要求提供有关售后服务的管理制度，售后服务机构的分布情况，售后服务人员的数量、素质、技术水平及售后服务的反应能力等。</w:t>
      </w:r>
    </w:p>
    <w:p w14:paraId="242C00B3">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14.2投标人需根据招标文件要求提供培训计划。</w:t>
      </w:r>
    </w:p>
    <w:p w14:paraId="6982D8C3">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14.3投标人需根据招标文件要求提供所投标的的主要组成部分、功能设计、实现思路及关键技术等。</w:t>
      </w:r>
    </w:p>
    <w:p w14:paraId="67FBB262">
      <w:pPr>
        <w:pStyle w:val="208"/>
        <w:spacing w:beforeAutospacing="0" w:afterAutospacing="0" w:line="348" w:lineRule="auto"/>
        <w:ind w:firstLine="420"/>
        <w:jc w:val="both"/>
        <w:rPr>
          <w:rFonts w:hint="eastAsia" w:ascii="宋体" w:hAnsi="宋体" w:cs="宋体"/>
          <w:color w:val="auto"/>
          <w:sz w:val="21"/>
          <w:szCs w:val="21"/>
          <w:highlight w:val="none"/>
        </w:rPr>
      </w:pPr>
      <w:bookmarkStart w:id="107" w:name="_Toc14577359"/>
      <w:bookmarkStart w:id="108" w:name="_Toc49090510"/>
      <w:r>
        <w:rPr>
          <w:rFonts w:hint="eastAsia" w:ascii="宋体" w:hAnsi="宋体" w:cs="宋体"/>
          <w:color w:val="auto"/>
          <w:sz w:val="21"/>
          <w:szCs w:val="21"/>
          <w:highlight w:val="none"/>
        </w:rPr>
        <w:t>15、投标函和开标一览表</w:t>
      </w:r>
      <w:bookmarkEnd w:id="107"/>
      <w:bookmarkEnd w:id="108"/>
    </w:p>
    <w:p w14:paraId="135B25B8">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15.1投标人应按照招标文件中提供的格式完整、正确填写投标函、开标一览表。</w:t>
      </w:r>
    </w:p>
    <w:p w14:paraId="02B2B38D">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15.2对于采用货币报价的项目，开标一览表中的投标总报价应与投标分项报价表中的投标总报价一致，如不一致，不作为无效投标处理，但评标时按开标一览表中价格为准。</w:t>
      </w:r>
    </w:p>
    <w:p w14:paraId="27F8CDA9">
      <w:pPr>
        <w:pStyle w:val="208"/>
        <w:spacing w:beforeAutospacing="0" w:afterAutospacing="0" w:line="348" w:lineRule="auto"/>
        <w:ind w:firstLine="420"/>
        <w:jc w:val="both"/>
        <w:rPr>
          <w:rFonts w:hint="eastAsia" w:ascii="宋体" w:hAnsi="宋体" w:cs="宋体"/>
          <w:color w:val="auto"/>
          <w:sz w:val="21"/>
          <w:szCs w:val="21"/>
          <w:highlight w:val="none"/>
        </w:rPr>
      </w:pPr>
      <w:bookmarkStart w:id="109" w:name="_Toc14577360"/>
      <w:bookmarkStart w:id="110" w:name="_Toc49090511"/>
      <w:r>
        <w:rPr>
          <w:rFonts w:hint="eastAsia" w:ascii="宋体" w:hAnsi="宋体" w:cs="宋体"/>
          <w:color w:val="auto"/>
          <w:sz w:val="21"/>
          <w:szCs w:val="21"/>
          <w:highlight w:val="none"/>
        </w:rPr>
        <w:t>16、投标有效期</w:t>
      </w:r>
      <w:bookmarkEnd w:id="109"/>
      <w:bookmarkEnd w:id="110"/>
    </w:p>
    <w:p w14:paraId="39B1385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16.1投标有效期为采购代理机构规定的开标之日后</w:t>
      </w:r>
      <w:r>
        <w:rPr>
          <w:rFonts w:hint="eastAsia" w:ascii="宋体" w:hAnsi="宋体" w:cs="宋体"/>
          <w:b/>
          <w:color w:val="auto"/>
          <w:sz w:val="21"/>
          <w:szCs w:val="21"/>
          <w:highlight w:val="none"/>
          <w:u w:val="single"/>
        </w:rPr>
        <w:t>九十（90）天</w:t>
      </w:r>
      <w:r>
        <w:rPr>
          <w:rFonts w:hint="eastAsia" w:ascii="宋体" w:hAnsi="宋体" w:cs="宋体"/>
          <w:color w:val="auto"/>
          <w:sz w:val="21"/>
          <w:szCs w:val="21"/>
          <w:highlight w:val="none"/>
        </w:rPr>
        <w:t>。投标有效期比规定短的将被视为未实质性响应招标文件而予以拒绝。</w:t>
      </w:r>
    </w:p>
    <w:p w14:paraId="41B16FA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17、投标有效期的延长</w:t>
      </w:r>
    </w:p>
    <w:p w14:paraId="6FBC9384">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2EB7B93D">
      <w:pPr>
        <w:pStyle w:val="208"/>
        <w:keepNext/>
        <w:keepLines/>
        <w:spacing w:before="145" w:beforeAutospacing="0" w:after="145" w:afterAutospacing="0" w:line="348" w:lineRule="auto"/>
        <w:ind w:firstLine="422"/>
        <w:jc w:val="both"/>
        <w:rPr>
          <w:rFonts w:hint="eastAsia" w:ascii="宋体" w:hAnsi="宋体" w:cs="宋体"/>
          <w:color w:val="auto"/>
          <w:sz w:val="21"/>
          <w:szCs w:val="21"/>
          <w:highlight w:val="none"/>
        </w:rPr>
      </w:pPr>
      <w:bookmarkStart w:id="111" w:name="_Toc20823296"/>
      <w:bookmarkStart w:id="112" w:name="_Toc513029224"/>
      <w:bookmarkStart w:id="113" w:name="_Toc120614217"/>
      <w:bookmarkStart w:id="114" w:name="_Toc16938540"/>
      <w:bookmarkStart w:id="115" w:name="_Hlt26954852"/>
      <w:bookmarkStart w:id="116" w:name="_Hlt26954739"/>
      <w:r>
        <w:rPr>
          <w:rFonts w:hint="eastAsia" w:ascii="宋体" w:hAnsi="宋体" w:cs="宋体"/>
          <w:b/>
          <w:color w:val="auto"/>
          <w:sz w:val="21"/>
          <w:szCs w:val="21"/>
          <w:highlight w:val="none"/>
        </w:rPr>
        <w:t>四、投标文件的递交</w:t>
      </w:r>
      <w:bookmarkEnd w:id="111"/>
      <w:bookmarkEnd w:id="112"/>
      <w:bookmarkEnd w:id="113"/>
      <w:bookmarkEnd w:id="114"/>
    </w:p>
    <w:p w14:paraId="6A4BFD0A">
      <w:pPr>
        <w:pStyle w:val="208"/>
        <w:spacing w:beforeAutospacing="0" w:afterAutospacing="0" w:line="348" w:lineRule="auto"/>
        <w:ind w:firstLine="420"/>
        <w:jc w:val="both"/>
        <w:rPr>
          <w:rFonts w:hint="eastAsia" w:ascii="宋体" w:hAnsi="宋体" w:cs="宋体"/>
          <w:color w:val="auto"/>
          <w:sz w:val="21"/>
          <w:szCs w:val="21"/>
          <w:highlight w:val="none"/>
        </w:rPr>
      </w:pPr>
      <w:bookmarkStart w:id="117" w:name="_Toc462564084"/>
      <w:bookmarkStart w:id="118" w:name="_Toc20823297"/>
      <w:bookmarkStart w:id="119" w:name="_Toc16938541"/>
      <w:bookmarkStart w:id="120" w:name="_Toc513029225"/>
      <w:r>
        <w:rPr>
          <w:rFonts w:hint="eastAsia" w:ascii="宋体" w:hAnsi="宋体" w:cs="宋体"/>
          <w:color w:val="auto"/>
          <w:sz w:val="21"/>
          <w:szCs w:val="21"/>
          <w:highlight w:val="none"/>
        </w:rPr>
        <w:t>18、电子投标文件</w:t>
      </w:r>
      <w:bookmarkEnd w:id="117"/>
      <w:bookmarkEnd w:id="118"/>
      <w:bookmarkEnd w:id="119"/>
      <w:bookmarkEnd w:id="120"/>
      <w:r>
        <w:rPr>
          <w:rFonts w:hint="eastAsia" w:ascii="宋体" w:hAnsi="宋体" w:cs="宋体"/>
          <w:color w:val="auto"/>
          <w:sz w:val="21"/>
          <w:szCs w:val="21"/>
          <w:highlight w:val="none"/>
        </w:rPr>
        <w:t>的递交</w:t>
      </w:r>
    </w:p>
    <w:p w14:paraId="74838EF8">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18.1投标人应当按照《操作手册》规定，在投标截止时间前制作并上传电子投标</w:t>
      </w:r>
    </w:p>
    <w:p w14:paraId="4131EA06">
      <w:pPr>
        <w:pStyle w:val="208"/>
        <w:spacing w:beforeAutospacing="0" w:afterAutospacing="0" w:line="348"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文件。</w:t>
      </w:r>
      <w:bookmarkStart w:id="121" w:name="_Toc20823298"/>
      <w:bookmarkEnd w:id="121"/>
      <w:bookmarkStart w:id="122" w:name="_Toc16938542"/>
      <w:bookmarkEnd w:id="122"/>
      <w:bookmarkStart w:id="123" w:name="_Toc513029226"/>
    </w:p>
    <w:p w14:paraId="2B4F1FCF">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19、投标截止日期</w:t>
      </w:r>
    </w:p>
    <w:p w14:paraId="552FFC9F">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i/>
          <w:color w:val="auto"/>
          <w:sz w:val="21"/>
          <w:szCs w:val="21"/>
          <w:highlight w:val="none"/>
          <w:u w:val="single"/>
        </w:rPr>
        <w:t>19.1投标人上传电子投标文件的时间不得迟于招标公告中规定的投标截止时间。</w:t>
      </w:r>
    </w:p>
    <w:p w14:paraId="0F2148B2">
      <w:pPr>
        <w:pStyle w:val="208"/>
        <w:spacing w:beforeAutospacing="0" w:afterAutospacing="0" w:line="348" w:lineRule="auto"/>
        <w:ind w:firstLine="48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投标人应充分考虑到网络环境、网络带宽等风险因素，如因投标人自身原因造成的电子投标文件上传不成功的按照本招标文件第二章第27.1.2条规定做无效投标处理。</w:t>
      </w:r>
    </w:p>
    <w:p w14:paraId="325B0540">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19.2采购代理机构可以按照规定，通过修改招标文件酌情延长投标截止日期，在此情况下，投标人的所有权利和义务以及投标人受制的截止日期均应以延长后新的截止日期为准。</w:t>
      </w:r>
    </w:p>
    <w:p w14:paraId="1359529F">
      <w:pPr>
        <w:pStyle w:val="208"/>
        <w:keepNext/>
        <w:keepLines/>
        <w:spacing w:beforeAutospacing="0" w:afterAutospacing="0" w:line="348" w:lineRule="auto"/>
        <w:ind w:firstLine="420"/>
        <w:jc w:val="both"/>
        <w:rPr>
          <w:rFonts w:hint="eastAsia" w:ascii="宋体" w:hAnsi="宋体" w:cs="宋体"/>
          <w:color w:val="auto"/>
          <w:sz w:val="21"/>
          <w:szCs w:val="21"/>
          <w:highlight w:val="none"/>
        </w:rPr>
      </w:pPr>
      <w:bookmarkStart w:id="124" w:name="_Toc513029227"/>
      <w:bookmarkStart w:id="125" w:name="_Toc16938543"/>
      <w:bookmarkStart w:id="126" w:name="_Toc20823299"/>
      <w:r>
        <w:rPr>
          <w:rFonts w:hint="eastAsia" w:ascii="宋体" w:hAnsi="宋体" w:cs="宋体"/>
          <w:color w:val="auto"/>
          <w:sz w:val="21"/>
          <w:szCs w:val="21"/>
          <w:highlight w:val="none"/>
        </w:rPr>
        <w:t>20、投标文件</w:t>
      </w:r>
      <w:bookmarkEnd w:id="124"/>
      <w:bookmarkEnd w:id="125"/>
      <w:bookmarkEnd w:id="126"/>
      <w:r>
        <w:rPr>
          <w:rFonts w:hint="eastAsia" w:ascii="宋体" w:hAnsi="宋体" w:cs="宋体"/>
          <w:color w:val="auto"/>
          <w:sz w:val="21"/>
          <w:szCs w:val="21"/>
          <w:highlight w:val="none"/>
        </w:rPr>
        <w:t>的拒收</w:t>
      </w:r>
    </w:p>
    <w:p w14:paraId="059DAE4F">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20.1采购代理机构拒绝接收在其规定的投标截止时间后上传的任何投标文件。</w:t>
      </w:r>
    </w:p>
    <w:p w14:paraId="0150E0D5">
      <w:pPr>
        <w:pStyle w:val="208"/>
        <w:spacing w:beforeAutospacing="0" w:afterAutospacing="0" w:line="348" w:lineRule="auto"/>
        <w:ind w:firstLine="420"/>
        <w:jc w:val="both"/>
        <w:rPr>
          <w:rFonts w:hint="eastAsia" w:ascii="宋体" w:hAnsi="宋体" w:cs="宋体"/>
          <w:color w:val="auto"/>
          <w:sz w:val="21"/>
          <w:szCs w:val="21"/>
          <w:highlight w:val="none"/>
        </w:rPr>
      </w:pPr>
      <w:bookmarkStart w:id="127" w:name="_Toc20823300"/>
      <w:bookmarkStart w:id="128" w:name="_Toc16938544"/>
      <w:bookmarkStart w:id="129" w:name="_Toc513029228"/>
      <w:r>
        <w:rPr>
          <w:rFonts w:hint="eastAsia" w:ascii="宋体" w:hAnsi="宋体" w:cs="宋体"/>
          <w:color w:val="auto"/>
          <w:sz w:val="21"/>
          <w:szCs w:val="21"/>
          <w:highlight w:val="none"/>
        </w:rPr>
        <w:t>21、投标文件的撤回和修改</w:t>
      </w:r>
      <w:bookmarkEnd w:id="127"/>
      <w:bookmarkEnd w:id="128"/>
      <w:bookmarkEnd w:id="129"/>
    </w:p>
    <w:p w14:paraId="0466A705">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21.1投标文件的撤回</w:t>
      </w:r>
    </w:p>
    <w:p w14:paraId="6DF83A5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21.1.1电子投标文件的撤回</w:t>
      </w:r>
    </w:p>
    <w:p w14:paraId="27A7C490">
      <w:pPr>
        <w:pStyle w:val="208"/>
        <w:spacing w:beforeAutospacing="0" w:afterAutospacing="0" w:line="348" w:lineRule="auto"/>
        <w:ind w:firstLine="48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投标人可在投标截止时间前，撤回其电子投标文件，具体操作方法见《操作手册》。</w:t>
      </w:r>
    </w:p>
    <w:p w14:paraId="754A1AAE">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21.1.2投标人撤回电子投标文件，则认为其不再参与本项目投标活动。</w:t>
      </w:r>
    </w:p>
    <w:p w14:paraId="23F0A8B8">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21.2投标文件的修改</w:t>
      </w:r>
    </w:p>
    <w:p w14:paraId="60D317D8">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21.2.1投标人可在投标截止时间前，对其电子投标文件进行修改，具体操作方法见《操作手册》。</w:t>
      </w:r>
    </w:p>
    <w:p w14:paraId="04F8159F">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21.2.2在投标截止时间之后，投标人不得对其电子投标文件作任何修改。</w:t>
      </w:r>
    </w:p>
    <w:p w14:paraId="61F90075">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21.3在投标截止时间至招标文件中规定的投标有效期满之间的这段时间内，投标人不得撤回其投标。</w:t>
      </w:r>
    </w:p>
    <w:p w14:paraId="55A95378">
      <w:pPr>
        <w:pStyle w:val="208"/>
        <w:spacing w:beforeAutospacing="0" w:afterAutospacing="0" w:line="348" w:lineRule="auto"/>
        <w:ind w:firstLine="422"/>
        <w:jc w:val="both"/>
        <w:rPr>
          <w:rFonts w:hint="eastAsia" w:ascii="宋体" w:hAnsi="宋体" w:cs="宋体"/>
          <w:color w:val="auto"/>
          <w:sz w:val="21"/>
          <w:szCs w:val="21"/>
          <w:highlight w:val="none"/>
        </w:rPr>
      </w:pPr>
      <w:bookmarkStart w:id="130" w:name="_Toc120614218"/>
      <w:bookmarkStart w:id="131" w:name="_Toc513029229"/>
      <w:bookmarkStart w:id="132" w:name="_Toc20823301"/>
      <w:bookmarkStart w:id="133" w:name="_Toc16938545"/>
      <w:r>
        <w:rPr>
          <w:rFonts w:hint="eastAsia" w:ascii="宋体" w:hAnsi="宋体" w:cs="宋体"/>
          <w:b/>
          <w:color w:val="auto"/>
          <w:sz w:val="21"/>
          <w:szCs w:val="21"/>
          <w:highlight w:val="none"/>
        </w:rPr>
        <w:t>五、开标与评标</w:t>
      </w:r>
      <w:bookmarkEnd w:id="130"/>
      <w:bookmarkEnd w:id="131"/>
      <w:bookmarkEnd w:id="132"/>
      <w:bookmarkEnd w:id="133"/>
    </w:p>
    <w:p w14:paraId="70104E6F">
      <w:pPr>
        <w:pStyle w:val="208"/>
        <w:spacing w:beforeAutospacing="0" w:afterAutospacing="0" w:line="348" w:lineRule="auto"/>
        <w:ind w:firstLine="420"/>
        <w:jc w:val="both"/>
        <w:rPr>
          <w:rFonts w:hint="eastAsia" w:ascii="宋体" w:hAnsi="宋体" w:cs="宋体"/>
          <w:color w:val="auto"/>
          <w:sz w:val="21"/>
          <w:szCs w:val="21"/>
          <w:highlight w:val="none"/>
        </w:rPr>
      </w:pPr>
      <w:bookmarkStart w:id="134" w:name="_Toc16938546"/>
      <w:bookmarkStart w:id="135" w:name="_Toc513029230"/>
      <w:bookmarkStart w:id="136" w:name="_Toc20823302"/>
      <w:r>
        <w:rPr>
          <w:rFonts w:hint="eastAsia" w:ascii="宋体" w:hAnsi="宋体" w:cs="宋体"/>
          <w:color w:val="auto"/>
          <w:sz w:val="21"/>
          <w:szCs w:val="21"/>
          <w:highlight w:val="none"/>
        </w:rPr>
        <w:t>22、开标</w:t>
      </w:r>
      <w:bookmarkEnd w:id="134"/>
      <w:bookmarkEnd w:id="135"/>
      <w:bookmarkEnd w:id="136"/>
    </w:p>
    <w:p w14:paraId="4F436874">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22.1采购代理机构将在招标公告中规定的时间和地点组织公开开标。投标人应当按照《操作手册》规定，参加开标活动和在苏采云系统规定的时间内对投标文件进行解密。</w:t>
      </w:r>
    </w:p>
    <w:p w14:paraId="59F246BF">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22.2开标仪式由采购代理机构组织。苏采云系统将自动对项目进行开标，并宣布各投标人名称和投标价格。</w:t>
      </w:r>
    </w:p>
    <w:p w14:paraId="59B056EB">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22.3投标人在开标过程中涉及到的投标文件解密、开标结果确认等工作，应按照《操作手册》规定执行。</w:t>
      </w:r>
    </w:p>
    <w:p w14:paraId="433EF7E8">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22.4投标人如果对开标过程和开标记录有疑义，应当根据《操作手册》规定提出，如 苏采云系统中《开标记录表》宣布后5分钟内未提出的，视同认可开标结果。</w:t>
      </w:r>
    </w:p>
    <w:p w14:paraId="48DC33D2">
      <w:pPr>
        <w:pStyle w:val="208"/>
        <w:spacing w:beforeAutospacing="0" w:afterAutospacing="0" w:line="348" w:lineRule="auto"/>
        <w:ind w:firstLine="420"/>
        <w:jc w:val="both"/>
        <w:rPr>
          <w:rFonts w:hint="eastAsia" w:ascii="宋体" w:hAnsi="宋体" w:cs="宋体"/>
          <w:color w:val="auto"/>
          <w:sz w:val="21"/>
          <w:szCs w:val="21"/>
          <w:highlight w:val="none"/>
        </w:rPr>
      </w:pPr>
      <w:bookmarkStart w:id="137" w:name="_Toc513029231"/>
      <w:bookmarkStart w:id="138" w:name="_Toc20823303"/>
      <w:bookmarkStart w:id="139" w:name="_Toc16938547"/>
      <w:r>
        <w:rPr>
          <w:rFonts w:hint="eastAsia" w:ascii="宋体" w:hAnsi="宋体" w:cs="宋体"/>
          <w:color w:val="auto"/>
          <w:sz w:val="21"/>
          <w:szCs w:val="21"/>
          <w:highlight w:val="none"/>
        </w:rPr>
        <w:t>23、评标委员会</w:t>
      </w:r>
      <w:bookmarkEnd w:id="137"/>
      <w:bookmarkEnd w:id="138"/>
      <w:bookmarkEnd w:id="139"/>
    </w:p>
    <w:p w14:paraId="13F0C8E4">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23.1开标后，采购代理机构将立即组织评标委员会（以下简称评委会）进行评标。</w:t>
      </w:r>
    </w:p>
    <w:p w14:paraId="138DB9FF">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23.2评委会由采购人代表和有关技术、经济等方面的专家组成，且人员构成符合政府采购有关规定。</w:t>
      </w:r>
    </w:p>
    <w:p w14:paraId="7338395F">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23.3评委会独立工作，负责评审所有投标文件并确定中标候选人。</w:t>
      </w:r>
    </w:p>
    <w:p w14:paraId="6926C87A">
      <w:pPr>
        <w:pStyle w:val="208"/>
        <w:keepNext/>
        <w:keepLines/>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24．评标过程的保密与公正</w:t>
      </w:r>
    </w:p>
    <w:p w14:paraId="208004FC">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24.1凡是与审查、澄清、评价和比较投标的有关资料以及授标建议等，采购人、评委、采购代理机构均不得向投标人或与评标无关的其他人员透露。</w:t>
      </w:r>
    </w:p>
    <w:p w14:paraId="34E57043">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24.2在评标过程中，投标人不得以任何行为影响评标过程，否则其投标文件将被作为无效投标文件。</w:t>
      </w:r>
    </w:p>
    <w:p w14:paraId="34DB5BB8">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24.3采购代理机构和评标委员会不向未中标的投标人解释未中标原因，也不公布评标过程中的相关细节。</w:t>
      </w:r>
    </w:p>
    <w:p w14:paraId="2AB2E499">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24.4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p>
    <w:p w14:paraId="5D9DE95E">
      <w:pPr>
        <w:pStyle w:val="208"/>
        <w:spacing w:beforeAutospacing="0" w:afterAutospacing="0" w:line="348" w:lineRule="auto"/>
        <w:ind w:firstLine="420"/>
        <w:jc w:val="both"/>
        <w:rPr>
          <w:rFonts w:hint="eastAsia" w:ascii="宋体" w:hAnsi="宋体" w:cs="宋体"/>
          <w:color w:val="auto"/>
          <w:sz w:val="21"/>
          <w:szCs w:val="21"/>
          <w:highlight w:val="none"/>
        </w:rPr>
      </w:pPr>
      <w:bookmarkStart w:id="140" w:name="_Toc513029232"/>
      <w:bookmarkStart w:id="141" w:name="_Toc16938548"/>
      <w:bookmarkStart w:id="142" w:name="_Toc20823304"/>
      <w:r>
        <w:rPr>
          <w:rFonts w:hint="eastAsia" w:ascii="宋体" w:hAnsi="宋体" w:cs="宋体"/>
          <w:color w:val="auto"/>
          <w:sz w:val="21"/>
          <w:szCs w:val="21"/>
          <w:highlight w:val="none"/>
        </w:rPr>
        <w:t>25．投标文件的澄清</w:t>
      </w:r>
      <w:bookmarkEnd w:id="140"/>
      <w:bookmarkEnd w:id="141"/>
      <w:bookmarkEnd w:id="142"/>
    </w:p>
    <w:p w14:paraId="4F19CF14">
      <w:pPr>
        <w:pStyle w:val="208"/>
        <w:spacing w:beforeAutospacing="0" w:afterAutospacing="0" w:line="348" w:lineRule="auto"/>
        <w:ind w:firstLine="420"/>
        <w:jc w:val="both"/>
        <w:rPr>
          <w:rFonts w:hint="eastAsia" w:ascii="宋体" w:hAnsi="宋体" w:cs="宋体"/>
          <w:color w:val="auto"/>
          <w:sz w:val="21"/>
          <w:szCs w:val="21"/>
          <w:highlight w:val="none"/>
        </w:rPr>
      </w:pPr>
      <w:bookmarkStart w:id="143" w:name="_Toc16938549"/>
      <w:bookmarkStart w:id="144" w:name="_Toc513029233"/>
      <w:bookmarkStart w:id="145" w:name="_Toc20823305"/>
      <w:r>
        <w:rPr>
          <w:rFonts w:hint="eastAsia" w:ascii="宋体" w:hAnsi="宋体" w:cs="宋体"/>
          <w:color w:val="auto"/>
          <w:sz w:val="21"/>
          <w:szCs w:val="21"/>
          <w:highlight w:val="none"/>
        </w:rPr>
        <w:t>25.1评标期间，评委会对投标文件中含义不明确、同类问题表述不一致或者有明显文字和计算错误的内容，有权要求投标人作出必要的澄清、说明或者补正。</w:t>
      </w:r>
      <w:bookmarkEnd w:id="143"/>
      <w:bookmarkEnd w:id="144"/>
      <w:bookmarkEnd w:id="145"/>
    </w:p>
    <w:p w14:paraId="69C31F54">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投标人的澄清、说明或者补正不得超出投标文件的范围或者改变投标文件的实质性内容。</w:t>
      </w:r>
    </w:p>
    <w:p w14:paraId="18EC3349">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评标委员会并非对每个投标人都做澄清要求。</w:t>
      </w:r>
    </w:p>
    <w:p w14:paraId="7B489D78">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175CF20">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25.3接到评委会澄清、说明和补正要求的投标人如未按规定作出澄清、说明和补正，其风险由投标人自行承担。</w:t>
      </w:r>
    </w:p>
    <w:p w14:paraId="6BA25553">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26、对投标文件的初审</w:t>
      </w:r>
    </w:p>
    <w:p w14:paraId="3405E8A1">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26.1投标文件初审分为资格审查和符合性审查。</w:t>
      </w:r>
    </w:p>
    <w:p w14:paraId="40BE8E1E">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26.1.1资格审查：依据法律法规和招标文件的规定，由采购人对投标文件中的资格证明文件进行审查。资格审查的结论，采购人以书面形式向评委会进行反馈。</w:t>
      </w:r>
    </w:p>
    <w:p w14:paraId="2B3B374B">
      <w:pPr>
        <w:pStyle w:val="208"/>
        <w:spacing w:beforeAutospacing="0" w:afterAutospacing="0" w:line="348" w:lineRule="auto"/>
        <w:ind w:firstLine="48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采购人在进行资格性审查的同时，将在“信用中国”网站（www.creditchina.gov.cn）查询投标人的信用记录，以确定投标人是否具备投标资格,查询结果留存并归档。</w:t>
      </w:r>
    </w:p>
    <w:p w14:paraId="793F48C3">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33FD32B5">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26.1.2符合性审查：依据招标文件的规定，由评委会从投标文件的有效性、完整性和对招标文件的响应程度进行审查，以确定是否对招标文件的实质性要求作出响应。</w:t>
      </w:r>
    </w:p>
    <w:p w14:paraId="587E3D3E">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26.1.3未通过资格审查或符合性审查的投标人，采购代理机构将在苏采云系统中告知未通过资格审查或符合性审查的原因，评审结束后，采购代理机构将不再告知未通过资格审查或符合性审查的原因。</w:t>
      </w:r>
    </w:p>
    <w:p w14:paraId="7DB97227">
      <w:pPr>
        <w:pStyle w:val="208"/>
        <w:spacing w:beforeAutospacing="0" w:afterAutospacing="0" w:line="348" w:lineRule="auto"/>
        <w:ind w:firstLine="48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0E92AF1E">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F7646CD">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26.3如果投标文件实质上没有响应招标文件的要求，评委会将予以拒绝，投标人不得通过修改或撤销不符合要求的偏离或保留而使其投标成为实质性响应的投标。</w:t>
      </w:r>
    </w:p>
    <w:p w14:paraId="1D0E0946">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26.4评委会将对确定为实质性响应的投标进行进一步审核，看其是否有计算上或累加上的算术错误，修正错误的原则如下：</w:t>
      </w:r>
    </w:p>
    <w:p w14:paraId="410A427D">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（1）投标文件中开标一览表内容与投标文件中相应内容不一致的，以开标一览表为准。</w:t>
      </w:r>
    </w:p>
    <w:p w14:paraId="6FBF04CB">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（2）大写金额和小写金额不一致的，以大写金额为准。</w:t>
      </w:r>
    </w:p>
    <w:p w14:paraId="3710E767">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（3）单价金额小数点或者百分比有明显错位的，以开标一览表的总价为准，并修改单价。</w:t>
      </w:r>
    </w:p>
    <w:p w14:paraId="25C753F0">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（4）总价金额与按单价汇总金额不一致的，以单价金额计算结果为准。</w:t>
      </w:r>
    </w:p>
    <w:p w14:paraId="7851F6BC">
      <w:pPr>
        <w:pStyle w:val="208"/>
        <w:spacing w:beforeAutospacing="0" w:afterAutospacing="0" w:line="348" w:lineRule="auto"/>
        <w:ind w:firstLine="48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同时出现两种以上错误的，按照前款规定的顺序修正。</w:t>
      </w:r>
    </w:p>
    <w:p w14:paraId="170B6869">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795060A5">
      <w:pPr>
        <w:pStyle w:val="208"/>
        <w:spacing w:beforeAutospacing="0" w:afterAutospacing="0" w:line="348" w:lineRule="auto"/>
        <w:ind w:firstLine="420"/>
        <w:jc w:val="both"/>
        <w:rPr>
          <w:rFonts w:hint="eastAsia" w:ascii="宋体" w:hAnsi="宋体" w:cs="宋体"/>
          <w:color w:val="auto"/>
          <w:sz w:val="21"/>
          <w:szCs w:val="21"/>
          <w:highlight w:val="none"/>
        </w:rPr>
      </w:pPr>
      <w:bookmarkStart w:id="146" w:name="_Toc16938550"/>
      <w:bookmarkStart w:id="147" w:name="_Toc513029234"/>
      <w:bookmarkStart w:id="148" w:name="_Toc20823306"/>
      <w:r>
        <w:rPr>
          <w:rFonts w:hint="eastAsia" w:ascii="宋体" w:hAnsi="宋体" w:cs="宋体"/>
          <w:color w:val="auto"/>
          <w:sz w:val="21"/>
          <w:szCs w:val="21"/>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6"/>
      <w:bookmarkEnd w:id="147"/>
      <w:bookmarkEnd w:id="148"/>
    </w:p>
    <w:p w14:paraId="7A6D22BB">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18393F2D">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非单一产品采购项目，招标文件中将载明其中的核心产品。多家投标人提供的核心产品品牌相同的，按前两款规定处理。</w:t>
      </w:r>
    </w:p>
    <w:p w14:paraId="1A20AD9A">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26.7投标人在开、评标全过程中应保持通信畅通，及时登录苏采云系统查阅、答复相关信息，并安排专人与采购代理机构及评标委员会联系。</w:t>
      </w:r>
    </w:p>
    <w:p w14:paraId="37BBDB04">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27、无效投标条款和废标条款</w:t>
      </w:r>
    </w:p>
    <w:p w14:paraId="408BB5B5">
      <w:pPr>
        <w:pStyle w:val="208"/>
        <w:spacing w:beforeAutospacing="0" w:afterAutospacing="0" w:line="348" w:lineRule="auto"/>
        <w:ind w:firstLine="420"/>
        <w:jc w:val="both"/>
        <w:rPr>
          <w:rFonts w:hint="eastAsia" w:ascii="宋体" w:hAnsi="宋体" w:cs="宋体"/>
          <w:color w:val="auto"/>
          <w:sz w:val="21"/>
          <w:szCs w:val="21"/>
          <w:highlight w:val="none"/>
        </w:rPr>
      </w:pPr>
      <w:bookmarkStart w:id="149" w:name="_Toc20823307"/>
      <w:bookmarkStart w:id="150" w:name="_Toc513029235"/>
      <w:bookmarkStart w:id="151" w:name="_Toc16938551"/>
      <w:r>
        <w:rPr>
          <w:rFonts w:hint="eastAsia" w:ascii="宋体" w:hAnsi="宋体" w:cs="宋体"/>
          <w:color w:val="auto"/>
          <w:sz w:val="21"/>
          <w:szCs w:val="21"/>
          <w:highlight w:val="none"/>
        </w:rPr>
        <w:t>27.1无效投标条款</w:t>
      </w:r>
      <w:bookmarkEnd w:id="149"/>
      <w:bookmarkEnd w:id="150"/>
      <w:bookmarkEnd w:id="151"/>
    </w:p>
    <w:p w14:paraId="6F9A2BE5">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27.1.1投标人在苏采云系统规定的时间内未成功解密电子投标文件的。</w:t>
      </w:r>
    </w:p>
    <w:p w14:paraId="7547256B">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27.1.2投标人未按照招标文件要求上传电子投标文件的。</w:t>
      </w:r>
    </w:p>
    <w:p w14:paraId="06F0697A">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27.1.3同一投标人提交两个（含两个）以上不同的投标报价的。</w:t>
      </w:r>
    </w:p>
    <w:p w14:paraId="43E01873">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27.1.4投标人不具备招标文件中规定资格要求的。</w:t>
      </w:r>
    </w:p>
    <w:p w14:paraId="53FCE36C">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27.1.5投标人的报价超过了采购预算或最高限价的。</w:t>
      </w:r>
    </w:p>
    <w:p w14:paraId="417E61B4">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27.1.6未通过符合性审查的。</w:t>
      </w:r>
    </w:p>
    <w:p w14:paraId="57749874">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27.1.7不符合招标文件中规定的实质性要求和条件的（</w:t>
      </w:r>
      <w:r>
        <w:rPr>
          <w:rFonts w:hint="eastAsia" w:ascii="宋体" w:hAnsi="宋体" w:cs="宋体"/>
          <w:i/>
          <w:color w:val="auto"/>
          <w:sz w:val="21"/>
          <w:szCs w:val="21"/>
          <w:highlight w:val="none"/>
          <w:u w:val="single"/>
        </w:rPr>
        <w:t>本招标文件中斜体且有下划线部分为实质性要求和条件）。</w:t>
      </w:r>
    </w:p>
    <w:p w14:paraId="6CFFA173">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870B331">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27.1.9投标文件含有采购人不能接受的附加条件的。</w:t>
      </w:r>
    </w:p>
    <w:p w14:paraId="64821E80">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27.1.10投标人不能证明其报价合理性的，评标委员会应当将其作为无效投标处理。</w:t>
      </w:r>
    </w:p>
    <w:p w14:paraId="5A3D56A7">
      <w:pPr>
        <w:pStyle w:val="208"/>
        <w:spacing w:beforeAutospacing="0" w:afterAutospacing="0" w:line="348" w:lineRule="auto"/>
        <w:ind w:firstLine="420"/>
        <w:jc w:val="both"/>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（一）评审过程中出现下列情形之一的，评标委员会应当启动异常低价投标审查程序：</w:t>
      </w:r>
    </w:p>
    <w:p w14:paraId="69464E52">
      <w:pPr>
        <w:pStyle w:val="208"/>
        <w:spacing w:beforeAutospacing="0" w:afterAutospacing="0" w:line="348" w:lineRule="auto"/>
        <w:ind w:firstLine="420"/>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1.投标（响应）报价低于全部通过符合性审查供应商投标（响应）报价平均值50%的，即投标（响应）报价&lt;全部通过符合性审查供应商投标（响应）报价平均值×50%；</w:t>
      </w:r>
    </w:p>
    <w:p w14:paraId="5876E992">
      <w:pPr>
        <w:pStyle w:val="208"/>
        <w:spacing w:beforeAutospacing="0" w:afterAutospacing="0" w:line="348" w:lineRule="auto"/>
        <w:ind w:firstLine="420"/>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2.投标（响应）报价低于通过符合性审查的次低报价供应商投标（响应）报价50%的，即投标（响应）报价&lt;通过符合性审查的次低报价供应商投标（响应）报价×50%；</w:t>
      </w:r>
    </w:p>
    <w:p w14:paraId="065AF7F8">
      <w:pPr>
        <w:pStyle w:val="208"/>
        <w:spacing w:beforeAutospacing="0" w:afterAutospacing="0" w:line="348" w:lineRule="auto"/>
        <w:ind w:firstLine="420"/>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3.投标（响应）报价低于采购项目最高限价45%的，即投标（响应）报价&lt;采购项目最高限价×45%；</w:t>
      </w:r>
    </w:p>
    <w:p w14:paraId="2603F56B">
      <w:pPr>
        <w:pStyle w:val="208"/>
        <w:spacing w:beforeAutospacing="0" w:afterAutospacing="0" w:line="348" w:lineRule="auto"/>
        <w:ind w:firstLine="420"/>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4.评审委员会基于专业判断，认为供应商报价过低，有可能影响产品质量或者不能诚信履约的其他情形。</w:t>
      </w:r>
    </w:p>
    <w:p w14:paraId="49D1E330">
      <w:pPr>
        <w:pStyle w:val="208"/>
        <w:spacing w:beforeAutospacing="0" w:afterAutospacing="0" w:line="348" w:lineRule="auto"/>
        <w:ind w:firstLine="420"/>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u w:val="single"/>
          <w:lang w:val="en-US" w:eastAsia="zh-CN"/>
        </w:rPr>
        <w:t>提醒：采购人可以结合具体项目实际情况，提高上述第1项至第3项中启动异常低价投标（响应）审查的数值标准，但是最高不得超过65%。</w:t>
      </w:r>
    </w:p>
    <w:p w14:paraId="74787830">
      <w:pPr>
        <w:pStyle w:val="208"/>
        <w:spacing w:beforeAutospacing="0" w:afterAutospacing="0" w:line="348" w:lineRule="auto"/>
        <w:ind w:firstLine="420"/>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相关法律法规对供应商报价有规定的，从其规定。</w:t>
      </w:r>
    </w:p>
    <w:p w14:paraId="303D1068">
      <w:pPr>
        <w:pStyle w:val="208"/>
        <w:spacing w:beforeAutospacing="0" w:afterAutospacing="0" w:line="348" w:lineRule="auto"/>
        <w:ind w:firstLine="420"/>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46BE26C">
      <w:pPr>
        <w:pStyle w:val="208"/>
        <w:spacing w:beforeAutospacing="0" w:afterAutospacing="0" w:line="348" w:lineRule="auto"/>
        <w:ind w:firstLine="420"/>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25CA946">
      <w:pPr>
        <w:pStyle w:val="208"/>
        <w:spacing w:beforeAutospacing="0" w:afterAutospacing="0" w:line="348" w:lineRule="auto"/>
        <w:ind w:firstLine="420"/>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5CD3202">
      <w:pPr>
        <w:pStyle w:val="208"/>
        <w:spacing w:beforeAutospacing="0" w:afterAutospacing="0" w:line="348" w:lineRule="auto"/>
        <w:ind w:firstLine="420"/>
        <w:jc w:val="both"/>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27131D98">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3D7E20E5">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27.1.12投标文件未按照招标文件要求加盖CA电子公章的。</w:t>
      </w:r>
    </w:p>
    <w:p w14:paraId="76CCAF0E">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27.1.13其他法律、法规及本招标文件规定的属无效投标的情形。</w:t>
      </w:r>
    </w:p>
    <w:p w14:paraId="0F438488">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27.2废标条款</w:t>
      </w:r>
    </w:p>
    <w:p w14:paraId="7F7BD8EC">
      <w:pPr>
        <w:pStyle w:val="208"/>
        <w:spacing w:beforeAutospacing="0" w:afterAutospacing="0" w:line="348" w:lineRule="auto"/>
        <w:ind w:left="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27.2.1符合专业条件的供应商或者对招标文件作实质响应的供应商不足三家的。27.2.2出现影响采购公正的违法、违规行为的。</w:t>
      </w:r>
    </w:p>
    <w:p w14:paraId="59EE5E01">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27.2.3因重大变故，采购任务取消的。</w:t>
      </w:r>
    </w:p>
    <w:p w14:paraId="542F4D73">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27.2.4评标委员会认定招标文件存在歧义、重大缺陷导致评审工作无法进行。</w:t>
      </w:r>
    </w:p>
    <w:p w14:paraId="5510A533">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27.2.5因苏采云系统故障原因造成开标不成功的。</w:t>
      </w:r>
    </w:p>
    <w:p w14:paraId="13E39208">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27.3投标截止时间结束后参加投标的供应商不足三家的处理：</w:t>
      </w:r>
    </w:p>
    <w:p w14:paraId="67EE3808">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27.3.1如出现投标截止时间结束后参加投标的供应商或者在评标期间对招标文件做出实质响应的供应商不足三家情况，按政府采购相关规定执行。</w:t>
      </w:r>
    </w:p>
    <w:p w14:paraId="523E0A4F">
      <w:pPr>
        <w:pStyle w:val="208"/>
        <w:spacing w:beforeAutospacing="0" w:afterAutospacing="0" w:line="348" w:lineRule="auto"/>
        <w:ind w:firstLine="422"/>
        <w:jc w:val="both"/>
        <w:rPr>
          <w:rFonts w:hint="eastAsia" w:ascii="宋体" w:hAnsi="宋体" w:cs="宋体"/>
          <w:color w:val="auto"/>
          <w:sz w:val="21"/>
          <w:szCs w:val="21"/>
          <w:highlight w:val="none"/>
        </w:rPr>
      </w:pPr>
      <w:bookmarkStart w:id="152" w:name="_Toc120614219"/>
      <w:r>
        <w:rPr>
          <w:rFonts w:hint="eastAsia" w:ascii="宋体" w:hAnsi="宋体" w:cs="宋体"/>
          <w:b/>
          <w:color w:val="auto"/>
          <w:sz w:val="21"/>
          <w:szCs w:val="21"/>
          <w:highlight w:val="none"/>
        </w:rPr>
        <w:t>六、定标</w:t>
      </w:r>
      <w:bookmarkEnd w:id="152"/>
    </w:p>
    <w:p w14:paraId="5BCEE3E2">
      <w:pPr>
        <w:pStyle w:val="208"/>
        <w:spacing w:beforeAutospacing="0" w:afterAutospacing="0" w:line="348" w:lineRule="auto"/>
        <w:ind w:firstLine="420"/>
        <w:jc w:val="both"/>
        <w:rPr>
          <w:rFonts w:hint="eastAsia" w:ascii="宋体" w:hAnsi="宋体" w:cs="宋体"/>
          <w:color w:val="auto"/>
          <w:sz w:val="21"/>
          <w:szCs w:val="21"/>
          <w:highlight w:val="none"/>
        </w:rPr>
      </w:pPr>
      <w:bookmarkStart w:id="153" w:name="_Toc20823310"/>
      <w:bookmarkStart w:id="154" w:name="_Toc16938554"/>
      <w:bookmarkStart w:id="155" w:name="_Toc513029238"/>
      <w:r>
        <w:rPr>
          <w:rFonts w:hint="eastAsia" w:ascii="宋体" w:hAnsi="宋体" w:cs="宋体"/>
          <w:color w:val="auto"/>
          <w:sz w:val="21"/>
          <w:szCs w:val="21"/>
          <w:highlight w:val="none"/>
        </w:rPr>
        <w:t>28、</w:t>
      </w:r>
      <w:bookmarkEnd w:id="153"/>
      <w:r>
        <w:rPr>
          <w:rFonts w:hint="eastAsia" w:ascii="宋体" w:hAnsi="宋体" w:cs="宋体"/>
          <w:color w:val="auto"/>
          <w:sz w:val="21"/>
          <w:szCs w:val="21"/>
          <w:highlight w:val="none"/>
        </w:rPr>
        <w:t>确定</w:t>
      </w:r>
      <w:bookmarkEnd w:id="154"/>
      <w:bookmarkEnd w:id="155"/>
      <w:r>
        <w:rPr>
          <w:rFonts w:hint="eastAsia" w:ascii="宋体" w:hAnsi="宋体" w:cs="宋体"/>
          <w:color w:val="auto"/>
          <w:sz w:val="21"/>
          <w:szCs w:val="21"/>
          <w:highlight w:val="none"/>
        </w:rPr>
        <w:t>中标单位</w:t>
      </w:r>
    </w:p>
    <w:p w14:paraId="2FA19CE4">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28.1中标候选人的选取原则和数量见招标文件第五章规定。 </w:t>
      </w:r>
    </w:p>
    <w:p w14:paraId="6CEC83ED">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28.2采购人应根据评委会推荐的中标候选人确定中标人。</w:t>
      </w:r>
    </w:p>
    <w:p w14:paraId="6C38DD80">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28.3采购代理机构将在中国政府采购网”“江苏政府采购网”“盐城市政府采购网</w:t>
      </w:r>
      <w:r>
        <w:rPr>
          <w:rFonts w:hint="eastAsia" w:ascii="宋体" w:hAnsi="宋体" w:cs="宋体"/>
          <w:color w:val="auto"/>
          <w:sz w:val="21"/>
          <w:szCs w:val="21"/>
          <w:highlight w:val="none"/>
          <w:shd w:val="clear" w:color="auto" w:fill="FFFFFF"/>
        </w:rPr>
        <w:t>”</w:t>
      </w:r>
      <w:r>
        <w:rPr>
          <w:rFonts w:hint="eastAsia" w:ascii="宋体" w:hAnsi="宋体" w:cs="宋体"/>
          <w:color w:val="auto"/>
          <w:sz w:val="21"/>
          <w:szCs w:val="21"/>
          <w:highlight w:val="none"/>
        </w:rPr>
        <w:t>发布中标公告，公告期限为1个工作日。</w:t>
      </w:r>
    </w:p>
    <w:p w14:paraId="7EC6BA97">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28.4若有充分证据证明，中标人出现下列情况之一的，一经查实，将被取消中标资格：</w:t>
      </w:r>
    </w:p>
    <w:p w14:paraId="218090A9">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28.4.1提供虚假材料谋取中标的。</w:t>
      </w:r>
    </w:p>
    <w:p w14:paraId="378348BC">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28.4.2向采购人、采购代理机构行贿或者提供其他不正当利益的。</w:t>
      </w:r>
    </w:p>
    <w:p w14:paraId="45E658E9">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28.4.3属于本文件规定的无效条件，但在评标过程中又未被评委会发现的。</w:t>
      </w:r>
    </w:p>
    <w:p w14:paraId="751E5E5E">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28.4.4与采购人或者其他供应商恶意串通的。</w:t>
      </w:r>
    </w:p>
    <w:p w14:paraId="56297C67">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28.4.5采取不正当手段诋毁、排挤其他供应商的。</w:t>
      </w:r>
    </w:p>
    <w:p w14:paraId="19AA6AF1">
      <w:pPr>
        <w:pStyle w:val="208"/>
        <w:spacing w:beforeAutospacing="0" w:afterAutospacing="0" w:line="348" w:lineRule="auto"/>
        <w:ind w:firstLine="420"/>
        <w:jc w:val="both"/>
        <w:rPr>
          <w:rFonts w:hint="eastAsia" w:ascii="宋体" w:hAnsi="宋体" w:cs="宋体"/>
          <w:color w:val="auto"/>
          <w:sz w:val="21"/>
          <w:szCs w:val="21"/>
          <w:highlight w:val="none"/>
        </w:rPr>
      </w:pPr>
      <w:bookmarkStart w:id="156" w:name="_Toc200451960"/>
      <w:r>
        <w:rPr>
          <w:rFonts w:hint="eastAsia" w:ascii="宋体" w:hAnsi="宋体" w:cs="宋体"/>
          <w:color w:val="auto"/>
          <w:sz w:val="21"/>
          <w:szCs w:val="21"/>
          <w:highlight w:val="none"/>
        </w:rPr>
        <w:t>28.5有下列情形之一的，视为投标人串通投标，投标无效：</w:t>
      </w:r>
      <w:bookmarkEnd w:id="156"/>
    </w:p>
    <w:p w14:paraId="275FDE7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28.5.1不同投标人的投标文件由同一单位或者个人编制；</w:t>
      </w:r>
    </w:p>
    <w:p w14:paraId="383CE75A">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28.5.2不同投标人委托同一单位或者个人办理投标事宜；</w:t>
      </w:r>
    </w:p>
    <w:p w14:paraId="3F5F6D5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28.5.3不同投标人的投标文件载明的项目管理成员或者联系人员为同一人；</w:t>
      </w:r>
    </w:p>
    <w:p w14:paraId="086EE93A">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28.5.4不同投标人的投标文件异常一致或者投标报价呈规律性差异；</w:t>
      </w:r>
    </w:p>
    <w:p w14:paraId="4604E5B9">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29、质疑处理</w:t>
      </w:r>
    </w:p>
    <w:p w14:paraId="171DBC0A">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29.1提出质疑的供应商应当是参与所质疑项目采购活动的供应商。潜在供应商依法获取其可质疑的采购文件的，可以对采购文件提出质疑。</w:t>
      </w:r>
    </w:p>
    <w:p w14:paraId="2EFCC800">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1D763166">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29.2.1对可以质疑的采购文件提出质疑的，为收到采购文件之日或者采购文件公告期限届满之日；</w:t>
      </w:r>
    </w:p>
    <w:p w14:paraId="21203EE3">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29.2.2对采购过程提出质疑的，为各采购程序环节结束之日；  </w:t>
      </w:r>
    </w:p>
    <w:p w14:paraId="51907460">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29.2.3对中标或者成交结果提出质疑的，为中标或者成交结果公告期限届满之日。</w:t>
      </w:r>
    </w:p>
    <w:p w14:paraId="00297671">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141D21BE">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14:paraId="35A240DA">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1EB5B4E5">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采购人及代理机构只接收以纸质原件形式送达的质疑,采购人和代理机构不接受未填写快递运单的快件。</w:t>
      </w:r>
    </w:p>
    <w:p w14:paraId="09247AE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29.5以下情形的质疑不予受理</w:t>
      </w:r>
    </w:p>
    <w:p w14:paraId="5F1C5FE9">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29.5.1内容不符合《政府采购质疑和投诉办法》第十二条规定的质疑。</w:t>
      </w:r>
    </w:p>
    <w:p w14:paraId="274432D6">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29.5.2超出政府采购法定期限的质疑。</w:t>
      </w:r>
    </w:p>
    <w:p w14:paraId="4A252FD1">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29.5.3以传真、电子邮件等方式递交的非原件形式的质疑。</w:t>
      </w:r>
    </w:p>
    <w:p w14:paraId="18B5F915">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29.5.4未参加投标活动的供应商或在投标活动中自身权益未受到损害的供应商所提出的质疑。</w:t>
      </w:r>
    </w:p>
    <w:p w14:paraId="1E702245">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29.5.5供应商组成联合体参加投标，联合体中任何一方或多方未按要求签字、盖章、加盖公章的质疑。</w:t>
      </w:r>
    </w:p>
    <w:p w14:paraId="292B3518">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6062AC78">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30、中标通知书</w:t>
      </w:r>
    </w:p>
    <w:p w14:paraId="62A99E39">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DA9729A">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30.2中标通知书将是合同的一个组成部分。对采购人和中标供应商均具有法律效力。中标通知书发出后，采购人改变中标结果的，或者中标供应商放弃中标项目的，应当依法承担法律责任。</w:t>
      </w:r>
    </w:p>
    <w:p w14:paraId="0BE72B4A">
      <w:pPr>
        <w:pStyle w:val="208"/>
        <w:spacing w:beforeAutospacing="0" w:afterAutospacing="0" w:line="348" w:lineRule="auto"/>
        <w:ind w:firstLine="422"/>
        <w:jc w:val="both"/>
        <w:rPr>
          <w:rFonts w:hint="eastAsia" w:ascii="宋体" w:hAnsi="宋体" w:cs="宋体"/>
          <w:color w:val="auto"/>
          <w:sz w:val="21"/>
          <w:szCs w:val="21"/>
          <w:highlight w:val="none"/>
        </w:rPr>
      </w:pPr>
      <w:bookmarkStart w:id="157" w:name="_Toc120614220"/>
      <w:bookmarkStart w:id="158" w:name="_Toc20823308"/>
      <w:bookmarkStart w:id="159" w:name="_Toc513029236"/>
      <w:bookmarkStart w:id="160" w:name="_Toc16938552"/>
      <w:r>
        <w:rPr>
          <w:rFonts w:hint="eastAsia" w:ascii="宋体" w:hAnsi="宋体" w:cs="宋体"/>
          <w:b/>
          <w:color w:val="auto"/>
          <w:sz w:val="21"/>
          <w:szCs w:val="21"/>
          <w:highlight w:val="none"/>
        </w:rPr>
        <w:t>七、授予合同</w:t>
      </w:r>
      <w:bookmarkEnd w:id="157"/>
      <w:bookmarkEnd w:id="158"/>
      <w:bookmarkEnd w:id="159"/>
      <w:bookmarkEnd w:id="160"/>
    </w:p>
    <w:p w14:paraId="6F6E27F9">
      <w:pPr>
        <w:pStyle w:val="208"/>
        <w:spacing w:beforeAutospacing="0" w:afterAutospacing="0" w:line="348" w:lineRule="auto"/>
        <w:ind w:firstLine="420"/>
        <w:jc w:val="both"/>
        <w:rPr>
          <w:rFonts w:hint="eastAsia" w:ascii="宋体" w:hAnsi="宋体" w:cs="宋体"/>
          <w:color w:val="auto"/>
          <w:sz w:val="21"/>
          <w:szCs w:val="21"/>
          <w:highlight w:val="none"/>
        </w:rPr>
      </w:pPr>
      <w:bookmarkStart w:id="161" w:name="_Toc16938553"/>
      <w:bookmarkStart w:id="162" w:name="_Toc513029237"/>
      <w:bookmarkStart w:id="163" w:name="_Toc20823309"/>
      <w:r>
        <w:rPr>
          <w:rFonts w:hint="eastAsia" w:ascii="宋体" w:hAnsi="宋体" w:cs="宋体"/>
          <w:color w:val="auto"/>
          <w:sz w:val="21"/>
          <w:szCs w:val="21"/>
          <w:highlight w:val="none"/>
        </w:rPr>
        <w:t>31.签订合同</w:t>
      </w:r>
      <w:bookmarkEnd w:id="161"/>
      <w:bookmarkEnd w:id="162"/>
      <w:bookmarkEnd w:id="163"/>
    </w:p>
    <w:p w14:paraId="76A45C79">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31.l中标人应当在中标通知书发出之日起三十日内，按照招标文件确定的事项与采购人签订政府采购合同。</w:t>
      </w:r>
    </w:p>
    <w:p w14:paraId="30D3B887">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31.2招标文件、中标人的投标文件及招标过程中有关澄清、承诺文件均应作为合同附件。</w:t>
      </w:r>
    </w:p>
    <w:p w14:paraId="2F19AC28">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31.3签订合同后，</w:t>
      </w:r>
      <w:r>
        <w:rPr>
          <w:rFonts w:hint="eastAsia" w:ascii="宋体" w:hAnsi="宋体" w:cs="宋体"/>
          <w:i/>
          <w:color w:val="auto"/>
          <w:sz w:val="21"/>
          <w:szCs w:val="21"/>
          <w:highlight w:val="none"/>
          <w:u w:val="single"/>
        </w:rPr>
        <w:t>中标人不得将合同标的进行转包</w:t>
      </w:r>
      <w:r>
        <w:rPr>
          <w:rFonts w:hint="eastAsia" w:ascii="宋体" w:hAnsi="宋体" w:cs="宋体"/>
          <w:color w:val="auto"/>
          <w:sz w:val="21"/>
          <w:szCs w:val="21"/>
          <w:highlight w:val="none"/>
        </w:rPr>
        <w:t>。未经采购人同意，中标人也不得采用分包的形式履行合同，否则采购人有权终止合同。转包或分包造成采购人损失的，中标人应承担相应赔偿责任。</w:t>
      </w:r>
    </w:p>
    <w:p w14:paraId="1F6B23AD">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32、货物（包含与货物相关的服务）的追加</w:t>
      </w:r>
    </w:p>
    <w:p w14:paraId="747C012D">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7EDDB77E">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33.政府采购政策功能落实</w:t>
      </w:r>
    </w:p>
    <w:p w14:paraId="4D273FF0">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33.1政府采购线上合同信用融资政策</w:t>
      </w:r>
    </w:p>
    <w:p w14:paraId="0958A848">
      <w:pPr>
        <w:pStyle w:val="208"/>
        <w:spacing w:beforeAutospacing="0" w:afterAutospacing="0" w:line="348" w:lineRule="auto"/>
        <w:ind w:firstLine="48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26F3616B">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33.2进口产品</w:t>
      </w:r>
    </w:p>
    <w:p w14:paraId="30BBDBA3">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7FF1746">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33.3中小企业、监狱企业及残疾人福利性单位</w:t>
      </w:r>
    </w:p>
    <w:p w14:paraId="14686ECA">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33.3.1中小企业定义：</w:t>
      </w:r>
    </w:p>
    <w:p w14:paraId="22310835">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5F9D9E00">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33.3.2供应商提供的货物、工程或者服务符合下列情形的，享受中小企业扶持政策：</w:t>
      </w:r>
    </w:p>
    <w:p w14:paraId="141F1685">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33.3.2.1在货物采购项目中，货物由中小企业制造，即货物由中小企业生产且使用该中小企业商号或者注册商标；</w:t>
      </w:r>
    </w:p>
    <w:p w14:paraId="0D0C23E1">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33.3.2.2在工程采购项目中，工程由中小企业承建，即工程施工单位为中小企业；</w:t>
      </w:r>
    </w:p>
    <w:p w14:paraId="7917611C">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33.3.2.3在服务采购项目中，服务由中小企业承接，即提供服务的人员为中小企业依照《中华人民共和国劳动合同法》订立劳动合同的从业人员。</w:t>
      </w:r>
    </w:p>
    <w:p w14:paraId="626B31DD">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33.3.3在货物采购项目中，供应商提供的货物既有中小企业制造货物，也有大型企业制造货物的，不享受中小企业扶持政策。</w:t>
      </w:r>
    </w:p>
    <w:p w14:paraId="535E0FCB">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33.3.4以联合体形式参加政府采购活动，联合体各方均为中小企业的，联合体视同中小企业。其中，联合体各方均为小微企业的，联合体视同小微企业。</w:t>
      </w:r>
    </w:p>
    <w:p w14:paraId="6EA3F4AB">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6F9A2F4">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33.3.6残疾人福利单位定义：享受政府采购支持政策的残疾人福利性单位应当同时满足以下条件：</w:t>
      </w:r>
    </w:p>
    <w:p w14:paraId="0A3ACB8B">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33.3.6.1安置的残疾人占本单位在职职工人数的比例不低于25%（含25%），并且安置的残疾人人数不少于10 人（含10人）；</w:t>
      </w:r>
    </w:p>
    <w:p w14:paraId="5EB3A014">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33.3.6.2依法与安置的每位残疾人签订了一年以上（含一年）的劳动合同或服务协议；</w:t>
      </w:r>
    </w:p>
    <w:p w14:paraId="14EF6749">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33.3.6.3为安置的每位残疾人按月足额缴纳了基本养老保险、基本医疗保险、失业保险、工伤保险和生育保险等社会保险费；</w:t>
      </w:r>
    </w:p>
    <w:p w14:paraId="7E1D6EC9">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33.3.6.4通过银行等金融机构向安置的每位残疾人，按月支付了不低于单位所在区县适用的经省级人民政府批准的月最低工资标准的工资；</w:t>
      </w:r>
    </w:p>
    <w:p w14:paraId="118E8A9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33.3.6.5提供本单位制造的货物、承担的工程或者服务（以下简称产品），或者提供其他残疾人福利性单位制造的货物（不包括使用非残疾人福利性单位注册商标的货物）；</w:t>
      </w:r>
    </w:p>
    <w:p w14:paraId="5CCA98F5">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1E1C15F3">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33.3.7本项目是否专门面向中小企业预留采购份额见第一章《招标公告》。</w:t>
      </w:r>
    </w:p>
    <w:p w14:paraId="650E25D4">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33.3.8采购标的对应的中小企业划分标准所属行业见第四章《采购需求》。</w:t>
      </w:r>
    </w:p>
    <w:p w14:paraId="20476CD6">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33.3.9小微企业价格评审优惠的政策：见第五章《评标方法和评标标准》。</w:t>
      </w:r>
    </w:p>
    <w:p w14:paraId="18A60049">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33.4政府采购节能产品、环境标志产品</w:t>
      </w:r>
    </w:p>
    <w:p w14:paraId="13A30AE5">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1"/>
          <w:szCs w:val="21"/>
          <w:highlight w:val="none"/>
        </w:rPr>
        <w:t>如属政府强制采购产品未提供认证证书的或认证证书提供不全的将视为未实质性响应采购要求</w:t>
      </w:r>
      <w:r>
        <w:rPr>
          <w:rFonts w:hint="eastAsia" w:ascii="宋体" w:hAnsi="宋体" w:cs="宋体"/>
          <w:i/>
          <w:color w:val="auto"/>
          <w:sz w:val="21"/>
          <w:szCs w:val="21"/>
          <w:highlight w:val="none"/>
        </w:rPr>
        <w:t>。</w:t>
      </w:r>
      <w:r>
        <w:rPr>
          <w:rFonts w:hint="eastAsia" w:ascii="宋体" w:hAnsi="宋体" w:cs="宋体"/>
          <w:color w:val="auto"/>
          <w:sz w:val="21"/>
          <w:szCs w:val="21"/>
          <w:highlight w:val="none"/>
        </w:rPr>
        <w:t>其他条件相同情况下，应当优先采购节能产品、环境标志产品。</w:t>
      </w:r>
    </w:p>
    <w:p w14:paraId="4F04E85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EABDF7D">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33.5绿色包装</w:t>
      </w:r>
    </w:p>
    <w:p w14:paraId="09944CA6">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247BC81">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33.6政府采购创新产品</w:t>
      </w:r>
    </w:p>
    <w:p w14:paraId="0110DD7C">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采购人优先采购各级政府部门公开发布的有效期内的创新产品、创新服务、首台套、首购首用等《目录》的创新产品。</w:t>
      </w:r>
    </w:p>
    <w:p w14:paraId="5199E99B">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33.7绿色数据中心政策 </w:t>
      </w:r>
    </w:p>
    <w:p w14:paraId="2E34C3CA">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C817377">
      <w:pPr>
        <w:pStyle w:val="208"/>
        <w:spacing w:beforeAutospacing="0" w:afterAutospacing="0" w:line="348" w:lineRule="auto"/>
        <w:ind w:firstLine="420"/>
        <w:jc w:val="both"/>
        <w:rPr>
          <w:rFonts w:hint="eastAsia" w:ascii="宋体" w:hAnsi="宋体" w:eastAsia="宋体" w:cs="宋体"/>
          <w:b/>
          <w:bCs/>
          <w:color w:val="auto"/>
          <w:kern w:val="0"/>
          <w:sz w:val="21"/>
          <w:szCs w:val="21"/>
          <w:highlight w:val="none"/>
          <w:lang w:val="en-US" w:eastAsia="zh-CN" w:bidi="ar-SA"/>
        </w:rPr>
      </w:pPr>
      <w:bookmarkStart w:id="164" w:name="OLE_LINK27"/>
      <w:r>
        <w:rPr>
          <w:rFonts w:hint="eastAsia" w:ascii="宋体" w:hAnsi="宋体" w:eastAsia="宋体" w:cs="宋体"/>
          <w:b/>
          <w:bCs/>
          <w:color w:val="auto"/>
          <w:kern w:val="0"/>
          <w:sz w:val="21"/>
          <w:szCs w:val="21"/>
          <w:highlight w:val="none"/>
          <w:lang w:val="en-US" w:eastAsia="zh-CN" w:bidi="ar-SA"/>
        </w:rPr>
        <w:t>33.8实施本国产品标准及相关政策</w:t>
      </w:r>
    </w:p>
    <w:p w14:paraId="47A086BC">
      <w:pPr>
        <w:pStyle w:val="208"/>
        <w:spacing w:beforeAutospacing="0" w:afterAutospacing="0" w:line="348" w:lineRule="auto"/>
        <w:ind w:firstLine="420"/>
        <w:jc w:val="both"/>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1.本项目对采购本国产品给予政策支持，具体内容见招标文件“第五章 评标方法与评标标准”。</w:t>
      </w:r>
    </w:p>
    <w:p w14:paraId="682FD94B">
      <w:pPr>
        <w:pStyle w:val="208"/>
        <w:spacing w:beforeAutospacing="0" w:afterAutospacing="0" w:line="348" w:lineRule="auto"/>
        <w:ind w:firstLine="420"/>
        <w:jc w:val="both"/>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C9B381F">
      <w:pPr>
        <w:pStyle w:val="208"/>
        <w:spacing w:beforeAutospacing="0" w:afterAutospacing="0" w:line="348" w:lineRule="auto"/>
        <w:ind w:firstLine="420"/>
        <w:jc w:val="both"/>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65B0C8A">
      <w:pPr>
        <w:pStyle w:val="208"/>
        <w:spacing w:beforeAutospacing="0" w:afterAutospacing="0" w:line="348" w:lineRule="auto"/>
        <w:ind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kern w:val="0"/>
          <w:sz w:val="21"/>
          <w:szCs w:val="21"/>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kern w:val="0"/>
          <w:sz w:val="21"/>
          <w:szCs w:val="21"/>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bookmarkEnd w:id="164"/>
    <w:p w14:paraId="280EF244">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w:t>
      </w:r>
      <w:r>
        <w:rPr>
          <w:rFonts w:hint="eastAsia" w:ascii="宋体" w:hAnsi="宋体" w:cs="宋体"/>
          <w:color w:val="auto"/>
          <w:sz w:val="21"/>
          <w:szCs w:val="21"/>
          <w:highlight w:val="none"/>
          <w:lang w:val="en-US" w:eastAsia="zh-CN"/>
        </w:rPr>
        <w:t>9</w:t>
      </w:r>
      <w:r>
        <w:rPr>
          <w:rFonts w:hint="eastAsia" w:ascii="宋体" w:hAnsi="宋体" w:cs="宋体"/>
          <w:color w:val="auto"/>
          <w:sz w:val="21"/>
          <w:szCs w:val="21"/>
          <w:highlight w:val="none"/>
        </w:rPr>
        <w:t>履约保证金政策</w:t>
      </w:r>
    </w:p>
    <w:p w14:paraId="53D7E20A">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确需收取履约保证金的，履约保证金的缴纳形式：</w:t>
      </w:r>
    </w:p>
    <w:p w14:paraId="10FB132D">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DA16C01">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如以履约保函（保险）形式缴纳履约保证金，供应商可通过政府采购电子履约保函（保险）平台（www.jsdzbh.com）在线申请履约保函（保险）。</w:t>
      </w:r>
    </w:p>
    <w:p w14:paraId="5E5B6D7E">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履约保证金金额合同金额的</w:t>
      </w:r>
      <w:r>
        <w:rPr>
          <w:rFonts w:hint="eastAsia" w:ascii="宋体" w:hAnsi="宋体" w:cs="宋体"/>
          <w:color w:val="auto"/>
          <w:sz w:val="21"/>
          <w:szCs w:val="21"/>
          <w:highlight w:val="none"/>
          <w:lang w:val="en-US" w:eastAsia="zh-CN"/>
        </w:rPr>
        <w:t>10</w:t>
      </w:r>
      <w:r>
        <w:rPr>
          <w:rFonts w:hint="eastAsia" w:ascii="宋体" w:hAnsi="宋体" w:cs="宋体"/>
          <w:color w:val="auto"/>
          <w:sz w:val="21"/>
          <w:szCs w:val="21"/>
          <w:highlight w:val="none"/>
        </w:rPr>
        <w:t>%，采购人对第三方信用服务机构依据标准规范评定为 AA 级及以上的政府采购供应商（需在签订采购合同前提供信用管理部门备案的第三方信用报告，且信用报告通过“信用盐城网”可查实），免收履约保证金。</w:t>
      </w:r>
    </w:p>
    <w:p w14:paraId="2B4949CC">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34.预付款制度</w:t>
      </w:r>
    </w:p>
    <w:p w14:paraId="23F05A05">
      <w:pPr>
        <w:spacing w:line="348" w:lineRule="auto"/>
        <w:ind w:firstLine="420"/>
        <w:rPr>
          <w:color w:val="auto"/>
          <w:sz w:val="36"/>
          <w:szCs w:val="44"/>
          <w:highlight w:val="none"/>
        </w:rPr>
      </w:pPr>
      <w:r>
        <w:rPr>
          <w:rFonts w:hint="eastAsia" w:ascii="宋体" w:hAnsi="宋体" w:cs="宋体"/>
          <w:color w:val="auto"/>
          <w:szCs w:val="21"/>
          <w:highlight w:val="none"/>
        </w:rPr>
        <w:t>本项目落实预付款制度，预付款比例为</w:t>
      </w:r>
      <w:r>
        <w:rPr>
          <w:rFonts w:hint="eastAsia" w:ascii="宋体" w:hAnsi="宋体" w:cs="宋体"/>
          <w:color w:val="auto"/>
          <w:szCs w:val="21"/>
          <w:highlight w:val="none"/>
          <w:u w:val="single"/>
        </w:rPr>
        <w:t>30</w:t>
      </w:r>
      <w:r>
        <w:rPr>
          <w:rFonts w:hint="eastAsia" w:ascii="宋体" w:hAnsi="宋体" w:cs="宋体"/>
          <w:color w:val="auto"/>
          <w:szCs w:val="21"/>
          <w:highlight w:val="none"/>
        </w:rPr>
        <w:t>%（原则上不低于合同金额的30%）。在签订合同时，中标、成交供应商明确书面表示无需预付款或者主动要求降低预付款比例的，采购人可就预付款比例作相应调整。</w:t>
      </w:r>
      <w:bookmarkStart w:id="165" w:name="_Toc479757211"/>
      <w:bookmarkStart w:id="166" w:name="_Hlt16619350"/>
      <w:bookmarkStart w:id="167" w:name="_Toc120614244"/>
      <w:bookmarkStart w:id="168" w:name="_Toc16938590"/>
      <w:bookmarkStart w:id="169" w:name="_Toc20823346"/>
      <w:bookmarkStart w:id="170" w:name="_Toc462564139"/>
      <w:bookmarkStart w:id="171" w:name="_Hlt16619369"/>
    </w:p>
    <w:p w14:paraId="4EE6E371">
      <w:pPr>
        <w:widowControl/>
        <w:spacing w:line="360" w:lineRule="auto"/>
        <w:jc w:val="center"/>
        <w:rPr>
          <w:color w:val="auto"/>
          <w:sz w:val="36"/>
          <w:szCs w:val="44"/>
          <w:highlight w:val="none"/>
        </w:rPr>
      </w:pPr>
    </w:p>
    <w:p w14:paraId="71EC2D84">
      <w:pPr>
        <w:widowControl/>
        <w:spacing w:line="360" w:lineRule="auto"/>
        <w:jc w:val="center"/>
        <w:rPr>
          <w:color w:val="auto"/>
          <w:sz w:val="36"/>
          <w:szCs w:val="44"/>
          <w:highlight w:val="none"/>
        </w:rPr>
      </w:pPr>
    </w:p>
    <w:p w14:paraId="43375F99">
      <w:pPr>
        <w:widowControl/>
        <w:spacing w:line="360" w:lineRule="auto"/>
        <w:jc w:val="center"/>
        <w:rPr>
          <w:color w:val="auto"/>
          <w:sz w:val="36"/>
          <w:szCs w:val="44"/>
          <w:highlight w:val="none"/>
        </w:rPr>
      </w:pPr>
    </w:p>
    <w:p w14:paraId="7A91B38C">
      <w:pPr>
        <w:rPr>
          <w:rFonts w:hint="eastAsia" w:ascii="宋体" w:hAnsi="宋体" w:cs="宋体"/>
          <w:b/>
          <w:color w:val="auto"/>
          <w:sz w:val="48"/>
          <w:szCs w:val="44"/>
          <w:highlight w:val="none"/>
        </w:rPr>
      </w:pPr>
      <w:r>
        <w:rPr>
          <w:rFonts w:hint="eastAsia" w:ascii="宋体" w:hAnsi="宋体" w:cs="宋体"/>
          <w:b/>
          <w:color w:val="auto"/>
          <w:sz w:val="48"/>
          <w:szCs w:val="44"/>
          <w:highlight w:val="none"/>
        </w:rPr>
        <w:br w:type="page"/>
      </w:r>
    </w:p>
    <w:p w14:paraId="2CAEEC17">
      <w:pPr>
        <w:pStyle w:val="3"/>
        <w:widowControl/>
        <w:ind w:firstLine="2209"/>
        <w:rPr>
          <w:rFonts w:ascii="黑体" w:eastAsia="黑体" w:cs="黑体"/>
          <w:color w:val="auto"/>
          <w:sz w:val="44"/>
          <w:szCs w:val="44"/>
          <w:highlight w:val="none"/>
          <w:lang w:bidi="ar-SA"/>
        </w:rPr>
      </w:pPr>
      <w:r>
        <w:rPr>
          <w:rFonts w:ascii="黑体" w:eastAsia="黑体" w:cs="黑体"/>
          <w:color w:val="auto"/>
          <w:sz w:val="44"/>
          <w:szCs w:val="44"/>
          <w:highlight w:val="none"/>
          <w:lang w:bidi="ar-SA"/>
        </w:rPr>
        <w:t>第三章  合同条款及格式</w:t>
      </w:r>
    </w:p>
    <w:p w14:paraId="0E7AB5BA">
      <w:pPr>
        <w:rPr>
          <w:rFonts w:ascii="Calibri" w:hAnsi="Calibri" w:eastAsia="宋体" w:cs="Microsoft Himalaya"/>
          <w:color w:val="auto"/>
          <w:highlight w:val="none"/>
        </w:rPr>
      </w:pPr>
    </w:p>
    <w:p w14:paraId="0B733614">
      <w:pPr>
        <w:rPr>
          <w:rFonts w:ascii="Calibri" w:hAnsi="Calibri" w:eastAsia="宋体" w:cs="Microsoft Himalaya"/>
          <w:color w:val="auto"/>
          <w:highlight w:val="none"/>
        </w:rPr>
      </w:pPr>
    </w:p>
    <w:p w14:paraId="1B016AC3">
      <w:pPr>
        <w:rPr>
          <w:rFonts w:ascii="Calibri" w:hAnsi="Calibri" w:eastAsia="宋体" w:cs="Microsoft Himalaya"/>
          <w:color w:val="auto"/>
          <w:highlight w:val="none"/>
        </w:rPr>
      </w:pPr>
    </w:p>
    <w:p w14:paraId="5B6F5247">
      <w:pPr>
        <w:rPr>
          <w:rFonts w:ascii="Calibri" w:hAnsi="Calibri" w:eastAsia="宋体" w:cs="Microsoft Himalaya"/>
          <w:color w:val="auto"/>
          <w:highlight w:val="none"/>
        </w:rPr>
      </w:pPr>
    </w:p>
    <w:p w14:paraId="6C250747">
      <w:pPr>
        <w:rPr>
          <w:rFonts w:ascii="Calibri" w:hAnsi="Calibri" w:eastAsia="宋体" w:cs="Microsoft Himalaya"/>
          <w:color w:val="auto"/>
          <w:highlight w:val="none"/>
        </w:rPr>
      </w:pPr>
    </w:p>
    <w:p w14:paraId="5971FF42">
      <w:pPr>
        <w:rPr>
          <w:rFonts w:ascii="Calibri" w:hAnsi="Calibri" w:eastAsia="宋体" w:cs="Microsoft Himalaya"/>
          <w:color w:val="auto"/>
          <w:highlight w:val="none"/>
        </w:rPr>
      </w:pPr>
    </w:p>
    <w:p w14:paraId="7999C33F">
      <w:pPr>
        <w:rPr>
          <w:rFonts w:ascii="Calibri" w:hAnsi="Calibri" w:eastAsia="宋体" w:cs="Microsoft Himalaya"/>
          <w:color w:val="auto"/>
          <w:highlight w:val="none"/>
        </w:rPr>
      </w:pPr>
    </w:p>
    <w:p w14:paraId="420F917B">
      <w:pPr>
        <w:rPr>
          <w:rFonts w:ascii="Calibri" w:hAnsi="Calibri" w:eastAsia="宋体" w:cs="Microsoft Himalaya"/>
          <w:color w:val="auto"/>
          <w:highlight w:val="none"/>
        </w:rPr>
      </w:pPr>
    </w:p>
    <w:p w14:paraId="47B9F230">
      <w:pPr>
        <w:rPr>
          <w:rFonts w:ascii="Calibri" w:hAnsi="Calibri" w:eastAsia="宋体" w:cs="Microsoft Himalaya"/>
          <w:color w:val="auto"/>
          <w:highlight w:val="none"/>
        </w:rPr>
      </w:pPr>
    </w:p>
    <w:p w14:paraId="72037F8D">
      <w:pPr>
        <w:rPr>
          <w:rFonts w:ascii="Calibri" w:hAnsi="Calibri" w:eastAsia="宋体" w:cs="Microsoft Himalaya"/>
          <w:color w:val="auto"/>
          <w:highlight w:val="none"/>
        </w:rPr>
      </w:pPr>
    </w:p>
    <w:p w14:paraId="5B3B6E99">
      <w:pPr>
        <w:rPr>
          <w:rFonts w:ascii="Calibri" w:hAnsi="Calibri" w:eastAsia="宋体" w:cs="Microsoft Himalaya"/>
          <w:color w:val="auto"/>
          <w:highlight w:val="none"/>
        </w:rPr>
      </w:pPr>
    </w:p>
    <w:p w14:paraId="7A38936D">
      <w:pPr>
        <w:rPr>
          <w:rFonts w:ascii="Calibri" w:hAnsi="Calibri" w:eastAsia="宋体" w:cs="Microsoft Himalaya"/>
          <w:color w:val="auto"/>
          <w:highlight w:val="none"/>
        </w:rPr>
      </w:pPr>
    </w:p>
    <w:p w14:paraId="15F059BC">
      <w:pPr>
        <w:rPr>
          <w:rFonts w:ascii="Calibri" w:hAnsi="Calibri" w:eastAsia="宋体" w:cs="Microsoft Himalaya"/>
          <w:color w:val="auto"/>
          <w:highlight w:val="none"/>
        </w:rPr>
      </w:pPr>
    </w:p>
    <w:p w14:paraId="5D788B10">
      <w:pPr>
        <w:rPr>
          <w:rFonts w:ascii="Calibri" w:hAnsi="Calibri" w:eastAsia="宋体" w:cs="Microsoft Himalaya"/>
          <w:color w:val="auto"/>
          <w:highlight w:val="none"/>
        </w:rPr>
      </w:pPr>
    </w:p>
    <w:p w14:paraId="0ACFA8AA">
      <w:pPr>
        <w:jc w:val="both"/>
        <w:rPr>
          <w:rFonts w:ascii="宋体" w:hAnsi="Times New Roman" w:eastAsia="宋体" w:cs="Times New Roman"/>
          <w:b/>
          <w:color w:val="auto"/>
          <w:sz w:val="30"/>
          <w:szCs w:val="30"/>
          <w:highlight w:val="none"/>
        </w:rPr>
      </w:pPr>
      <w:r>
        <w:rPr>
          <w:rFonts w:hint="eastAsia" w:ascii="宋体" w:hAnsi="Times New Roman" w:eastAsia="宋体" w:cs="Times New Roman"/>
          <w:b/>
          <w:color w:val="auto"/>
          <w:sz w:val="30"/>
          <w:szCs w:val="30"/>
          <w:highlight w:val="none"/>
        </w:rPr>
        <w:t>盐城市公安局亭湖分局农村地区智慧安防村居建设(2026年)项目</w:t>
      </w:r>
    </w:p>
    <w:p w14:paraId="273528CE">
      <w:pPr>
        <w:rPr>
          <w:rFonts w:ascii="宋体" w:hAnsi="Times New Roman" w:eastAsia="宋体" w:cs="Times New Roman"/>
          <w:b/>
          <w:color w:val="auto"/>
          <w:sz w:val="32"/>
          <w:szCs w:val="22"/>
          <w:highlight w:val="none"/>
        </w:rPr>
      </w:pPr>
    </w:p>
    <w:p w14:paraId="00D9E077">
      <w:pPr>
        <w:rPr>
          <w:rFonts w:ascii="宋体" w:hAnsi="Times New Roman" w:eastAsia="宋体" w:cs="Times New Roman"/>
          <w:b/>
          <w:color w:val="auto"/>
          <w:sz w:val="32"/>
          <w:szCs w:val="22"/>
          <w:highlight w:val="none"/>
        </w:rPr>
      </w:pPr>
    </w:p>
    <w:p w14:paraId="217B3508">
      <w:pPr>
        <w:rPr>
          <w:rFonts w:ascii="宋体" w:hAnsi="Times New Roman" w:eastAsia="宋体" w:cs="Times New Roman"/>
          <w:b/>
          <w:color w:val="auto"/>
          <w:sz w:val="32"/>
          <w:szCs w:val="22"/>
          <w:highlight w:val="none"/>
        </w:rPr>
      </w:pPr>
    </w:p>
    <w:p w14:paraId="63CA9C42">
      <w:pPr>
        <w:rPr>
          <w:rFonts w:ascii="宋体" w:hAnsi="Times New Roman" w:eastAsia="宋体" w:cs="Times New Roman"/>
          <w:b/>
          <w:color w:val="auto"/>
          <w:sz w:val="32"/>
          <w:szCs w:val="22"/>
          <w:highlight w:val="none"/>
        </w:rPr>
      </w:pPr>
    </w:p>
    <w:p w14:paraId="19516B94">
      <w:pPr>
        <w:rPr>
          <w:rFonts w:ascii="宋体" w:hAnsi="Times New Roman" w:eastAsia="宋体" w:cs="Times New Roman"/>
          <w:b/>
          <w:color w:val="auto"/>
          <w:sz w:val="32"/>
          <w:szCs w:val="22"/>
          <w:highlight w:val="none"/>
        </w:rPr>
      </w:pPr>
    </w:p>
    <w:p w14:paraId="29DD67AB">
      <w:pPr>
        <w:rPr>
          <w:rFonts w:ascii="宋体" w:hAnsi="Times New Roman" w:eastAsia="宋体" w:cs="Times New Roman"/>
          <w:b/>
          <w:color w:val="auto"/>
          <w:sz w:val="32"/>
          <w:szCs w:val="22"/>
          <w:highlight w:val="none"/>
        </w:rPr>
      </w:pPr>
    </w:p>
    <w:p w14:paraId="1071577D">
      <w:pPr>
        <w:rPr>
          <w:rFonts w:ascii="宋体" w:hAnsi="Times New Roman" w:eastAsia="宋体" w:cs="Times New Roman"/>
          <w:b/>
          <w:color w:val="auto"/>
          <w:sz w:val="32"/>
          <w:szCs w:val="22"/>
          <w:highlight w:val="none"/>
        </w:rPr>
      </w:pPr>
    </w:p>
    <w:p w14:paraId="6D49F08F">
      <w:pPr>
        <w:rPr>
          <w:rFonts w:ascii="宋体" w:hAnsi="Times New Roman" w:eastAsia="宋体" w:cs="Times New Roman"/>
          <w:b/>
          <w:color w:val="auto"/>
          <w:sz w:val="32"/>
          <w:szCs w:val="22"/>
          <w:highlight w:val="none"/>
        </w:rPr>
      </w:pPr>
    </w:p>
    <w:p w14:paraId="144AE22F">
      <w:pPr>
        <w:rPr>
          <w:rFonts w:ascii="宋体" w:hAnsi="Times New Roman" w:eastAsia="宋体" w:cs="Times New Roman"/>
          <w:b/>
          <w:color w:val="auto"/>
          <w:sz w:val="32"/>
          <w:szCs w:val="22"/>
          <w:highlight w:val="none"/>
        </w:rPr>
      </w:pPr>
    </w:p>
    <w:p w14:paraId="4949F2FD">
      <w:pPr>
        <w:spacing w:line="500" w:lineRule="exact"/>
        <w:ind w:firstLine="1687"/>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甲方：（买方）盐城市公安局亭湖分局</w:t>
      </w:r>
    </w:p>
    <w:p w14:paraId="07FC4A28">
      <w:pPr>
        <w:spacing w:line="500" w:lineRule="exact"/>
        <w:ind w:firstLine="1687"/>
        <w:rPr>
          <w:rFonts w:hint="eastAsia" w:ascii="宋体" w:hAnsi="宋体" w:eastAsia="宋体" w:cs="宋体"/>
          <w:color w:val="auto"/>
          <w:sz w:val="24"/>
          <w:szCs w:val="22"/>
          <w:highlight w:val="none"/>
        </w:rPr>
      </w:pPr>
      <w:r>
        <w:rPr>
          <w:rFonts w:hint="eastAsia" w:ascii="Times New Roman" w:hAnsi="宋体" w:eastAsia="宋体" w:cs="宋体"/>
          <w:b/>
          <w:bCs/>
          <w:color w:val="auto"/>
          <w:sz w:val="28"/>
          <w:szCs w:val="28"/>
          <w:highlight w:val="none"/>
        </w:rPr>
        <w:t>乙方：（卖方）</w:t>
      </w:r>
    </w:p>
    <w:p w14:paraId="47768ED6">
      <w:pPr>
        <w:spacing w:line="500" w:lineRule="exact"/>
        <w:ind w:firstLine="480"/>
        <w:rPr>
          <w:rFonts w:hint="eastAsia" w:ascii="宋体" w:hAnsi="宋体" w:eastAsia="宋体" w:cs="宋体"/>
          <w:color w:val="auto"/>
          <w:sz w:val="24"/>
          <w:szCs w:val="22"/>
          <w:highlight w:val="none"/>
        </w:rPr>
      </w:pPr>
    </w:p>
    <w:p w14:paraId="7873FE36">
      <w:pPr>
        <w:spacing w:line="500" w:lineRule="exact"/>
        <w:rPr>
          <w:rFonts w:hint="eastAsia" w:ascii="宋体" w:hAnsi="宋体" w:eastAsia="宋体" w:cs="宋体"/>
          <w:color w:val="auto"/>
          <w:sz w:val="24"/>
          <w:szCs w:val="22"/>
          <w:highlight w:val="none"/>
        </w:rPr>
      </w:pPr>
    </w:p>
    <w:p w14:paraId="41A22BC1">
      <w:pPr>
        <w:pStyle w:val="217"/>
        <w:rPr>
          <w:color w:val="auto"/>
          <w:highlight w:val="none"/>
        </w:rPr>
      </w:pPr>
    </w:p>
    <w:p w14:paraId="4447EE0C">
      <w:pPr>
        <w:pStyle w:val="217"/>
        <w:rPr>
          <w:color w:val="auto"/>
          <w:highlight w:val="none"/>
        </w:rPr>
      </w:pPr>
    </w:p>
    <w:p w14:paraId="4B58C181">
      <w:pPr>
        <w:pStyle w:val="217"/>
        <w:rPr>
          <w:color w:val="auto"/>
          <w:highlight w:val="none"/>
        </w:rPr>
      </w:pPr>
    </w:p>
    <w:p w14:paraId="63AAF522">
      <w:pPr>
        <w:spacing w:line="500" w:lineRule="exact"/>
        <w:rPr>
          <w:rFonts w:hint="eastAsia" w:ascii="宋体" w:hAnsi="宋体" w:eastAsia="宋体" w:cs="宋体"/>
          <w:color w:val="auto"/>
          <w:sz w:val="24"/>
          <w:szCs w:val="22"/>
          <w:highlight w:val="none"/>
        </w:rPr>
      </w:pPr>
    </w:p>
    <w:p w14:paraId="06DCBBA0">
      <w:pPr>
        <w:spacing w:line="500" w:lineRule="exact"/>
        <w:rPr>
          <w:rFonts w:hint="eastAsia" w:ascii="宋体" w:hAnsi="宋体" w:eastAsia="宋体" w:cs="宋体"/>
          <w:color w:val="auto"/>
          <w:sz w:val="24"/>
          <w:szCs w:val="22"/>
          <w:highlight w:val="none"/>
        </w:rPr>
      </w:pPr>
    </w:p>
    <w:p w14:paraId="36FE6C67">
      <w:pPr>
        <w:pStyle w:val="38"/>
        <w:rPr>
          <w:rFonts w:hint="eastAsia"/>
          <w:color w:val="auto"/>
          <w:highlight w:val="none"/>
        </w:rPr>
      </w:pPr>
    </w:p>
    <w:p w14:paraId="044FAEF8">
      <w:pPr>
        <w:pStyle w:val="38"/>
        <w:rPr>
          <w:rFonts w:hint="eastAsia"/>
          <w:color w:val="auto"/>
          <w:highlight w:val="none"/>
        </w:rPr>
      </w:pPr>
    </w:p>
    <w:p w14:paraId="2C1AA855">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项目名称：盐城市公安局亭湖分局农村地区智慧安防村居建设(2026年)项目</w:t>
      </w:r>
    </w:p>
    <w:p w14:paraId="38361061">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p>
    <w:p w14:paraId="6EB07B35">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甲方：（买方）盐城市公安局亭湖分局</w:t>
      </w:r>
    </w:p>
    <w:p w14:paraId="6AD8BAEE">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乙方：（卖方） </w:t>
      </w:r>
    </w:p>
    <w:p w14:paraId="4997CFD0">
      <w:pPr>
        <w:spacing w:line="500" w:lineRule="exact"/>
        <w:ind w:firstLine="48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甲、乙双方根据盐城市公安局亭湖分局农村地区智慧安防村居建设(2026年)项目公开招标的结果，签署本合同。</w:t>
      </w:r>
    </w:p>
    <w:p w14:paraId="33FEE308">
      <w:pPr>
        <w:spacing w:line="500" w:lineRule="exact"/>
        <w:ind w:firstLine="482"/>
        <w:outlineLvl w:val="1"/>
        <w:rPr>
          <w:rFonts w:hint="eastAsia" w:ascii="宋体" w:hAnsi="宋体" w:eastAsia="宋体" w:cs="宋体"/>
          <w:b/>
          <w:color w:val="auto"/>
          <w:sz w:val="21"/>
          <w:szCs w:val="21"/>
          <w:highlight w:val="none"/>
        </w:rPr>
      </w:pPr>
      <w:bookmarkStart w:id="172" w:name="_Toc10523"/>
      <w:bookmarkStart w:id="173" w:name="_Toc22903"/>
      <w:r>
        <w:rPr>
          <w:rFonts w:hint="eastAsia" w:ascii="宋体" w:hAnsi="宋体" w:eastAsia="宋体" w:cs="宋体"/>
          <w:b/>
          <w:color w:val="auto"/>
          <w:sz w:val="21"/>
          <w:szCs w:val="21"/>
          <w:highlight w:val="none"/>
        </w:rPr>
        <w:t>一、货物内容</w:t>
      </w:r>
      <w:bookmarkEnd w:id="172"/>
      <w:bookmarkEnd w:id="173"/>
    </w:p>
    <w:p w14:paraId="76863471">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产品/服务内容：盐城市公安局亭湖分局智慧安防村居建设的改造服务项目，主要包含（但不仅限于）前后端设备、视频监控、存储、安全设备、光纤线路等相关设备及配件的供货、安装、调试、验收、技术培训、售前、售后</w:t>
      </w:r>
      <w:r>
        <w:rPr>
          <w:rFonts w:hint="eastAsia" w:ascii="宋体" w:hAnsi="宋体" w:eastAsia="宋体" w:cs="宋体"/>
          <w:bCs/>
          <w:color w:val="auto"/>
          <w:sz w:val="21"/>
          <w:szCs w:val="21"/>
          <w:highlight w:val="none"/>
        </w:rPr>
        <w:t>（含质保及维保）</w:t>
      </w:r>
      <w:r>
        <w:rPr>
          <w:rFonts w:hint="eastAsia" w:ascii="宋体" w:hAnsi="宋体" w:eastAsia="宋体" w:cs="宋体"/>
          <w:color w:val="auto"/>
          <w:sz w:val="21"/>
          <w:szCs w:val="21"/>
          <w:highlight w:val="none"/>
        </w:rPr>
        <w:t>等相关伴随服务，具体要求详见项目需求和投标报价表，采购人保留对上述采购规模进行调整的权利。</w:t>
      </w:r>
    </w:p>
    <w:p w14:paraId="374955DC">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 服务期限：_________</w:t>
      </w:r>
    </w:p>
    <w:p w14:paraId="25A47CEF">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 补充条款：_________</w:t>
      </w:r>
    </w:p>
    <w:p w14:paraId="64D27401">
      <w:pPr>
        <w:spacing w:line="500" w:lineRule="exact"/>
        <w:ind w:firstLine="482"/>
        <w:outlineLvl w:val="1"/>
        <w:rPr>
          <w:rFonts w:hint="eastAsia" w:ascii="宋体" w:hAnsi="宋体" w:eastAsia="宋体" w:cs="宋体"/>
          <w:b/>
          <w:color w:val="auto"/>
          <w:sz w:val="21"/>
          <w:szCs w:val="21"/>
          <w:highlight w:val="none"/>
        </w:rPr>
      </w:pPr>
      <w:bookmarkStart w:id="174" w:name="_Toc28243"/>
      <w:bookmarkStart w:id="175" w:name="_Toc26546"/>
      <w:r>
        <w:rPr>
          <w:rFonts w:hint="eastAsia" w:ascii="宋体" w:hAnsi="宋体" w:eastAsia="宋体" w:cs="宋体"/>
          <w:b/>
          <w:color w:val="auto"/>
          <w:sz w:val="21"/>
          <w:szCs w:val="21"/>
          <w:highlight w:val="none"/>
        </w:rPr>
        <w:t>二、合同金额</w:t>
      </w:r>
      <w:bookmarkEnd w:id="174"/>
      <w:bookmarkEnd w:id="175"/>
    </w:p>
    <w:p w14:paraId="071CA1CC">
      <w:pPr>
        <w:spacing w:line="500" w:lineRule="exact"/>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本合同金额为（大写）：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元）人民币或其他币种。</w:t>
      </w:r>
    </w:p>
    <w:p w14:paraId="1596C62C">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r>
        <w:rPr>
          <w:rFonts w:hint="eastAsia" w:ascii="宋体" w:hAnsi="宋体" w:eastAsia="宋体" w:cs="宋体"/>
          <w:color w:val="auto"/>
          <w:sz w:val="21"/>
          <w:szCs w:val="21"/>
          <w:highlight w:val="none"/>
          <w:lang w:val="zh-CN"/>
        </w:rPr>
        <w:t>该合同的货物及服务价格即合同价，应包括为完成招标文件、采购清单中的所有内容，乙方已充分考虑为完成上述内容所必须的全部招标货物并进行相关服务所需的所有费用，即主要包括（但不限于）：所投产品费用、货物价格（含全套货物、配件、备品备件、专用工具、技术资料等）、直接和间接成本费、劳务费、竣工面的清洁费、垃圾清运费、包装费、采购费、运杂费（含运输费）、装卸费、编码上架费、保险费、保修费、管理费、配合费、安装费、调试费、检测费、测试验收费、技术（含操作、维护等）培训及运行维护费用、税金、利润、风险费、成品保护费、国际国内运输保险、报关清关、开证、办理全套免税手续费用、不可预见费及其他一切相关费用等所需的全部费用，凡漏项或少计均视为优惠，甲方不另行增加费用。各类风险和政策性调整等风险已包括在合同价中，最终结算时除合同约定调整外一律不予调整。乙方已充分考虑人工、材料、生产供货周期等一切导致货物上涨的风险因素，并考虑了甲方要求分批供货而导致货物价格波动的风险，其一切风险均由乙方自行</w:t>
      </w:r>
      <w:r>
        <w:rPr>
          <w:rFonts w:hint="eastAsia" w:ascii="宋体" w:hAnsi="宋体" w:eastAsia="宋体" w:cs="宋体"/>
          <w:color w:val="auto"/>
          <w:sz w:val="21"/>
          <w:szCs w:val="21"/>
          <w:highlight w:val="none"/>
        </w:rPr>
        <w:t>负责。</w:t>
      </w:r>
    </w:p>
    <w:p w14:paraId="65FEF0A3">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2.3本合同价款包含所有乙方提供合同约定产品和服务的报酬及乙方提供合同中产品和服务所支出的必要费用，甲方在上述合同价款之外不再向乙方支付其他任何费用。</w:t>
      </w:r>
    </w:p>
    <w:p w14:paraId="51F449EC">
      <w:pPr>
        <w:spacing w:line="500" w:lineRule="exact"/>
        <w:ind w:firstLine="482"/>
        <w:outlineLvl w:val="1"/>
        <w:rPr>
          <w:rFonts w:hint="eastAsia" w:ascii="宋体" w:hAnsi="宋体" w:eastAsia="宋体" w:cs="宋体"/>
          <w:b/>
          <w:color w:val="auto"/>
          <w:sz w:val="21"/>
          <w:szCs w:val="21"/>
          <w:highlight w:val="none"/>
        </w:rPr>
      </w:pPr>
      <w:bookmarkStart w:id="176" w:name="_Toc32000"/>
      <w:bookmarkStart w:id="177" w:name="_Toc26109"/>
      <w:r>
        <w:rPr>
          <w:rFonts w:hint="eastAsia" w:ascii="宋体" w:hAnsi="宋体" w:eastAsia="宋体" w:cs="宋体"/>
          <w:b/>
          <w:color w:val="auto"/>
          <w:sz w:val="21"/>
          <w:szCs w:val="21"/>
          <w:highlight w:val="none"/>
        </w:rPr>
        <w:t>三、技术资料</w:t>
      </w:r>
      <w:bookmarkEnd w:id="176"/>
      <w:bookmarkEnd w:id="177"/>
    </w:p>
    <w:p w14:paraId="6BB52495">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3.1乙方应按招标文件规定的时间向甲方提供有关技术资料。</w:t>
      </w:r>
    </w:p>
    <w:p w14:paraId="5FEFC739">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p>
    <w:p w14:paraId="333F0CB8">
      <w:pPr>
        <w:spacing w:line="500" w:lineRule="exact"/>
        <w:ind w:firstLine="482"/>
        <w:outlineLvl w:val="1"/>
        <w:rPr>
          <w:rFonts w:hint="eastAsia" w:ascii="宋体" w:hAnsi="宋体" w:eastAsia="宋体" w:cs="宋体"/>
          <w:b/>
          <w:color w:val="auto"/>
          <w:sz w:val="21"/>
          <w:szCs w:val="21"/>
          <w:highlight w:val="none"/>
        </w:rPr>
      </w:pPr>
      <w:bookmarkStart w:id="178" w:name="_Toc12568"/>
      <w:bookmarkStart w:id="179" w:name="_Toc2217"/>
      <w:r>
        <w:rPr>
          <w:rFonts w:hint="eastAsia" w:ascii="宋体" w:hAnsi="宋体" w:eastAsia="宋体" w:cs="宋体"/>
          <w:b/>
          <w:color w:val="auto"/>
          <w:sz w:val="21"/>
          <w:szCs w:val="21"/>
          <w:highlight w:val="none"/>
        </w:rPr>
        <w:t>四、知识产权</w:t>
      </w:r>
      <w:bookmarkEnd w:id="178"/>
      <w:bookmarkEnd w:id="179"/>
    </w:p>
    <w:p w14:paraId="37837987">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4.1乙方应保证甲方在使用、接受本合同货物和服务或其任何一部分时不受第三方提出侵犯其专利权、版权、商标权和工业设计权等知识产权的起诉。一旦出现侵权，由乙方负全部责任。</w:t>
      </w:r>
    </w:p>
    <w:p w14:paraId="444968CC">
      <w:pPr>
        <w:spacing w:line="500" w:lineRule="exact"/>
        <w:ind w:firstLine="482"/>
        <w:outlineLvl w:val="1"/>
        <w:rPr>
          <w:rFonts w:hint="eastAsia" w:ascii="宋体" w:hAnsi="宋体" w:eastAsia="宋体" w:cs="宋体"/>
          <w:b/>
          <w:color w:val="auto"/>
          <w:sz w:val="21"/>
          <w:szCs w:val="21"/>
          <w:highlight w:val="none"/>
        </w:rPr>
      </w:pPr>
      <w:bookmarkStart w:id="180" w:name="_Toc31486"/>
      <w:bookmarkStart w:id="181" w:name="_Toc1675"/>
      <w:r>
        <w:rPr>
          <w:rFonts w:hint="eastAsia" w:ascii="宋体" w:hAnsi="宋体" w:eastAsia="宋体" w:cs="宋体"/>
          <w:b/>
          <w:color w:val="auto"/>
          <w:sz w:val="21"/>
          <w:szCs w:val="21"/>
          <w:highlight w:val="none"/>
        </w:rPr>
        <w:t>五、产权担保</w:t>
      </w:r>
      <w:bookmarkEnd w:id="180"/>
      <w:bookmarkEnd w:id="181"/>
    </w:p>
    <w:p w14:paraId="4C4C3768">
      <w:pPr>
        <w:spacing w:line="5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5.1 乙方保证所交付的货物的所有权完全属于乙方且无任何抵押、查封等产权瑕疵。</w:t>
      </w:r>
    </w:p>
    <w:p w14:paraId="1E1FC5A7">
      <w:pPr>
        <w:spacing w:line="500" w:lineRule="exact"/>
        <w:ind w:firstLine="482"/>
        <w:outlineLvl w:val="1"/>
        <w:rPr>
          <w:rFonts w:hint="eastAsia" w:ascii="宋体" w:hAnsi="宋体" w:eastAsia="宋体" w:cs="宋体"/>
          <w:b/>
          <w:color w:val="auto"/>
          <w:sz w:val="21"/>
          <w:szCs w:val="21"/>
          <w:highlight w:val="none"/>
        </w:rPr>
      </w:pPr>
      <w:bookmarkStart w:id="182" w:name="_Toc25624"/>
      <w:bookmarkStart w:id="183" w:name="_Toc4738"/>
      <w:r>
        <w:rPr>
          <w:rFonts w:hint="eastAsia" w:ascii="宋体" w:hAnsi="宋体" w:eastAsia="宋体" w:cs="宋体"/>
          <w:b/>
          <w:color w:val="auto"/>
          <w:sz w:val="21"/>
          <w:szCs w:val="21"/>
          <w:highlight w:val="none"/>
        </w:rPr>
        <w:t>六、履约保证金</w:t>
      </w:r>
      <w:bookmarkEnd w:id="182"/>
      <w:bookmarkEnd w:id="183"/>
      <w:r>
        <w:rPr>
          <w:rFonts w:hint="eastAsia" w:ascii="宋体" w:hAnsi="宋体" w:eastAsia="宋体" w:cs="宋体"/>
          <w:b/>
          <w:color w:val="auto"/>
          <w:sz w:val="21"/>
          <w:szCs w:val="21"/>
          <w:highlight w:val="none"/>
        </w:rPr>
        <w:t>的收取及退还：</w:t>
      </w:r>
    </w:p>
    <w:p w14:paraId="7B1429DC">
      <w:pPr>
        <w:spacing w:line="500" w:lineRule="exact"/>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6.1乙方交纳人民币_________元作为本合同的履约保证金（合同金额的10%）。</w:t>
      </w:r>
    </w:p>
    <w:p w14:paraId="35EE6862">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乙方提供AA评级及以上政府采购信用管理部门备案的第三方信用报告，免收履约保证金。</w:t>
      </w:r>
    </w:p>
    <w:p w14:paraId="2FA0325B">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6.2确需收取履约保证金的，履约保证金的缴纳形式：</w:t>
      </w:r>
    </w:p>
    <w:p w14:paraId="30FABC8C">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3395263">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6.2.2如以履约保函（保险）形式缴纳履约保证金，供应商可通过政府采购电子履约保函（保险）平台（www.jsdzbh.com）在线申请履约保函（保险）。</w:t>
      </w:r>
    </w:p>
    <w:p w14:paraId="0FB4003B">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6.3合同履行结束后，甲方应及时退还交纳的履约保证金。</w:t>
      </w:r>
    </w:p>
    <w:p w14:paraId="41932004">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6.4履约保证金的退还：</w:t>
      </w:r>
    </w:p>
    <w:p w14:paraId="2D47A2C8">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6.4.1方式：退还至投标人缴纳履约保证金的账户。如为保函，在到期时自行失效。</w:t>
      </w:r>
    </w:p>
    <w:p w14:paraId="2906D8CB">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6.4.2时间：验收合格且采购人收到发票后30日内。</w:t>
      </w:r>
    </w:p>
    <w:p w14:paraId="34642D3B">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6.4.3条件：按合同要求全部履约完成并经采购人验收合格，且采购人收到中标人出具的发票。</w:t>
      </w:r>
    </w:p>
    <w:p w14:paraId="5D49FD15">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6.4.4不予退还情形：</w:t>
      </w:r>
    </w:p>
    <w:p w14:paraId="0DCD187A">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除不可抗力情况外，投标人出现下列情形之一的，其履约保证金，招标人将视情节决定不予退还或部分不予退还。</w:t>
      </w:r>
    </w:p>
    <w:p w14:paraId="7EF283DC">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（1）中标人无正当理由拒绝签订合同的，或者在签订合同时向采购人提出附加条件或者更改合同实质性内容要求的；</w:t>
      </w:r>
    </w:p>
    <w:p w14:paraId="7E25DD73">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（2）中标人不履行与采购人订立的合同的；</w:t>
      </w:r>
    </w:p>
    <w:p w14:paraId="2370B3CF">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（3）中标人所供货物或服务不符合招标文件规定要求的；</w:t>
      </w:r>
    </w:p>
    <w:p w14:paraId="15C3836D">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（4）中标人采取欺骗、弄虚作假方式投标的或与其他投标人串通投标的；</w:t>
      </w:r>
    </w:p>
    <w:p w14:paraId="0E6EAD0B">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（5）中标人将合同内容转包、违法分包的；</w:t>
      </w:r>
    </w:p>
    <w:p w14:paraId="008AD11B">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（6）中标人故意捏造事实或伪造证明材料，进行虚假恶意投诉或反映的。</w:t>
      </w:r>
    </w:p>
    <w:p w14:paraId="28EF8594">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6.4.5逾期退还的违约责任：采购人逾期无故未退还履约保证金的，按中国人民银行同期贷款基准利率上浮20%后的利率支付超期资金占用费，但因供应商自身原因导致无法及时退还的除外。</w:t>
      </w:r>
    </w:p>
    <w:p w14:paraId="7D337F20">
      <w:pPr>
        <w:spacing w:line="500" w:lineRule="exact"/>
        <w:ind w:firstLine="482"/>
        <w:outlineLvl w:val="1"/>
        <w:rPr>
          <w:rFonts w:hint="eastAsia" w:ascii="宋体" w:hAnsi="宋体" w:eastAsia="宋体" w:cs="宋体"/>
          <w:b/>
          <w:color w:val="auto"/>
          <w:sz w:val="21"/>
          <w:szCs w:val="21"/>
          <w:highlight w:val="none"/>
        </w:rPr>
      </w:pPr>
      <w:bookmarkStart w:id="184" w:name="_Toc15133"/>
      <w:bookmarkStart w:id="185" w:name="_Toc25913"/>
      <w:r>
        <w:rPr>
          <w:rFonts w:hint="eastAsia" w:ascii="宋体" w:hAnsi="宋体" w:eastAsia="宋体" w:cs="宋体"/>
          <w:b/>
          <w:color w:val="auto"/>
          <w:sz w:val="21"/>
          <w:szCs w:val="21"/>
          <w:highlight w:val="none"/>
        </w:rPr>
        <w:t>七、转包或分包</w:t>
      </w:r>
      <w:bookmarkEnd w:id="184"/>
      <w:bookmarkEnd w:id="185"/>
    </w:p>
    <w:p w14:paraId="6EE58BB4">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7.1本合同范围内产品或服务，应由乙方直接供应，不得转让他人供应；</w:t>
      </w:r>
    </w:p>
    <w:p w14:paraId="5CD08CCD">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 除非得到甲方的书面同意，乙方不得部分分包给他人供应；</w:t>
      </w:r>
    </w:p>
    <w:p w14:paraId="19924F7D">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7.3如有转让和未经甲方同意的分包行为，甲方有权给予终止合同。</w:t>
      </w:r>
    </w:p>
    <w:p w14:paraId="1572DFBC">
      <w:pPr>
        <w:spacing w:line="500" w:lineRule="exact"/>
        <w:ind w:firstLine="482"/>
        <w:outlineLvl w:val="1"/>
        <w:rPr>
          <w:rFonts w:hint="eastAsia" w:ascii="宋体" w:hAnsi="宋体" w:eastAsia="宋体" w:cs="宋体"/>
          <w:b/>
          <w:color w:val="auto"/>
          <w:sz w:val="21"/>
          <w:szCs w:val="21"/>
          <w:highlight w:val="none"/>
        </w:rPr>
      </w:pPr>
      <w:bookmarkStart w:id="186" w:name="_Toc13032"/>
      <w:bookmarkStart w:id="187" w:name="_Toc2822"/>
      <w:r>
        <w:rPr>
          <w:rFonts w:hint="eastAsia" w:ascii="宋体" w:hAnsi="宋体" w:eastAsia="宋体" w:cs="宋体"/>
          <w:b/>
          <w:color w:val="auto"/>
          <w:sz w:val="21"/>
          <w:szCs w:val="21"/>
          <w:highlight w:val="none"/>
        </w:rPr>
        <w:t>八、</w:t>
      </w:r>
      <w:bookmarkEnd w:id="186"/>
      <w:bookmarkEnd w:id="187"/>
      <w:r>
        <w:rPr>
          <w:rFonts w:hint="eastAsia" w:ascii="宋体" w:hAnsi="宋体" w:eastAsia="宋体" w:cs="宋体"/>
          <w:b/>
          <w:color w:val="auto"/>
          <w:sz w:val="21"/>
          <w:szCs w:val="21"/>
          <w:highlight w:val="none"/>
        </w:rPr>
        <w:t>质保期</w:t>
      </w:r>
    </w:p>
    <w:p w14:paraId="48CB0D54">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 质保期：验收合格之日起</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p>
    <w:p w14:paraId="1552C208">
      <w:pPr>
        <w:spacing w:line="500" w:lineRule="exact"/>
        <w:ind w:firstLine="482"/>
        <w:outlineLvl w:val="1"/>
        <w:rPr>
          <w:rFonts w:hint="eastAsia" w:ascii="宋体" w:hAnsi="宋体" w:eastAsia="宋体" w:cs="宋体"/>
          <w:b/>
          <w:color w:val="auto"/>
          <w:sz w:val="21"/>
          <w:szCs w:val="21"/>
          <w:highlight w:val="none"/>
        </w:rPr>
      </w:pPr>
      <w:bookmarkStart w:id="188" w:name="_Toc15184"/>
      <w:bookmarkStart w:id="189" w:name="_Toc14479"/>
      <w:r>
        <w:rPr>
          <w:rFonts w:hint="eastAsia" w:ascii="宋体" w:hAnsi="宋体" w:eastAsia="宋体" w:cs="宋体"/>
          <w:b/>
          <w:color w:val="auto"/>
          <w:sz w:val="21"/>
          <w:szCs w:val="21"/>
          <w:highlight w:val="none"/>
        </w:rPr>
        <w:t>九、交付期、交付方式及交付地点</w:t>
      </w:r>
      <w:bookmarkEnd w:id="188"/>
      <w:bookmarkEnd w:id="189"/>
    </w:p>
    <w:p w14:paraId="7CAC3F84">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9.1 交付期：60个日历天内完成升级改造并通过验收，</w:t>
      </w:r>
      <w:r>
        <w:rPr>
          <w:rFonts w:hint="eastAsia" w:ascii="宋体" w:hAnsi="宋体" w:eastAsia="宋体" w:cs="宋体"/>
          <w:color w:val="auto"/>
          <w:sz w:val="21"/>
          <w:szCs w:val="21"/>
          <w:highlight w:val="none"/>
        </w:rPr>
        <w:t>运营服务期限为验收合格之日起五年。</w:t>
      </w:r>
    </w:p>
    <w:p w14:paraId="0777F6BA">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9.2 交付方式：</w:t>
      </w:r>
      <w:r>
        <w:rPr>
          <w:rFonts w:hint="eastAsia" w:ascii="宋体" w:hAnsi="宋体" w:eastAsia="宋体" w:cs="宋体"/>
          <w:color w:val="auto"/>
          <w:sz w:val="21"/>
          <w:szCs w:val="21"/>
          <w:highlight w:val="none"/>
          <w:u w:val="single"/>
        </w:rPr>
        <w:t>按甲方要求</w:t>
      </w:r>
      <w:r>
        <w:rPr>
          <w:rFonts w:hint="eastAsia" w:ascii="宋体" w:hAnsi="宋体" w:eastAsia="宋体" w:cs="宋体"/>
          <w:color w:val="auto"/>
          <w:sz w:val="21"/>
          <w:szCs w:val="21"/>
          <w:highlight w:val="none"/>
        </w:rPr>
        <w:t>。</w:t>
      </w:r>
    </w:p>
    <w:p w14:paraId="1BAD814F">
      <w:pPr>
        <w:spacing w:line="500" w:lineRule="exact"/>
        <w:ind w:firstLine="480"/>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9.3 交付地点：</w:t>
      </w:r>
      <w:r>
        <w:rPr>
          <w:rFonts w:hint="eastAsia" w:ascii="宋体" w:hAnsi="宋体" w:eastAsia="宋体" w:cs="宋体"/>
          <w:color w:val="auto"/>
          <w:sz w:val="21"/>
          <w:szCs w:val="21"/>
          <w:highlight w:val="none"/>
          <w:u w:val="single"/>
        </w:rPr>
        <w:t>按甲方指定地点</w:t>
      </w:r>
      <w:r>
        <w:rPr>
          <w:rFonts w:hint="eastAsia" w:ascii="宋体" w:hAnsi="宋体" w:eastAsia="宋体" w:cs="宋体"/>
          <w:color w:val="auto"/>
          <w:sz w:val="21"/>
          <w:szCs w:val="21"/>
          <w:highlight w:val="none"/>
        </w:rPr>
        <w:t>。</w:t>
      </w:r>
    </w:p>
    <w:p w14:paraId="487DC351">
      <w:pPr>
        <w:spacing w:line="500" w:lineRule="exact"/>
        <w:ind w:firstLine="482"/>
        <w:outlineLvl w:val="1"/>
        <w:rPr>
          <w:rFonts w:hint="eastAsia" w:ascii="宋体" w:hAnsi="宋体" w:eastAsia="宋体" w:cs="宋体"/>
          <w:b/>
          <w:color w:val="auto"/>
          <w:sz w:val="21"/>
          <w:szCs w:val="21"/>
          <w:highlight w:val="none"/>
        </w:rPr>
      </w:pPr>
      <w:bookmarkStart w:id="190" w:name="_Toc17303"/>
      <w:bookmarkStart w:id="191" w:name="_Toc17645"/>
      <w:r>
        <w:rPr>
          <w:rFonts w:hint="eastAsia" w:ascii="宋体" w:hAnsi="宋体" w:eastAsia="宋体" w:cs="宋体"/>
          <w:b/>
          <w:color w:val="auto"/>
          <w:sz w:val="21"/>
          <w:szCs w:val="21"/>
          <w:highlight w:val="none"/>
        </w:rPr>
        <w:t>十、服务费支付</w:t>
      </w:r>
      <w:bookmarkEnd w:id="190"/>
      <w:r>
        <w:rPr>
          <w:rFonts w:hint="eastAsia" w:ascii="宋体" w:hAnsi="宋体" w:eastAsia="宋体" w:cs="宋体"/>
          <w:b/>
          <w:color w:val="auto"/>
          <w:sz w:val="21"/>
          <w:szCs w:val="21"/>
          <w:highlight w:val="none"/>
        </w:rPr>
        <w:t>及结算</w:t>
      </w:r>
      <w:bookmarkEnd w:id="191"/>
    </w:p>
    <w:p w14:paraId="6D1D1616">
      <w:pPr>
        <w:spacing w:line="500" w:lineRule="exact"/>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10.1 付款方式：</w:t>
      </w:r>
    </w:p>
    <w:p w14:paraId="0009B8EA">
      <w:pPr>
        <w:spacing w:line="500" w:lineRule="exact"/>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本项目按乙方的投标承诺书中承诺的运营服务期限安排付款（5年），费用按年支付。采购合同签订后，甲方在收到乙方发票后10个工作日内付预付款至合同价的30%（第一次付款）（在签订合同时，乙方明确书面表示无需预付款或者主动要求降低预付款比例的，甲方可就预付款比例作相应调整），验收后付至合同价的40%（含预付款，此次为第二次付款）。余下款项待审计结束后，按照审计价扣除已付款项后除以剩余投标服务期（不足整年按整年计算）平均支付，最后一次付款在乙方承诺的运营期满后付清。上述付款均无利息。每周期付费时须凭甲方出具的完好率的相关证明，如服务不到位导致扣款的直接在当期服务费内扣除。</w:t>
      </w:r>
    </w:p>
    <w:p w14:paraId="0EA48A1E">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10.2当提供服务数量与实际使用数量不一致时，乙方应根据实际使用量提供产品和服务，合同的最终结算金额按实际使用量乘以成交单价进行计算。</w:t>
      </w:r>
    </w:p>
    <w:p w14:paraId="0DD02753">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10.3结算方式： </w:t>
      </w:r>
    </w:p>
    <w:p w14:paraId="6769C7DE">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审计时间：项目验收合格后一年内完成，逾期完成一切后果由乙方承担。本项目，决算审计核减报审价格5%（含）的，甲方承担审计费用；项目决算审计核减报审价格5%（不含）—10%（含）的，超出5%部分的审计服务费，由施工单位承担；项目审计核减超过报审价格10%（不含）的，所有审计服务费由施工单位承担。</w:t>
      </w:r>
    </w:p>
    <w:p w14:paraId="6505187D">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10.4运营服务期满后，设备应完好无损（完好率达到99%）、且确保满足使用方正常使用，否则不予支付最后一年运营服务费用。</w:t>
      </w:r>
    </w:p>
    <w:p w14:paraId="38884C11">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10.5本项目须无条件接受延伸审计的要求，将相关单独核算管理项目的财务资料提供给建设单位作为竣工验收资料的必要组成部分。</w:t>
      </w:r>
    </w:p>
    <w:p w14:paraId="3307A5F3">
      <w:pPr>
        <w:spacing w:line="500" w:lineRule="exact"/>
        <w:ind w:firstLine="48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10.6本项目第3个付款周期后（含本数）的实际付款金额按照每月监控设备画面在线率考核情况累加，计费规则为：</w:t>
      </w:r>
      <w:r>
        <w:rPr>
          <w:rFonts w:hint="eastAsia" w:ascii="宋体" w:hAnsi="宋体" w:eastAsia="宋体" w:cs="宋体"/>
          <w:b/>
          <w:bCs/>
          <w:color w:val="auto"/>
          <w:sz w:val="21"/>
          <w:szCs w:val="21"/>
          <w:highlight w:val="none"/>
          <w:u w:val="single"/>
        </w:rPr>
        <w:t>月合同付款金额</w:t>
      </w:r>
      <w:r>
        <w:rPr>
          <w:rFonts w:hint="eastAsia" w:ascii="宋体" w:hAnsi="宋体" w:eastAsia="宋体" w:cs="宋体"/>
          <w:b/>
          <w:bCs/>
          <w:color w:val="auto"/>
          <w:sz w:val="21"/>
          <w:szCs w:val="21"/>
          <w:highlight w:val="none"/>
        </w:rPr>
        <w:t>=本次付款周期合同总金额/周期月数，</w:t>
      </w:r>
      <w:r>
        <w:rPr>
          <w:rFonts w:hint="eastAsia" w:ascii="宋体" w:hAnsi="宋体" w:eastAsia="宋体" w:cs="宋体"/>
          <w:b/>
          <w:bCs/>
          <w:color w:val="auto"/>
          <w:sz w:val="21"/>
          <w:szCs w:val="21"/>
          <w:highlight w:val="none"/>
          <w:u w:val="single"/>
        </w:rPr>
        <w:t>月实际付款金额</w:t>
      </w:r>
      <w:r>
        <w:rPr>
          <w:rFonts w:hint="eastAsia" w:ascii="宋体" w:hAnsi="宋体" w:eastAsia="宋体" w:cs="宋体"/>
          <w:b/>
          <w:bCs/>
          <w:color w:val="auto"/>
          <w:sz w:val="21"/>
          <w:szCs w:val="21"/>
          <w:highlight w:val="none"/>
        </w:rPr>
        <w:t>=月合同付款金额*（1-扣除比例），本次付款周期实际应付金额为本周期内每月实际付款金额累加所得。（详见本合同条款20.10）</w:t>
      </w:r>
    </w:p>
    <w:p w14:paraId="678D3AD6">
      <w:pPr>
        <w:spacing w:line="500" w:lineRule="exact"/>
        <w:ind w:firstLine="482"/>
        <w:outlineLvl w:val="1"/>
        <w:rPr>
          <w:rFonts w:hint="eastAsia" w:ascii="宋体" w:hAnsi="宋体" w:eastAsia="宋体" w:cs="宋体"/>
          <w:b/>
          <w:color w:val="auto"/>
          <w:sz w:val="21"/>
          <w:szCs w:val="21"/>
          <w:highlight w:val="none"/>
        </w:rPr>
      </w:pPr>
      <w:bookmarkStart w:id="192" w:name="_Toc25925"/>
      <w:bookmarkStart w:id="193" w:name="_Toc6666"/>
      <w:r>
        <w:rPr>
          <w:rFonts w:hint="eastAsia" w:ascii="宋体" w:hAnsi="宋体" w:eastAsia="宋体" w:cs="宋体"/>
          <w:b/>
          <w:color w:val="auto"/>
          <w:sz w:val="21"/>
          <w:szCs w:val="21"/>
          <w:highlight w:val="none"/>
        </w:rPr>
        <w:t>十一、税费</w:t>
      </w:r>
      <w:bookmarkEnd w:id="192"/>
      <w:bookmarkEnd w:id="193"/>
    </w:p>
    <w:p w14:paraId="107E9F08">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11.1本合同执行中相关的一切税费均由乙方负担。</w:t>
      </w:r>
    </w:p>
    <w:p w14:paraId="0B437CEE">
      <w:pPr>
        <w:spacing w:line="500" w:lineRule="exact"/>
        <w:ind w:firstLine="482"/>
        <w:outlineLvl w:val="1"/>
        <w:rPr>
          <w:rFonts w:hint="eastAsia" w:ascii="宋体" w:hAnsi="宋体" w:eastAsia="宋体" w:cs="宋体"/>
          <w:color w:val="auto"/>
          <w:sz w:val="21"/>
          <w:szCs w:val="21"/>
          <w:highlight w:val="none"/>
        </w:rPr>
      </w:pPr>
      <w:bookmarkStart w:id="194" w:name="_Toc32475"/>
      <w:bookmarkStart w:id="195" w:name="_Toc30086"/>
      <w:r>
        <w:rPr>
          <w:rFonts w:hint="eastAsia" w:ascii="宋体" w:hAnsi="宋体" w:eastAsia="宋体" w:cs="宋体"/>
          <w:b/>
          <w:color w:val="auto"/>
          <w:sz w:val="21"/>
          <w:szCs w:val="21"/>
          <w:highlight w:val="none"/>
        </w:rPr>
        <w:t>十二、质量保证及售后服务</w:t>
      </w:r>
      <w:bookmarkEnd w:id="194"/>
      <w:bookmarkEnd w:id="195"/>
    </w:p>
    <w:p w14:paraId="170A21C7">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乙方应按招标文件规定的货物性能、技术要求、质量标准向甲方提供未经使用的全新产品。</w:t>
      </w:r>
    </w:p>
    <w:p w14:paraId="6DC5D190">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乙方提供的货物在质量期内因货物本身的质量问题发生故障，乙方应负责免费更换。对达不到技术要求者，根据实际情况，经双方协商，可按以下办法处理：</w:t>
      </w:r>
    </w:p>
    <w:p w14:paraId="6301D07F">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（1）更换：由乙方承担所发生的全部费用。</w:t>
      </w:r>
    </w:p>
    <w:p w14:paraId="77519A75">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（2）贬值处理：由甲乙双方合议定价。</w:t>
      </w:r>
    </w:p>
    <w:p w14:paraId="5455D287">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（3）退货处理：乙方应退还甲方支付的合同款，同时应承担该货物的直接费用（运输、保险、检验、贷款利息及银行手续费等）。</w:t>
      </w:r>
    </w:p>
    <w:p w14:paraId="4AFC921F">
      <w:pPr>
        <w:spacing w:line="500" w:lineRule="exact"/>
        <w:ind w:firstLine="482"/>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12.3 如在使用过程中发生质量问题，乙方在接到甲方通知后在1小时响应，8小时内到达甲方现场，故障问题解决时长不得超过24小时，未按上述时间响应需求、解决问题的，按照1000元/次在本次付款周期合同金额内扣除</w:t>
      </w:r>
      <w:r>
        <w:rPr>
          <w:rFonts w:hint="eastAsia" w:ascii="宋体" w:hAnsi="宋体" w:eastAsia="宋体" w:cs="宋体"/>
          <w:color w:val="auto"/>
          <w:sz w:val="21"/>
          <w:szCs w:val="21"/>
          <w:highlight w:val="none"/>
        </w:rPr>
        <w:t>。</w:t>
      </w:r>
    </w:p>
    <w:p w14:paraId="2ECB0FE2">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 在质保期内，乙方应对货物出现的质量及安全问题负责处理解决并承担一切费用。</w:t>
      </w:r>
    </w:p>
    <w:p w14:paraId="1D4ADC1E">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12.5质量保证期：乙方针对该项目必须提供</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年全免费维保服务。</w:t>
      </w:r>
      <w:r>
        <w:rPr>
          <w:rFonts w:hint="eastAsia" w:ascii="宋体" w:hAnsi="宋体" w:eastAsia="宋体" w:cs="宋体"/>
          <w:b/>
          <w:bCs/>
          <w:color w:val="auto"/>
          <w:sz w:val="21"/>
          <w:szCs w:val="21"/>
          <w:highlight w:val="none"/>
        </w:rPr>
        <w:t>质保期内，投标人所有服务不得收取任何费用，并负责解决所提供的所有硬件产品及其附件、软件系统及其安装介质的任何故障、软件系统的升级、本项目监控的画面路数授权费、云存储空间授权费用，所有设备的路数授权需要满足公安部门省市县三级联网平台要求，清单中有数量要求的，需按照数量要求进行授权部署，提供授权的相关证明材料。</w:t>
      </w:r>
    </w:p>
    <w:p w14:paraId="38191DC6">
      <w:pPr>
        <w:spacing w:line="500" w:lineRule="exact"/>
        <w:ind w:firstLine="482"/>
        <w:outlineLvl w:val="1"/>
        <w:rPr>
          <w:rFonts w:hint="eastAsia" w:ascii="宋体" w:hAnsi="宋体" w:eastAsia="宋体" w:cs="宋体"/>
          <w:b/>
          <w:color w:val="auto"/>
          <w:sz w:val="21"/>
          <w:szCs w:val="21"/>
          <w:highlight w:val="none"/>
        </w:rPr>
      </w:pPr>
      <w:bookmarkStart w:id="196" w:name="_Toc8549"/>
      <w:bookmarkStart w:id="197" w:name="_Toc137"/>
      <w:r>
        <w:rPr>
          <w:rFonts w:hint="eastAsia" w:ascii="宋体" w:hAnsi="宋体" w:eastAsia="宋体" w:cs="宋体"/>
          <w:b/>
          <w:color w:val="auto"/>
          <w:sz w:val="21"/>
          <w:szCs w:val="21"/>
          <w:highlight w:val="none"/>
        </w:rPr>
        <w:t>十三、调试和验收</w:t>
      </w:r>
      <w:bookmarkEnd w:id="196"/>
      <w:bookmarkEnd w:id="197"/>
    </w:p>
    <w:p w14:paraId="7F99D551">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甲方对乙方提交的产品或服务依据招标文件上的技术规格要求和国家有关质量标准进行现场初步验收，外观、说明书符合招标文件技术要求的，给予签收，初步验收不合格的不予签收。</w:t>
      </w:r>
    </w:p>
    <w:p w14:paraId="5108678D">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 乙方交货前应对产品或服务作出全面检查和对验收文件进行整理，并列出清单，作为甲方收货验收和使用的技术条件依据，检验的结果应随货物交甲方。</w:t>
      </w:r>
    </w:p>
    <w:p w14:paraId="7264C4CC">
      <w:pPr>
        <w:spacing w:line="5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13.3 甲方对乙方提供的产品或服务在使用前进行调试时，直到符合技术要求，同时乙方需负责安装并培训甲方的使用操作人员，上述要求都达到时甲方才做最终验收。</w:t>
      </w:r>
    </w:p>
    <w:p w14:paraId="5A47D8BA">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13.4 对技术复杂的产品或服务，甲方可请国家认可的专业检测机构参与初步验收及最终验收，并由其出具质量检测报告，费用由乙方承担，甲方不另行结算。</w:t>
      </w:r>
    </w:p>
    <w:p w14:paraId="31838012">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13.5 验收时乙方必须在现场，验收完毕后作出验收结果报告；验收相关费用由甲乙双方协商解决。</w:t>
      </w:r>
    </w:p>
    <w:p w14:paraId="490087C3">
      <w:pPr>
        <w:spacing w:line="500" w:lineRule="exact"/>
        <w:ind w:firstLine="482"/>
        <w:rPr>
          <w:rFonts w:hint="eastAsia" w:ascii="宋体" w:hAnsi="宋体" w:eastAsia="宋体" w:cs="宋体"/>
          <w:b/>
          <w:bCs/>
          <w:color w:val="auto"/>
          <w:sz w:val="21"/>
          <w:szCs w:val="21"/>
          <w:highlight w:val="none"/>
        </w:rPr>
      </w:pPr>
      <w:bookmarkStart w:id="198" w:name="_Hlk195779991"/>
      <w:r>
        <w:rPr>
          <w:rFonts w:hint="eastAsia" w:ascii="宋体" w:hAnsi="宋体" w:eastAsia="宋体" w:cs="宋体"/>
          <w:b/>
          <w:bCs/>
          <w:color w:val="auto"/>
          <w:sz w:val="21"/>
          <w:szCs w:val="21"/>
          <w:highlight w:val="none"/>
        </w:rPr>
        <w:t>十四、项目变更管理</w:t>
      </w:r>
    </w:p>
    <w:p w14:paraId="19C4AF66">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项目投资规模未超出概算批复、建设目标不变，项目主要内容确需调整且资金调整数额不超过概算总投资10%，并符合下列情形之一的，经区数据局、区财政局审核后可以调整，同时报区发改委备案。</w:t>
      </w:r>
    </w:p>
    <w:p w14:paraId="27097116">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（一）根据法律法规、国家和省、市、区工作部署，确需改变实施内容的；</w:t>
      </w:r>
    </w:p>
    <w:p w14:paraId="7D8C69E7">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（二）确需对原项目技术方案进行完善优化的；</w:t>
      </w:r>
    </w:p>
    <w:p w14:paraId="2C136905">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（三）根据项目业务发展需要，在已批复项目建设规划的框架下调整相关建设内容及进度的。</w:t>
      </w:r>
    </w:p>
    <w:p w14:paraId="407E442A">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不符合上述情形的，应按相关法律法规、国家和省、市、区有关规定执行。</w:t>
      </w:r>
    </w:p>
    <w:p w14:paraId="5A64EF4F">
      <w:pPr>
        <w:spacing w:line="500" w:lineRule="exact"/>
        <w:ind w:firstLine="48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十五、项目试运行阶段</w:t>
      </w:r>
    </w:p>
    <w:p w14:paraId="3F7FB8DE">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基本建设完成后，承建单位提交内测报告，建设单位、监理单位和承建单位对建设内容开展系统功能检查测试，功能检查测试应覆盖所有功能模块（点），并编制功能检查测试报告。未经检查测试或检查测试不合格的项目，不得投入试运行。项目检查测试通过后，建设单位自行组织初验，通过后进入试运行。试运行期间，建设和承建单位要及时针对初验和试运行中发现的问题进行整改和升级，同时对系统开展第三方软件测评、等保定级测评（或分保测评）和商用密码应用安全性评估工作，信息系统新建项目试运行期不得少于3个月。</w:t>
      </w:r>
    </w:p>
    <w:p w14:paraId="1C095EC1">
      <w:pPr>
        <w:spacing w:line="500" w:lineRule="exact"/>
        <w:ind w:firstLine="48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十六、项目验收流程</w:t>
      </w:r>
    </w:p>
    <w:bookmarkEnd w:id="198"/>
    <w:p w14:paraId="51658C09">
      <w:pPr>
        <w:spacing w:line="500" w:lineRule="exact"/>
        <w:ind w:firstLine="480"/>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16.</w:t>
      </w:r>
      <w:r>
        <w:rPr>
          <w:rFonts w:hint="eastAsia" w:ascii="宋体" w:hAnsi="宋体" w:eastAsia="宋体" w:cs="宋体"/>
          <w:b w:val="0"/>
          <w:bCs w:val="0"/>
          <w:color w:val="auto"/>
          <w:sz w:val="21"/>
          <w:szCs w:val="21"/>
          <w:highlight w:val="none"/>
        </w:rPr>
        <w:t>1甲方依法组织履约验收工作。项目建成后，项目单位应按国家有关规定自行组织竣工验收，并将验收相关材料（项目建设总结、财务审计报告、网络安全等级保护测评报告、密码应用安全性评估报告等）报送区发改委、区数据局、区财政局备案。</w:t>
      </w:r>
      <w:r>
        <w:rPr>
          <w:rFonts w:hint="eastAsia" w:ascii="宋体" w:hAnsi="宋体" w:cs="宋体"/>
          <w:b w:val="0"/>
          <w:bCs w:val="0"/>
          <w:color w:val="auto"/>
          <w:sz w:val="21"/>
          <w:szCs w:val="21"/>
          <w:highlight w:val="none"/>
          <w:lang w:val="en-US" w:eastAsia="zh-CN"/>
        </w:rPr>
        <w:t>说明：</w:t>
      </w:r>
      <w:r>
        <w:rPr>
          <w:rFonts w:hint="eastAsia" w:ascii="宋体" w:hAnsi="宋体" w:eastAsia="宋体" w:cs="宋体"/>
          <w:b w:val="0"/>
          <w:bCs w:val="0"/>
          <w:color w:val="auto"/>
          <w:sz w:val="21"/>
          <w:szCs w:val="21"/>
          <w:highlight w:val="none"/>
        </w:rPr>
        <w:t>网络安全等级保护测评报告、密码应用安全性评估结果不合格的，不得申请项目竣工验收。项目单位不能按期验收的，应向区数据局提出延期验收说明。竣工验收合格后，项目单位应在3个月内向区财政局编报竣工财务决算，特殊情况确需延长的，需报区财政局批准，最长不得超过6个月</w:t>
      </w: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具体根据</w:t>
      </w:r>
      <w:r>
        <w:rPr>
          <w:rFonts w:hint="eastAsia" w:ascii="宋体" w:hAnsi="宋体" w:eastAsia="宋体" w:cs="宋体"/>
          <w:b w:val="0"/>
          <w:bCs w:val="0"/>
          <w:color w:val="auto"/>
          <w:sz w:val="21"/>
          <w:szCs w:val="21"/>
          <w:highlight w:val="none"/>
        </w:rPr>
        <w:t>《亭湖区政务信息化项目管理实施细则(试行)》的通知</w:t>
      </w:r>
      <w:r>
        <w:rPr>
          <w:rFonts w:hint="eastAsia" w:ascii="宋体" w:hAnsi="宋体" w:cs="宋体"/>
          <w:b w:val="0"/>
          <w:bCs w:val="0"/>
          <w:color w:val="auto"/>
          <w:sz w:val="21"/>
          <w:szCs w:val="21"/>
          <w:highlight w:val="none"/>
          <w:lang w:val="en-US" w:eastAsia="zh-CN"/>
        </w:rPr>
        <w:t>第19条规定进行验收</w:t>
      </w:r>
    </w:p>
    <w:p w14:paraId="56CE76FD">
      <w:pPr>
        <w:spacing w:line="500" w:lineRule="exact"/>
        <w:ind w:firstLine="480"/>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16.</w:t>
      </w:r>
      <w:r>
        <w:rPr>
          <w:rFonts w:hint="eastAsia" w:ascii="宋体" w:hAnsi="宋体" w:eastAsia="宋体" w:cs="宋体"/>
          <w:b w:val="0"/>
          <w:bCs w:val="0"/>
          <w:color w:val="auto"/>
          <w:sz w:val="21"/>
          <w:szCs w:val="21"/>
          <w:highlight w:val="none"/>
        </w:rPr>
        <w:t>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如乙方未按约定时间完成验收，每逾期一日，应向甲方支付的违约金，由甲方从待付合同款项中扣除。</w:t>
      </w:r>
    </w:p>
    <w:p w14:paraId="43DD68CC">
      <w:pPr>
        <w:spacing w:line="500" w:lineRule="exact"/>
        <w:ind w:firstLine="480"/>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16.</w:t>
      </w:r>
      <w:r>
        <w:rPr>
          <w:rFonts w:hint="eastAsia" w:ascii="宋体" w:hAnsi="宋体" w:eastAsia="宋体" w:cs="宋体"/>
          <w:b w:val="0"/>
          <w:bCs w:val="0"/>
          <w:color w:val="auto"/>
          <w:sz w:val="21"/>
          <w:szCs w:val="21"/>
          <w:highlight w:val="none"/>
        </w:rPr>
        <w:t>3对于实际使用人和甲方分离的项目，甲方邀请实际使用人参与验收。</w:t>
      </w:r>
    </w:p>
    <w:p w14:paraId="322B4957">
      <w:pPr>
        <w:spacing w:line="500" w:lineRule="exact"/>
        <w:ind w:firstLine="480"/>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16.</w:t>
      </w:r>
      <w:r>
        <w:rPr>
          <w:rFonts w:hint="eastAsia" w:ascii="宋体" w:hAnsi="宋体" w:eastAsia="宋体" w:cs="宋体"/>
          <w:b w:val="0"/>
          <w:bCs w:val="0"/>
          <w:color w:val="auto"/>
          <w:sz w:val="21"/>
          <w:szCs w:val="21"/>
          <w:highlight w:val="none"/>
        </w:rPr>
        <w:t>4如有必要，甲方邀请参加本项目的其他供应商或第三方专业机构及专家参与验收，相关意见将作为验收书的参考资料。</w:t>
      </w:r>
    </w:p>
    <w:p w14:paraId="471A9DE1">
      <w:pPr>
        <w:spacing w:line="500" w:lineRule="exact"/>
        <w:ind w:firstLine="480"/>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16.</w:t>
      </w:r>
      <w:r>
        <w:rPr>
          <w:rFonts w:hint="eastAsia" w:ascii="宋体" w:hAnsi="宋体" w:eastAsia="宋体" w:cs="宋体"/>
          <w:b w:val="0"/>
          <w:bCs w:val="0"/>
          <w:color w:val="auto"/>
          <w:sz w:val="21"/>
          <w:szCs w:val="21"/>
          <w:highlight w:val="none"/>
        </w:rPr>
        <w:t>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254368D">
      <w:pPr>
        <w:spacing w:line="500" w:lineRule="exact"/>
        <w:ind w:firstLine="480"/>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16.</w:t>
      </w:r>
      <w:r>
        <w:rPr>
          <w:rFonts w:hint="eastAsia" w:ascii="宋体" w:hAnsi="宋体" w:eastAsia="宋体" w:cs="宋体"/>
          <w:b w:val="0"/>
          <w:bCs w:val="0"/>
          <w:color w:val="auto"/>
          <w:sz w:val="21"/>
          <w:szCs w:val="21"/>
          <w:highlight w:val="none"/>
        </w:rPr>
        <w:t>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76D4750D">
      <w:pPr>
        <w:spacing w:line="500" w:lineRule="exact"/>
        <w:ind w:firstLine="482"/>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十七、运维管理</w:t>
      </w:r>
    </w:p>
    <w:p w14:paraId="43B1E7DA">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在项目维保期内，乙方供应的硬件设备中，同一设备一年内发生2次及2次以上故障而维修的，甲方有权要求乙方在15个工作日内免费更换投标产品同型号的迭代产品或优于投标产品同型号的设备，乙方未按期更换新设备并投入使用的，甲方有权自行进行安排修复、临时替换或直接更换设备，所产生的一切费用由乙方承担，并在后续付款项或质保金中扣除。</w:t>
      </w:r>
    </w:p>
    <w:p w14:paraId="37F118FC">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17.2设备发生故障，乙方未按期修复或临时替换设备投入使用的，甲方有权自行进行安排修复、临时替换或直接更换设备，所产生的一切费用由中标供应商承担，并在后续付款项或质保金中扣除。</w:t>
      </w:r>
    </w:p>
    <w:p w14:paraId="5ACBEA01">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17.3乙方须积极开展巡查工作。如因城市更新或其他原因导致设备丢失的，由乙方承担损失。如发生本项目设备点位迁移需求的，乙方须与各方积极协调，不得影响甲方的正常使用，迁移费用由乙方自行和现场施工单位协商解决，甲方不另行支付相关费用。</w:t>
      </w:r>
    </w:p>
    <w:p w14:paraId="43E09802">
      <w:pPr>
        <w:spacing w:line="500" w:lineRule="exact"/>
        <w:ind w:firstLine="480"/>
        <w:outlineLvl w:val="1"/>
        <w:rPr>
          <w:rFonts w:hint="eastAsia" w:ascii="宋体" w:hAnsi="宋体" w:eastAsia="宋体" w:cs="宋体"/>
          <w:color w:val="auto"/>
          <w:sz w:val="21"/>
          <w:szCs w:val="21"/>
          <w:highlight w:val="none"/>
        </w:rPr>
      </w:pPr>
      <w:bookmarkStart w:id="199" w:name="_Toc15690"/>
      <w:bookmarkStart w:id="200" w:name="_Toc27217"/>
      <w:r>
        <w:rPr>
          <w:rFonts w:hint="eastAsia" w:ascii="宋体" w:hAnsi="宋体" w:eastAsia="宋体" w:cs="宋体"/>
          <w:color w:val="auto"/>
          <w:sz w:val="21"/>
          <w:szCs w:val="21"/>
          <w:highlight w:val="none"/>
        </w:rPr>
        <w:t>17.4在项目维保期内，乙方应当提供至少每周一次的现场巡检服务，需安排技术人员到达甲方指定场所，巡检服务包括但不限于硬件、软件等项目维护升级服务，巡检考勤记录由甲方提供（乙方签字），未按上述要求开展现场巡检服务的，按照1000元/次在本次付款周期合同金额内扣除。</w:t>
      </w:r>
    </w:p>
    <w:p w14:paraId="1C69FBBC">
      <w:pPr>
        <w:spacing w:line="500" w:lineRule="exact"/>
        <w:ind w:firstLine="480"/>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17.5在项目维保期内，乙方应当提供免费软件升级服务，确保软件版本为市场最新版本。乙方在该项目中提供的所有软件产品，均应与市局、分局公安视频联网平台无缝衔接，数据接口开发对接等问题由乙方负责处理解决。</w:t>
      </w:r>
    </w:p>
    <w:p w14:paraId="0A5100C2">
      <w:pPr>
        <w:spacing w:line="500" w:lineRule="exact"/>
        <w:ind w:firstLine="482"/>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十八、货物包装、发运及运输</w:t>
      </w:r>
      <w:bookmarkEnd w:id="199"/>
      <w:bookmarkEnd w:id="200"/>
    </w:p>
    <w:p w14:paraId="56D23EDF">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 乙方应在货物发运前对其进行满足运输距离、防潮、防震、防锈和防破损装卸等要求包装，以保证货物安全运达甲方指定地点。</w:t>
      </w:r>
    </w:p>
    <w:p w14:paraId="0D071BC4">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18.2 使用说明书、质量检验证明书、随配附件和工具以及清单一并附于货物内。</w:t>
      </w:r>
    </w:p>
    <w:p w14:paraId="79BC329B">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18.3 乙方在货物发运手续办理完毕后24小时内或货到甲方48小时前通知甲方，以准备接货。</w:t>
      </w:r>
    </w:p>
    <w:p w14:paraId="62225B4B">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18.4 货物在交付甲方前发生的风险均由乙方负责。</w:t>
      </w:r>
    </w:p>
    <w:p w14:paraId="4982E04C">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18.5 货物在规定的交付期限内由乙方送达甲方指定的地点视为交付，乙方同时需通知甲方货物已送达。</w:t>
      </w:r>
    </w:p>
    <w:p w14:paraId="3C5759CB">
      <w:pPr>
        <w:spacing w:line="500" w:lineRule="exact"/>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十九、质量、进度等过程性要求：</w:t>
      </w:r>
    </w:p>
    <w:p w14:paraId="4A973009">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 乙方投标文件中拟派的项目负责人未经采购人同意不得更换，且项目实施期间项目组成员要相对固定，累计出勤率不少于80%（在建工程项目的项目经理应按要求在项目现场完成进场和出场两次考勤，且日在岗时间不低于8小时的视为当日有效出勤）。如发生未经采购人同意更换项目负责人情形，或项目负责人不符合要求采购人要求更换未更换的视为未履约，采购人有权按20000元扣除费用，如项目负责人当日未出勤的，甲方有权按1000元/日的扣除费用。</w:t>
      </w:r>
    </w:p>
    <w:p w14:paraId="77564616">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乙方于签订合同后7日内须将具体的施工进度安排计划、人员安排情况报送采购人审查通过，施工期间乙方须严格按照甲方审定的时间节点进行施工。前端施工、链路施工、接电施工须同步进行。甲方将根据相关采购要求或时间进度计划，在项目实施过程中检查进度完成量化情况，每发现一次进度落后的视为未履约，采购人将按2000元/次的扣除费用；针对未按照相关国标要求、监理要求、甲方要求进行规范施工或恢复的，每次按500元/次的扣除费用，甲方有权聘请第三方进行恢复，乙方承担第三方恢复费用</w:t>
      </w:r>
      <w:r>
        <w:rPr>
          <w:rFonts w:hint="eastAsia" w:ascii="宋体" w:hAnsi="宋体" w:eastAsia="宋体" w:cs="宋体"/>
          <w:i/>
          <w:iCs/>
          <w:color w:val="auto"/>
          <w:sz w:val="21"/>
          <w:szCs w:val="21"/>
          <w:highlight w:val="none"/>
        </w:rPr>
        <w:t>，</w:t>
      </w:r>
      <w:r>
        <w:rPr>
          <w:rFonts w:hint="eastAsia" w:ascii="宋体" w:hAnsi="宋体" w:eastAsia="宋体" w:cs="宋体"/>
          <w:color w:val="auto"/>
          <w:sz w:val="21"/>
          <w:szCs w:val="21"/>
          <w:highlight w:val="none"/>
        </w:rPr>
        <w:t>在项目结算时一并清算。</w:t>
      </w:r>
    </w:p>
    <w:p w14:paraId="6D0BB958">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19.3对主要系统设备须提供原厂工程师驻场安装调试服务，未同步边升级改造服务边驻场服务的视为未履约，对其处以每日500元的扣除费用，如厂家原来已有驻场的，不得挪用厂家原有驻场人员。</w:t>
      </w:r>
    </w:p>
    <w:p w14:paraId="3FA9F322">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19.4乙方须保证所提供硬件产品包括相关附件为相应硬件厂家原装正品，涉及相关平台的软件著作权由甲方和软件开发商共同拥有，其他软件产品为相关厂家正版软件，符合国家有关规定。</w:t>
      </w:r>
    </w:p>
    <w:p w14:paraId="1F49AE96">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19.5乙方因施工经验不足或其他原因导致安装效果未达到要求或施工进度未达到要求的，甲方有权提出整改要求。对不愿接受整改或无法按期按要求进行整改到位的，甲方有权选择第三方单位完成整改施工任务，由此所产生的费用由乙方承担。</w:t>
      </w:r>
    </w:p>
    <w:p w14:paraId="360FB6B4">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19.6乙方须及时支付应承担或代甲方先行承担的电费，如甲方收到该类型投诉的视为未履约，甲方将按2000元/次的扣除费用。</w:t>
      </w:r>
    </w:p>
    <w:p w14:paraId="6679D6E6">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19.7乙方在施工、质保服务期内须积极开展巡查工作。如因城市更新或其他原因导致设备丢失的，由乙方承担损失。如发生本项目设备点位迁移需求的，乙方须与各方积极协调，不得影响甲方的正常使用，迁移费用由乙方自行和现场施工单位协商解决，甲方不另行支付相关费用。</w:t>
      </w:r>
    </w:p>
    <w:p w14:paraId="5ABC88A5">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19.8乙方须确保所有室内外设备及传输线路不因环境变化影响应用功能和效果，应采取包括抗雨、雪、冰雹、风、冰、盐雾、沙尘暴、雷电、太阳辐射，以及电磁兼容、设备工作环境等所需的各种措施，如在使用过程中，如未采取措施而影响设备在线率的视为未履约，甲方将按2000元/次的扣除费用。</w:t>
      </w:r>
    </w:p>
    <w:p w14:paraId="16B41ADA">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19.9乙方须优化每个施工点的设计、施工，尽量避免飞线、破路等情况的发生，如确实不可避免的，应尽量减少对第三方的影响。乙方的施工工作不得对政府创建工作等（如创文）造成影响。如甲方收到该类型投诉的视为未履约，甲方将按5000元/次的扣除费用。</w:t>
      </w:r>
    </w:p>
    <w:p w14:paraId="0CDA0DD7">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19.10每个改造的设备电源总接入处均科学设置并报甲方同意方可实施，乙方在施工过程中须根据设备用电负荷情况并充分考虑余量，使用满足负荷要求规格的电线、电缆。否则如发生质量、安全责任问题，均由乙方终身承担。</w:t>
      </w:r>
    </w:p>
    <w:p w14:paraId="41462913">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19.11项目实施过程中一切地方矛盾由乙方自行解决，甲方仅负责提供协调工作。</w:t>
      </w:r>
    </w:p>
    <w:p w14:paraId="194AE825">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19.12乙方须为本项目的作业人员配备好必要的安全工器具，并加强相关人员的安全教育。本项目实施过程中发生的一切安全责任问题及由此产生的赔偿费用（包括因施工造成的第三方人员安全事故责任）由乙方负责。</w:t>
      </w:r>
    </w:p>
    <w:p w14:paraId="3013D729">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19.13本项目实施过程中涉及临时场地、临时设施、措施项目、临时水电、增设变压器等费用一律含在本次报价中。</w:t>
      </w:r>
    </w:p>
    <w:p w14:paraId="30655533">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19.14质保期满后，如无质量、服务问题，甲方可以就点对点网络传输费用进行续签，乙方续签费用（单价）不得高于市场价以及本次成交价格，续签服务的具体事宜按需洽谈完成签订协议。</w:t>
      </w:r>
    </w:p>
    <w:p w14:paraId="0B449227">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19.15签订合同前乙方须将所投产品的国家权威机构相关检测报告报甲方校对，确保满足甲方招标需求，无法满足的，造成的损失由乙方承担。</w:t>
      </w:r>
    </w:p>
    <w:p w14:paraId="48EF0ACF">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19.16项目实施过程中，甲方有权要求投标人使用于本项目的设备抽样送检，经检测不符合招标文件要求或投标文件承诺的，甲方有权要求乙方重新更换符合要求的设备，由此产生的所有费用均由乙方承担。</w:t>
      </w:r>
    </w:p>
    <w:p w14:paraId="5CDA9BA9">
      <w:pPr>
        <w:spacing w:line="500" w:lineRule="exact"/>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19.17服务的实施交付过程中，甲方将安排监理、跟踪审计开展相关管理工作，确保服务货物及安装达到相关标准要求。未能依法依规及时提供相关管理工作材料的，自文件传到乙方之日起，超期反馈的，每超出1日历天，扣除合同金额1000元。</w:t>
      </w:r>
    </w:p>
    <w:p w14:paraId="01CD31F5">
      <w:pPr>
        <w:spacing w:line="500" w:lineRule="exact"/>
        <w:ind w:firstLine="48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19.18在项目实施过程中，乙方应加强数据网络安全培训管理工作，严禁发生一机两用、两网互通、数据泄露等网络安全事故，每发生一起，甲方视情扣除合同金额1万元-10万元；涉及违法犯罪的，甲方有权直接解除合同并依法追究其法律责任。</w:t>
      </w:r>
    </w:p>
    <w:p w14:paraId="2E96AD12">
      <w:pPr>
        <w:spacing w:line="276" w:lineRule="auto"/>
        <w:ind w:firstLine="482"/>
        <w:outlineLvl w:val="1"/>
        <w:rPr>
          <w:rFonts w:hint="eastAsia" w:ascii="宋体" w:hAnsi="宋体" w:eastAsia="宋体" w:cs="宋体"/>
          <w:b/>
          <w:color w:val="auto"/>
          <w:sz w:val="21"/>
          <w:szCs w:val="21"/>
          <w:highlight w:val="none"/>
        </w:rPr>
      </w:pPr>
      <w:bookmarkStart w:id="201" w:name="_Toc17057"/>
      <w:bookmarkStart w:id="202" w:name="_Toc2843"/>
      <w:r>
        <w:rPr>
          <w:rFonts w:hint="eastAsia" w:ascii="宋体" w:hAnsi="宋体" w:eastAsia="宋体" w:cs="宋体"/>
          <w:b/>
          <w:color w:val="auto"/>
          <w:sz w:val="21"/>
          <w:szCs w:val="21"/>
          <w:highlight w:val="none"/>
        </w:rPr>
        <w:t>二十、违约责任</w:t>
      </w:r>
      <w:bookmarkEnd w:id="201"/>
      <w:bookmarkEnd w:id="202"/>
    </w:p>
    <w:p w14:paraId="35A9C82E">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 甲方无正当理由拒收的，甲方向乙方偿付拒收货款总值的百分之五违约金。</w:t>
      </w:r>
    </w:p>
    <w:p w14:paraId="1CC935D5">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 甲方无故逾期验收和办理货款支付手续的,甲方应按逾期付款总额每日万分之五向乙方支付违约金。</w:t>
      </w:r>
    </w:p>
    <w:p w14:paraId="654BC178">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 乙方逾期交付合同标的的，乙方应按逾期交货总额每日千分之六向甲方支付违约金，由甲方从待付货款中扣除。逾期超过约定日期10个工作日不能交付的，甲方可解除本合同。乙方因逾期交货或因其他违约行为导致甲方解除合同的，乙方应向甲方支付合同总值5%的违约金，如造成甲方损失超过违约金的，超出部分由乙方继续承担赔偿责任。 </w:t>
      </w:r>
    </w:p>
    <w:p w14:paraId="5D86D8F5">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20.4 乙方所交的产品或服务品种、型号、规格、技术参数、质量不符合合同规定及招标文件规定标准的，甲方有权拒收，乙方愿意更换但逾期交付的，按乙方逾期交付处理。乙方拒绝更换货物的，甲方可单方面解除合同。</w:t>
      </w:r>
    </w:p>
    <w:p w14:paraId="63443B40">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20.5本项目设备在实施过程中如发现存在私自变更设备品牌、参数的，立即解除合同，已完工程量不予结算。</w:t>
      </w:r>
    </w:p>
    <w:p w14:paraId="6E2F147E">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20.6因乙方投标时虚报设备技术参数、功能，导致甲方在实际运用中发现所供产品设备不符合本次招标要求，实际技术参数与招标文件的技术参数不一致、产生负偏离的,甲方退回所有设备，乙方必须无条件更换符合或优于招标文件技术参数要求的产品保证相关点位正常运行，同时甲方将扣减负偏离产品所涉及的相关点位自验收之日起1年的运营服务费。</w:t>
      </w:r>
    </w:p>
    <w:p w14:paraId="4D85DE31">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20.7甲方检查发现乙方施工过程中光缆、电源线未按甲方规定要求布放的，甲方不予验收。</w:t>
      </w:r>
    </w:p>
    <w:p w14:paraId="5B8BAEC0">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20.8非甲方原因项目延期完工，每延期一天，视为未履约，按照5000元/天扣除乙方费用；超过60天，甲方有权解除合同，乙方赔偿甲方合同价的10%违约金。</w:t>
      </w:r>
    </w:p>
    <w:p w14:paraId="47DB21C8">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20.9乙方借附着物安装设备，如附着物（电力电线杆、建筑物、路灯杆等）消失，乙方必须在30天内原地单独立杆恢复点位，如现场需要拆移设备的，按照甲方要求进行调整，否则，逾期每发现一个未恢复的点位扣除1个点位一年综合运营服务费（中标价除以前端设备数除以运维年数），超过30天未恢复的，暂停支付所有点位的运营服务费直至该点位恢复。除不可抗力因素，不得因任何理由停滞点位的恢复工作，因不可抗力导致恢复期超出30日历天的，双方协商完成时间，拒不完成的，甲方有权自行安排人员实施，所产生的费用由乙方全额承担。</w:t>
      </w:r>
    </w:p>
    <w:p w14:paraId="4C21DF72">
      <w:pPr>
        <w:spacing w:line="500" w:lineRule="exact"/>
        <w:ind w:firstLine="48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20</w:t>
      </w:r>
      <w:r>
        <w:rPr>
          <w:rFonts w:hint="eastAsia" w:ascii="宋体" w:hAnsi="宋体" w:eastAsia="宋体" w:cs="宋体"/>
          <w:b/>
          <w:bCs/>
          <w:color w:val="auto"/>
          <w:sz w:val="21"/>
          <w:szCs w:val="21"/>
          <w:highlight w:val="none"/>
        </w:rPr>
        <w:t>.10按照上级机关对视频监控联网率和在线率的考核要求，在乙方承诺的运营服务期内，甲方将对该项目视频监控设备画面联网在线率进行考核（考核周期为月），并以此作为扣费依据。视频监控画面月平均联网在线率≥98%且无其他违约行为的，全额支付本月合同付款金额；视频监控画面月平均联网在线率≥97%小于98%的，扣除本月合同付款金额的5%；视频监控画面月平均联网在线率≥96%小于97%的，扣除本月合同付款金额的10%；视频监控画面月平均联网在线率≥85%小于96%的，扣除本月合同付款金额的20%；视频监控画面月平均联网在线率小于85%的，应当认定为乙方在运维服务过程中严重失职失责，应扣除本月合同付款金额50%。（考核情况由乙方提供运维平台截图等相关证明材料交甲方复核后认定）</w:t>
      </w:r>
    </w:p>
    <w:p w14:paraId="708F1551">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20.11如甲方在使用维护过程中发现乙方提供的光缆路由图及分光设备、光交箱位置图电子档及纸质版相关图纸与实际不符，每发现一次，甲方直接扣除本项目所有点位6个月的服务费。</w:t>
      </w:r>
    </w:p>
    <w:p w14:paraId="76E39365">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20.12本合同履行期满，乙方向甲方移交点位及设备、光缆、传输网络的所有权时，完好率必须达99%以上，如低于99%，乙方承担违约责任，并向甲方赔偿全部点位的年运营服务费的30%违约金。</w:t>
      </w:r>
    </w:p>
    <w:p w14:paraId="35748437">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20.13无特殊原因货物到期时间必须在签订合同之日起15日历天以内，否则视为未履约按照5000元/天扣除费用，扣除一个月后仍未全部到货的，采购方有权终止合同。</w:t>
      </w:r>
    </w:p>
    <w:p w14:paraId="3CD0430A">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20.14项目中涉及的人员必须在签订合同之日起7个工作日内入场办公，否则视为未履约按照500元/天扣除费用，扣除一个月后仍未全部到货的，采购方有权终止合同。</w:t>
      </w:r>
    </w:p>
    <w:p w14:paraId="01D02FB5">
      <w:pPr>
        <w:spacing w:line="500" w:lineRule="exact"/>
        <w:ind w:firstLine="48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20.15</w:t>
      </w:r>
      <w:r>
        <w:rPr>
          <w:rFonts w:hint="eastAsia" w:ascii="宋体" w:hAnsi="宋体" w:eastAsia="宋体" w:cs="宋体"/>
          <w:b/>
          <w:bCs/>
          <w:color w:val="auto"/>
          <w:sz w:val="21"/>
          <w:szCs w:val="21"/>
          <w:highlight w:val="none"/>
        </w:rPr>
        <w:t>乙方投标前应踏勘现场以了解项目实际情况，现场踏勘时须确保完全了解项目现状及甲方须达到的效果，并充分考虑各项足以影响承包价格的情况，尤其涉及辅材类并充分评估。中标后不得以未踏勘现场或踏勘现场不细致而消极怠工或要求增加费用。乙方的现场踏勘行为有任何责任须自行承担，不得因此使甲方承担有关的责任和蒙受损失。发生上述情况的，直至影响消除前，每发生一天扣除2000元费用。</w:t>
      </w:r>
    </w:p>
    <w:p w14:paraId="70017FB3">
      <w:pPr>
        <w:pStyle w:val="38"/>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20.16针对项目中涉及到的视觉多模态大模型定制开发，需要提供至少13个人（包含：2位美工设计、2位前端软件、2位全栈工程师、2位网络工程师、5名大模型工程师）的运维服务期内的驻场服务，需要拥有以下证书：软件技术开发工程师（高级）、软件测试工程师（高级）、软件技术开发工程师、数据库管理工程师、网络安全架构师（高级）、信息安全管理（高级）、UI设计师（高级）、网络信息安全工程师、高级网络工程师。驻场人员须符合项目运维的相关要求经采购人考核，未经采购人同意不得随意更换。人员进驻按照采购人的时间要求，完全到位并满足要求后开始起算，人员服务期为3年，对投标人提出两个月内未能到位的，采购人将按投标人未履约按照项目总投标价的10%扣除费用，并在合同价款中予以扣除。</w:t>
      </w:r>
    </w:p>
    <w:p w14:paraId="78E890BF">
      <w:pPr>
        <w:spacing w:line="500" w:lineRule="exact"/>
        <w:ind w:firstLine="482"/>
        <w:outlineLvl w:val="1"/>
        <w:rPr>
          <w:rFonts w:hint="eastAsia" w:ascii="宋体" w:hAnsi="宋体" w:eastAsia="宋体" w:cs="宋体"/>
          <w:b/>
          <w:color w:val="auto"/>
          <w:sz w:val="21"/>
          <w:szCs w:val="21"/>
          <w:highlight w:val="none"/>
        </w:rPr>
      </w:pPr>
      <w:bookmarkStart w:id="203" w:name="_Toc4710"/>
      <w:bookmarkStart w:id="204" w:name="_Toc32023"/>
      <w:r>
        <w:rPr>
          <w:rFonts w:hint="eastAsia" w:ascii="宋体" w:hAnsi="宋体" w:eastAsia="宋体" w:cs="宋体"/>
          <w:b/>
          <w:color w:val="auto"/>
          <w:sz w:val="21"/>
          <w:szCs w:val="21"/>
          <w:highlight w:val="none"/>
        </w:rPr>
        <w:t>二十一、不可抗力事件处理</w:t>
      </w:r>
      <w:bookmarkEnd w:id="203"/>
      <w:bookmarkEnd w:id="204"/>
    </w:p>
    <w:p w14:paraId="74B04B20">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 在合同有效期内，任何一方因不可抗力事件导致不能履行合同，则合同履行期可延长，其延长期与不可抗力影响期相同。</w:t>
      </w:r>
    </w:p>
    <w:p w14:paraId="74B470F8">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 不可抗力事件发生后，应立即通知对方，并寄送有关权威机构出具的证明。</w:t>
      </w:r>
    </w:p>
    <w:p w14:paraId="2823F0B3">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 不可抗力事件延续120天以上，双方应通过友好协商，确定是否继续履行合同。</w:t>
      </w:r>
    </w:p>
    <w:p w14:paraId="26A3191B">
      <w:pPr>
        <w:spacing w:line="500" w:lineRule="exact"/>
        <w:ind w:firstLine="482"/>
        <w:outlineLvl w:val="1"/>
        <w:rPr>
          <w:rFonts w:hint="eastAsia" w:ascii="宋体" w:hAnsi="宋体" w:eastAsia="宋体" w:cs="宋体"/>
          <w:b/>
          <w:color w:val="auto"/>
          <w:sz w:val="21"/>
          <w:szCs w:val="21"/>
          <w:highlight w:val="none"/>
        </w:rPr>
      </w:pPr>
      <w:bookmarkStart w:id="205" w:name="_Toc810"/>
      <w:bookmarkStart w:id="206" w:name="_Toc7628"/>
      <w:r>
        <w:rPr>
          <w:rFonts w:hint="eastAsia" w:ascii="宋体" w:hAnsi="宋体" w:eastAsia="宋体" w:cs="宋体"/>
          <w:b/>
          <w:color w:val="auto"/>
          <w:sz w:val="21"/>
          <w:szCs w:val="21"/>
          <w:highlight w:val="none"/>
        </w:rPr>
        <w:t>二十二、诉讼</w:t>
      </w:r>
      <w:bookmarkEnd w:id="205"/>
      <w:bookmarkEnd w:id="206"/>
    </w:p>
    <w:p w14:paraId="15C1477E">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 双方在执行合同中所发生的一切争议，应通过协商解决。如协商不成，可向合同签订地法院起诉，合同签订地在此约定为盐城市。</w:t>
      </w:r>
    </w:p>
    <w:p w14:paraId="78C8EEDE">
      <w:pPr>
        <w:spacing w:line="500" w:lineRule="exact"/>
        <w:ind w:firstLine="482"/>
        <w:outlineLvl w:val="1"/>
        <w:rPr>
          <w:rFonts w:hint="eastAsia" w:ascii="宋体" w:hAnsi="宋体" w:eastAsia="宋体" w:cs="宋体"/>
          <w:b/>
          <w:color w:val="auto"/>
          <w:sz w:val="21"/>
          <w:szCs w:val="21"/>
          <w:highlight w:val="none"/>
        </w:rPr>
      </w:pPr>
      <w:bookmarkStart w:id="207" w:name="_Toc4631"/>
      <w:bookmarkStart w:id="208" w:name="_Toc31974"/>
      <w:r>
        <w:rPr>
          <w:rFonts w:hint="eastAsia" w:ascii="宋体" w:hAnsi="宋体" w:eastAsia="宋体" w:cs="宋体"/>
          <w:b/>
          <w:color w:val="auto"/>
          <w:sz w:val="21"/>
          <w:szCs w:val="21"/>
          <w:highlight w:val="none"/>
        </w:rPr>
        <w:t>二十一、合同生效及其他</w:t>
      </w:r>
      <w:bookmarkEnd w:id="207"/>
      <w:bookmarkEnd w:id="208"/>
    </w:p>
    <w:p w14:paraId="2AED65AA">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 合同经双方法定代表人或授权委托代表人签字并加盖单位公章后生效。</w:t>
      </w:r>
    </w:p>
    <w:p w14:paraId="7E79F4E4">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22.2本合同签定甲乙双方盖章流程时间各15天。</w:t>
      </w:r>
    </w:p>
    <w:p w14:paraId="780B1506">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22.3本合同未尽事宜，遵照《</w:t>
      </w:r>
      <w:r>
        <w:rPr>
          <w:rFonts w:hint="eastAsia" w:ascii="宋体" w:hAnsi="宋体" w:cs="宋体"/>
          <w:color w:val="auto"/>
          <w:szCs w:val="21"/>
          <w:highlight w:val="none"/>
          <w:lang w:val="zh-CN"/>
        </w:rPr>
        <w:t>中华人民共和国民法典</w:t>
      </w:r>
      <w:r>
        <w:rPr>
          <w:rFonts w:hint="eastAsia" w:ascii="宋体" w:hAnsi="宋体" w:eastAsia="宋体" w:cs="宋体"/>
          <w:color w:val="auto"/>
          <w:sz w:val="21"/>
          <w:szCs w:val="21"/>
          <w:highlight w:val="none"/>
        </w:rPr>
        <w:t>》有关条文执行。</w:t>
      </w:r>
    </w:p>
    <w:p w14:paraId="50777A84">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22.4 本合同正本一式陆份，具有同等法律效力，甲方、乙方各执叁份。</w:t>
      </w:r>
    </w:p>
    <w:p w14:paraId="6E453347">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                                   乙方： </w:t>
      </w:r>
    </w:p>
    <w:p w14:paraId="07A80BAD">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地址： </w:t>
      </w:r>
    </w:p>
    <w:p w14:paraId="70C853D1">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法定代表人或授权代表：                   法定代表人或授权代表：</w:t>
      </w:r>
    </w:p>
    <w:p w14:paraId="02D752B8">
      <w:pPr>
        <w:spacing w:line="500" w:lineRule="exact"/>
        <w:ind w:firstLine="48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联系电话：                               联系电话：</w:t>
      </w:r>
    </w:p>
    <w:p w14:paraId="07631123">
      <w:pPr>
        <w:spacing w:line="440" w:lineRule="exact"/>
        <w:ind w:firstLine="6510" w:firstLineChars="3100"/>
        <w:jc w:val="both"/>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日  期：</w:t>
      </w:r>
    </w:p>
    <w:p w14:paraId="1FACFA51">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62F3FB13">
      <w:pPr>
        <w:pStyle w:val="208"/>
        <w:spacing w:before="120" w:beforeAutospacing="0" w:after="120" w:afterAutospacing="0" w:line="0" w:lineRule="atLeast"/>
        <w:jc w:val="center"/>
        <w:rPr>
          <w:color w:val="auto"/>
          <w:highlight w:val="none"/>
        </w:rPr>
      </w:pPr>
      <w:r>
        <w:rPr>
          <w:rFonts w:hint="eastAsia" w:ascii="黑体" w:hAnsi="宋体" w:eastAsia="黑体" w:cs="黑体"/>
          <w:color w:val="auto"/>
          <w:sz w:val="44"/>
          <w:szCs w:val="44"/>
          <w:highlight w:val="none"/>
        </w:rPr>
        <w:t>第</w:t>
      </w:r>
      <w:bookmarkEnd w:id="165"/>
      <w:r>
        <w:rPr>
          <w:rFonts w:hint="eastAsia" w:ascii="黑体" w:hAnsi="宋体" w:eastAsia="黑体" w:cs="黑体"/>
          <w:color w:val="auto"/>
          <w:sz w:val="44"/>
          <w:szCs w:val="44"/>
          <w:highlight w:val="none"/>
        </w:rPr>
        <w:t>四章 采购需求</w:t>
      </w:r>
      <w:bookmarkEnd w:id="166"/>
      <w:bookmarkEnd w:id="167"/>
      <w:bookmarkEnd w:id="168"/>
      <w:bookmarkEnd w:id="169"/>
      <w:bookmarkEnd w:id="170"/>
    </w:p>
    <w:p w14:paraId="7B1CBA23">
      <w:pPr>
        <w:pStyle w:val="208"/>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20"/>
        <w:jc w:val="both"/>
        <w:textAlignment w:val="auto"/>
        <w:rPr>
          <w:rFonts w:hint="eastAsia" w:ascii="宋体" w:hAnsi="宋体" w:eastAsia="宋体" w:cs="宋体"/>
          <w:color w:val="auto"/>
          <w:sz w:val="21"/>
          <w:szCs w:val="21"/>
          <w:highlight w:val="none"/>
        </w:rPr>
      </w:pPr>
      <w:bookmarkStart w:id="209" w:name="_Toc49090575"/>
      <w:bookmarkStart w:id="210" w:name="_Toc26554093"/>
      <w:r>
        <w:rPr>
          <w:rFonts w:hint="eastAsia" w:ascii="宋体" w:hAnsi="宋体" w:eastAsia="宋体" w:cs="宋体"/>
          <w:color w:val="auto"/>
          <w:sz w:val="21"/>
          <w:szCs w:val="21"/>
          <w:highlight w:val="none"/>
        </w:rPr>
        <w:t>项目属性:货物类项目</w:t>
      </w:r>
      <w:bookmarkEnd w:id="209"/>
      <w:bookmarkEnd w:id="210"/>
    </w:p>
    <w:p w14:paraId="430078AF">
      <w:pPr>
        <w:keepLines w:val="0"/>
        <w:pageBreakBefore w:val="0"/>
        <w:widowControl/>
        <w:kinsoku/>
        <w:wordWrap/>
        <w:overflowPunct/>
        <w:topLinePunct w:val="0"/>
        <w:autoSpaceDE/>
        <w:autoSpaceDN/>
        <w:bidi w:val="0"/>
        <w:adjustRightInd/>
        <w:snapToGrid/>
        <w:spacing w:line="360" w:lineRule="auto"/>
        <w:ind w:left="0" w:leftChars="0" w:right="0" w:rightChars="0"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本项目核心产品为：</w:t>
      </w:r>
      <w:r>
        <w:rPr>
          <w:rFonts w:hint="eastAsia"/>
          <w:color w:val="auto"/>
          <w:highlight w:val="none"/>
        </w:rPr>
        <w:t>双镜头结构化相机</w:t>
      </w:r>
    </w:p>
    <w:p w14:paraId="63F779F7">
      <w:pPr>
        <w:keepLines w:val="0"/>
        <w:pageBreakBefore w:val="0"/>
        <w:widowControl/>
        <w:kinsoku/>
        <w:wordWrap/>
        <w:overflowPunct/>
        <w:topLinePunct w:val="0"/>
        <w:autoSpaceDE/>
        <w:autoSpaceDN/>
        <w:bidi w:val="0"/>
        <w:adjustRightInd/>
        <w:snapToGrid/>
        <w:spacing w:line="360" w:lineRule="auto"/>
        <w:ind w:left="0" w:leftChars="0" w:right="0" w:rightChars="0"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本项目不接受进口产品投标</w:t>
      </w:r>
    </w:p>
    <w:p w14:paraId="734BF38B">
      <w:pPr>
        <w:keepNext/>
        <w:keepLines w:val="0"/>
        <w:pageBreakBefore w:val="0"/>
        <w:tabs>
          <w:tab w:val="left" w:pos="0"/>
          <w:tab w:val="left" w:pos="3165"/>
          <w:tab w:val="center" w:pos="4153"/>
        </w:tabs>
        <w:kinsoku/>
        <w:wordWrap/>
        <w:overflowPunct/>
        <w:topLinePunct w:val="0"/>
        <w:autoSpaceDE/>
        <w:autoSpaceDN/>
        <w:bidi w:val="0"/>
        <w:adjustRightInd/>
        <w:snapToGrid/>
        <w:spacing w:line="360" w:lineRule="auto"/>
        <w:ind w:left="0" w:leftChars="0" w:right="0" w:rightChars="0"/>
        <w:jc w:val="left"/>
        <w:textAlignment w:val="auto"/>
        <w:outlineLvl w:val="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一、项目概况</w:t>
      </w:r>
    </w:p>
    <w:p w14:paraId="78871A96">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1、项目名称：盐城市公安局亭湖分局农村地区智慧安防村居建设（202</w:t>
      </w:r>
      <w:r>
        <w:rPr>
          <w:rFonts w:hint="eastAsia" w:ascii="宋体" w:hAnsi="宋体" w:cs="宋体"/>
          <w:bCs/>
          <w:color w:val="auto"/>
          <w:sz w:val="21"/>
          <w:szCs w:val="21"/>
          <w:highlight w:val="none"/>
          <w:lang w:val="en-US" w:eastAsia="zh-CN"/>
        </w:rPr>
        <w:t>6</w:t>
      </w:r>
      <w:r>
        <w:rPr>
          <w:rFonts w:hint="eastAsia" w:ascii="宋体" w:hAnsi="宋体" w:eastAsia="宋体" w:cs="宋体"/>
          <w:bCs/>
          <w:color w:val="auto"/>
          <w:sz w:val="21"/>
          <w:szCs w:val="21"/>
          <w:highlight w:val="none"/>
        </w:rPr>
        <w:t>年度）项目</w:t>
      </w:r>
    </w:p>
    <w:p w14:paraId="4FD6BDBB">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升级改造服务目标：根据盐城市亭湖区智慧安防村居建设工程项目的安防现状及需求，因地制宜、合理部署，依照分阶梯进行智能安防建设；统一建设标准、统一数据标准、统一服务标准，将社区价值线索统一汇聚、共享；在实现村居物联数据共享的基础上，融合关联业务数据、互联网数据以及其他社会信息，构建以人、地、物、事、组织等为要素的主题数据库，实现预测预警预防预控，赋能基层警务增效减负；结合国家信息安全等级保护及涉密信息系统分级保护制度要求，做好数据安全工作，保证互联网、视频专网和公安信息网等之间的信息高效、安全的流转。</w:t>
      </w:r>
    </w:p>
    <w:p w14:paraId="55AB9B68">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3、质量标准：合格标准并符合招标文件要求及上级相关标准要求。</w:t>
      </w:r>
    </w:p>
    <w:p w14:paraId="361BE368">
      <w:pPr>
        <w:keepLines w:val="0"/>
        <w:pageBreakBefore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二、投标报价</w:t>
      </w:r>
    </w:p>
    <w:p w14:paraId="79B0203F">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color w:val="auto"/>
          <w:sz w:val="21"/>
          <w:szCs w:val="21"/>
          <w:highlight w:val="none"/>
          <w:lang w:val="zh-CN"/>
        </w:rPr>
        <w:t>招标报价采用</w:t>
      </w:r>
      <w:r>
        <w:rPr>
          <w:rFonts w:hint="eastAsia" w:ascii="宋体" w:hAnsi="宋体" w:eastAsia="宋体" w:cs="宋体"/>
          <w:color w:val="auto"/>
          <w:sz w:val="21"/>
          <w:szCs w:val="21"/>
          <w:highlight w:val="none"/>
        </w:rPr>
        <w:t>全费用综合单价方式</w:t>
      </w:r>
      <w:r>
        <w:rPr>
          <w:rFonts w:hint="eastAsia" w:ascii="宋体" w:hAnsi="宋体" w:eastAsia="宋体" w:cs="宋体"/>
          <w:color w:val="auto"/>
          <w:sz w:val="21"/>
          <w:szCs w:val="21"/>
          <w:highlight w:val="none"/>
          <w:lang w:val="zh-CN"/>
        </w:rPr>
        <w:t>，投标人的报价主要包括（但不限于）：所投产品费用、货物价格（含全套货物、配件、备品备件、专用工具、技术资料等）、直接和间接成本费、劳务费、竣工面的清洁费、垃圾清运费、包装费、采购费、运杂费（含运输费）、装卸费、编码上架费、保险费、保修费、管理费、配合费、安装费、调试费、检测费、测试验收费、技术（含操作、维护等）培训及运行维护费用、税金、利润、风险费、成品保护费、国际国内运输保险、报关清关、开证、办理全套免税手续费用、不可预见费及其他一切相关费用等所需的全部费用，</w:t>
      </w:r>
      <w:r>
        <w:rPr>
          <w:rFonts w:hint="eastAsia" w:ascii="宋体" w:hAnsi="宋体" w:eastAsia="宋体" w:cs="宋体"/>
          <w:color w:val="auto"/>
          <w:sz w:val="21"/>
          <w:szCs w:val="21"/>
          <w:highlight w:val="none"/>
        </w:rPr>
        <w:t>凡漏项或少计均视为优惠，采购人不另行增加费用。各类风险和政策性调整等风险已包括在投标报价中，及招标文件中其他要求，结算时中标的全费用综合单价不再调整，数量按实结算。</w:t>
      </w:r>
    </w:p>
    <w:p w14:paraId="7C62C9C0">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2、第三方服务费投标人报价时单独报价,包含内容如下：</w:t>
      </w:r>
    </w:p>
    <w:p w14:paraId="2307F3DB">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测评费：测评费主要包括等保测评费</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软件测评费</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商用密码应用安全性评估费，招标人根据实际需要统筹开展，注重相互协调衔接，避免重复测评。具体由招标人自行组织采购或招标实施。</w:t>
      </w:r>
    </w:p>
    <w:p w14:paraId="669E09F0">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①等保测评费：建设单位委托第三方机构进行网络安全等级保护测评，验证信息系统是否满足相应安全保护等级所发生的费用。</w:t>
      </w:r>
    </w:p>
    <w:p w14:paraId="75FC939B">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②软件测评费：委托第三方软件专业测试机构对项目进行验收测试、性能测试等方面工作所发生的费用。</w:t>
      </w:r>
    </w:p>
    <w:p w14:paraId="11356741">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③商用密码应用安全性评估费：密码管理部门要求对采用商用密码技术、产品或服务集成建设的网络和信息系统密码应用的合规性、正规性、有效性进行评估产生的费用。</w:t>
      </w:r>
    </w:p>
    <w:p w14:paraId="6A3192AE">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（一）定义</w:t>
      </w:r>
    </w:p>
    <w:p w14:paraId="14664C01">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指信息化项目在验收前委托第三方测评机构依据经批准的信息化项目可行性研究报告、初步设计方案、招投标文件等对用户软件进行测评。</w:t>
      </w:r>
    </w:p>
    <w:p w14:paraId="0C02219E">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（二）内容</w:t>
      </w:r>
    </w:p>
    <w:p w14:paraId="77B48971">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对用户软件功能性、非功能性、用户文档等进行测评，并出具测评报告。具测评报告。</w:t>
      </w:r>
    </w:p>
    <w:p w14:paraId="28575F2D">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（三）计费标准及相关说明详见</w:t>
      </w:r>
      <w:r>
        <w:rPr>
          <w:rFonts w:hint="eastAsia" w:ascii="宋体" w:hAnsi="宋体" w:eastAsia="宋体" w:cs="宋体"/>
          <w:color w:val="auto"/>
          <w:sz w:val="21"/>
          <w:szCs w:val="21"/>
          <w:highlight w:val="none"/>
          <w:lang w:eastAsia="zh-CN"/>
        </w:rPr>
        <w:t>《关于印发《盐城市信息化项目审批“一件事”试点工作建设指南（2024）》的通知》（</w:t>
      </w:r>
      <w:r>
        <w:rPr>
          <w:rFonts w:hint="eastAsia" w:ascii="宋体" w:hAnsi="宋体" w:eastAsia="宋体" w:cs="宋体"/>
          <w:color w:val="auto"/>
          <w:sz w:val="21"/>
          <w:szCs w:val="21"/>
          <w:highlight w:val="none"/>
          <w:lang w:val="en-US" w:eastAsia="zh-CN"/>
        </w:rPr>
        <w:t>盐数发【2024】27号</w:t>
      </w:r>
      <w:r>
        <w:rPr>
          <w:rFonts w:hint="eastAsia" w:ascii="宋体" w:hAnsi="宋体" w:eastAsia="宋体" w:cs="宋体"/>
          <w:color w:val="auto"/>
          <w:sz w:val="21"/>
          <w:szCs w:val="21"/>
          <w:highlight w:val="none"/>
          <w:lang w:eastAsia="zh-CN"/>
        </w:rPr>
        <w:t>）</w:t>
      </w:r>
    </w:p>
    <w:p w14:paraId="07C1A199">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3、请各投标人根据本工程的特点、工作量、自身实力、管理水平、市场行情，并充分考虑到项目实施期间各类市场风险等各项因素自主确定不低于市场价进行投标报价。</w:t>
      </w:r>
    </w:p>
    <w:p w14:paraId="4CFDFA1B">
      <w:pPr>
        <w:keepLines w:val="0"/>
        <w:pageBreakBefore w:val="0"/>
        <w:tabs>
          <w:tab w:val="left" w:pos="720"/>
          <w:tab w:val="left" w:pos="1080"/>
        </w:tabs>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本项目工期较为紧张，但现阶段国际市场芯片存在缺货的客观情况，该情形有可能中标供应商造成投标设备的型号无法按时供货。对此投标人在投标时因综合考虑该项因素，在投标文件品牌及型号填报时可以加报同等次的备用品牌型号，但在项目实施阶段须经采购人同意后方可使用备用品牌。</w:t>
      </w:r>
    </w:p>
    <w:p w14:paraId="0FF3B2EE">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三、现场踏勘</w:t>
      </w:r>
    </w:p>
    <w:p w14:paraId="1FDF8AE7">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rPr>
        <w:t>各投标人投标前应踏勘现场以了解项目实际情况，现场踏勘时须确保完全了解项目现状及采购人须达到的效果</w:t>
      </w:r>
      <w:r>
        <w:rPr>
          <w:rFonts w:hint="eastAsia" w:ascii="宋体" w:hAnsi="宋体" w:eastAsia="宋体" w:cs="宋体"/>
          <w:color w:val="auto"/>
          <w:sz w:val="21"/>
          <w:szCs w:val="21"/>
          <w:highlight w:val="none"/>
          <w:lang w:val="zh-CN"/>
        </w:rPr>
        <w:t>，并充分考虑各项足以影响承包价格的情况。中标后不得以未踏勘现场或踏勘现场不细致而消极怠工或要求增加费用。投标人的现场踏勘行为有任何责任须自行承担，不得因此使采购人承担有关的责任和蒙受损失。</w:t>
      </w:r>
    </w:p>
    <w:p w14:paraId="5CAC6EE0">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设备参数</w:t>
      </w:r>
      <w:r>
        <w:rPr>
          <w:rFonts w:hint="eastAsia" w:ascii="宋体" w:hAnsi="宋体" w:cs="宋体"/>
          <w:b/>
          <w:color w:val="auto"/>
          <w:sz w:val="21"/>
          <w:szCs w:val="21"/>
          <w:highlight w:val="none"/>
          <w:lang w:val="en-US" w:eastAsia="zh-CN"/>
        </w:rPr>
        <w:t>及相关要求</w:t>
      </w:r>
    </w:p>
    <w:p w14:paraId="593C295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宋体" w:hAnsi="宋体" w:eastAsia="宋体" w:cs="宋体"/>
          <w:b/>
          <w:bCs w:val="0"/>
          <w:color w:val="auto"/>
          <w:sz w:val="21"/>
          <w:szCs w:val="21"/>
          <w:highlight w:val="none"/>
          <w:lang w:val="zh-CN" w:eastAsia="zh-CN" w:bidi="ar-SA"/>
        </w:rPr>
      </w:pPr>
      <w:r>
        <w:rPr>
          <w:rFonts w:hint="eastAsia" w:ascii="宋体" w:hAnsi="宋体" w:cs="宋体"/>
          <w:b/>
          <w:bCs w:val="0"/>
          <w:color w:val="auto"/>
          <w:sz w:val="21"/>
          <w:szCs w:val="21"/>
          <w:highlight w:val="none"/>
          <w:lang w:val="en-US" w:eastAsia="zh-CN" w:bidi="ar-SA"/>
        </w:rPr>
        <w:t>1、</w:t>
      </w:r>
      <w:r>
        <w:rPr>
          <w:rFonts w:hint="eastAsia" w:ascii="宋体" w:hAnsi="宋体" w:eastAsia="宋体" w:cs="宋体"/>
          <w:b/>
          <w:bCs w:val="0"/>
          <w:color w:val="auto"/>
          <w:sz w:val="21"/>
          <w:szCs w:val="21"/>
          <w:highlight w:val="none"/>
          <w:lang w:val="zh-CN" w:eastAsia="zh-CN" w:bidi="ar-SA"/>
        </w:rPr>
        <w:t>盐城市公安局亭湖分局农村地区智慧安防村居建设（2026年）项目建设总清单</w:t>
      </w:r>
    </w:p>
    <w:tbl>
      <w:tblPr>
        <w:tblStyle w:val="31"/>
        <w:tblW w:w="8850" w:type="dxa"/>
        <w:tblInd w:w="-58" w:type="dxa"/>
        <w:shd w:val="clear" w:color="auto" w:fill="auto"/>
        <w:tblLayout w:type="fixed"/>
        <w:tblCellMar>
          <w:top w:w="0" w:type="dxa"/>
          <w:left w:w="0" w:type="dxa"/>
          <w:bottom w:w="0" w:type="dxa"/>
          <w:right w:w="0" w:type="dxa"/>
        </w:tblCellMar>
      </w:tblPr>
      <w:tblGrid>
        <w:gridCol w:w="773"/>
        <w:gridCol w:w="2042"/>
        <w:gridCol w:w="4004"/>
        <w:gridCol w:w="611"/>
        <w:gridCol w:w="589"/>
        <w:gridCol w:w="831"/>
      </w:tblGrid>
      <w:tr w14:paraId="4C71A103">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38C2E9">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序号</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B193C2">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名称</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E7A467">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参数</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0550E1">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单位</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C6BE50">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数量</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295EFE">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备注</w:t>
            </w:r>
          </w:p>
        </w:tc>
      </w:tr>
      <w:tr w14:paraId="4FCE1491">
        <w:tblPrEx>
          <w:shd w:val="clear" w:color="auto" w:fill="auto"/>
          <w:tblCellMar>
            <w:top w:w="0" w:type="dxa"/>
            <w:left w:w="0" w:type="dxa"/>
            <w:bottom w:w="0" w:type="dxa"/>
            <w:right w:w="0" w:type="dxa"/>
          </w:tblCellMar>
        </w:tblPrEx>
        <w:trPr>
          <w:trHeight w:val="600" w:hRule="atLeast"/>
        </w:trPr>
        <w:tc>
          <w:tcPr>
            <w:tcW w:w="681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762E80">
            <w:pPr>
              <w:keepNext w:val="0"/>
              <w:keepLines w:val="0"/>
              <w:widowControl/>
              <w:suppressLineNumbers w:val="0"/>
              <w:jc w:val="left"/>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一、前端监控建设</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AE31DB">
            <w:pPr>
              <w:jc w:val="center"/>
              <w:rPr>
                <w:rFonts w:hint="eastAsia" w:ascii="宋体" w:hAnsi="宋体" w:eastAsia="宋体" w:cs="宋体"/>
                <w:b/>
                <w:i w:val="0"/>
                <w:color w:val="auto"/>
                <w:sz w:val="21"/>
                <w:szCs w:val="21"/>
                <w:highlight w:val="none"/>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1DC486">
            <w:pPr>
              <w:jc w:val="center"/>
              <w:rPr>
                <w:rFonts w:hint="eastAsia" w:ascii="宋体" w:hAnsi="宋体" w:eastAsia="宋体" w:cs="宋体"/>
                <w:b/>
                <w:i w:val="0"/>
                <w:color w:val="auto"/>
                <w:sz w:val="21"/>
                <w:szCs w:val="21"/>
                <w:highlight w:val="none"/>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312766">
            <w:pPr>
              <w:jc w:val="center"/>
              <w:rPr>
                <w:rFonts w:hint="eastAsia" w:ascii="宋体" w:hAnsi="宋体" w:eastAsia="宋体" w:cs="宋体"/>
                <w:b/>
                <w:i w:val="0"/>
                <w:color w:val="auto"/>
                <w:sz w:val="21"/>
                <w:szCs w:val="21"/>
                <w:highlight w:val="none"/>
                <w:u w:val="none"/>
              </w:rPr>
            </w:pPr>
          </w:p>
        </w:tc>
      </w:tr>
      <w:tr w14:paraId="765CEC03">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EA32F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7EB186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双镜头结构化相机（含安装、调试、接入）</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61AE13C">
            <w:pPr>
              <w:keepNext w:val="0"/>
              <w:keepLines w:val="0"/>
              <w:widowControl/>
              <w:suppressLineNumbers w:val="0"/>
              <w:jc w:val="left"/>
              <w:textAlignment w:val="top"/>
              <w:rPr>
                <w:rFonts w:hint="eastAsia" w:ascii="宋体" w:hAnsi="宋体" w:eastAsia="宋体" w:cs="宋体"/>
                <w:i w:val="0"/>
                <w:color w:val="auto"/>
                <w:sz w:val="21"/>
                <w:szCs w:val="21"/>
                <w:highlight w:val="none"/>
                <w:u w:val="none"/>
              </w:rPr>
            </w:pPr>
            <w:r>
              <w:rPr>
                <w:rFonts w:hint="eastAsia" w:ascii="宋体" w:hAnsi="宋体" w:eastAsia="宋体" w:cs="宋体"/>
                <w:i/>
                <w:iCs/>
                <w:color w:val="auto"/>
                <w:kern w:val="0"/>
                <w:sz w:val="21"/>
                <w:szCs w:val="21"/>
                <w:highlight w:val="none"/>
                <w:u w:val="single"/>
                <w:lang w:val="en-US" w:eastAsia="zh-CN" w:bidi="ar"/>
              </w:rPr>
              <w:t>1、双镜头均采用不低于400万像素1/1.8英寸CMOS图像传感器，内置GPU芯片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2、细节镜头支持电动变焦，镜头焦距：8mm～32mm 或10～50mm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3、支持人脸、车辆、人体抓拍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4、配置电源支架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5、能无缝接入甲方视频联网平台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6、支持GB35114-A级加密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7、内置不少于5颗补光灯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在环境光着地低于50lx的条件下，可对速度不小于40Km/h的机动车，速度不大25Km/h的非机动车，速度不大5Km/h的行人三种同时经过画面的目标进行分类曝光，可抓拍人脸、人体、非机动车和机动车目标，抓拍的人脸和车牌号码图片应清晰可辨，无过曝，欠曝情况；</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477D8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C0F84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314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DCC260">
            <w:pPr>
              <w:jc w:val="center"/>
              <w:rPr>
                <w:rFonts w:hint="eastAsia" w:ascii="宋体" w:hAnsi="宋体" w:eastAsia="宋体" w:cs="宋体"/>
                <w:i w:val="0"/>
                <w:color w:val="auto"/>
                <w:sz w:val="21"/>
                <w:szCs w:val="21"/>
                <w:highlight w:val="none"/>
                <w:u w:val="none"/>
              </w:rPr>
            </w:pPr>
          </w:p>
        </w:tc>
      </w:tr>
      <w:tr w14:paraId="18479707">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E7568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47425C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400万室内4G人脸枪机（含安装、调试、接入）</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1208D27">
            <w:pPr>
              <w:keepNext w:val="0"/>
              <w:keepLines w:val="0"/>
              <w:widowControl/>
              <w:suppressLineNumbers w:val="0"/>
              <w:jc w:val="left"/>
              <w:textAlignment w:val="top"/>
              <w:rPr>
                <w:rFonts w:hint="eastAsia" w:ascii="宋体" w:hAnsi="宋体" w:eastAsia="宋体" w:cs="宋体"/>
                <w:i w:val="0"/>
                <w:color w:val="auto"/>
                <w:sz w:val="21"/>
                <w:szCs w:val="21"/>
                <w:highlight w:val="none"/>
                <w:u w:val="none"/>
              </w:rPr>
            </w:pPr>
            <w:r>
              <w:rPr>
                <w:rFonts w:hint="eastAsia" w:ascii="宋体" w:hAnsi="宋体" w:eastAsia="宋体" w:cs="宋体"/>
                <w:b w:val="0"/>
                <w:bCs w:val="0"/>
                <w:i/>
                <w:iCs/>
                <w:color w:val="auto"/>
                <w:kern w:val="0"/>
                <w:sz w:val="21"/>
                <w:szCs w:val="21"/>
                <w:highlight w:val="none"/>
                <w:u w:val="single"/>
                <w:lang w:val="en-US" w:eastAsia="zh-CN" w:bidi="ar"/>
              </w:rPr>
              <w:t>1、不低于400万像素</w:t>
            </w:r>
            <w:r>
              <w:rPr>
                <w:rFonts w:hint="eastAsia" w:ascii="宋体" w:hAnsi="宋体" w:eastAsia="宋体" w:cs="宋体"/>
                <w:b w:val="0"/>
                <w:bCs w:val="0"/>
                <w:i/>
                <w:iCs/>
                <w:color w:val="auto"/>
                <w:kern w:val="0"/>
                <w:sz w:val="21"/>
                <w:szCs w:val="21"/>
                <w:highlight w:val="none"/>
                <w:u w:val="single"/>
                <w:lang w:val="en-US" w:eastAsia="zh-CN" w:bidi="ar"/>
              </w:rPr>
              <w:br w:type="textWrapping"/>
            </w:r>
            <w:r>
              <w:rPr>
                <w:rFonts w:hint="eastAsia" w:ascii="宋体" w:hAnsi="宋体" w:eastAsia="宋体" w:cs="宋体"/>
                <w:b w:val="0"/>
                <w:bCs w:val="0"/>
                <w:i/>
                <w:iCs/>
                <w:color w:val="auto"/>
                <w:kern w:val="0"/>
                <w:sz w:val="21"/>
                <w:szCs w:val="21"/>
                <w:highlight w:val="none"/>
                <w:u w:val="single"/>
                <w:lang w:val="en-US" w:eastAsia="zh-CN" w:bidi="ar"/>
              </w:rPr>
              <w:t>2、支持4G</w:t>
            </w:r>
            <w:r>
              <w:rPr>
                <w:rFonts w:hint="eastAsia" w:ascii="宋体" w:hAnsi="宋体" w:eastAsia="宋体" w:cs="宋体"/>
                <w:b w:val="0"/>
                <w:bCs w:val="0"/>
                <w:i/>
                <w:iCs/>
                <w:color w:val="auto"/>
                <w:kern w:val="0"/>
                <w:sz w:val="21"/>
                <w:szCs w:val="21"/>
                <w:highlight w:val="none"/>
                <w:u w:val="single"/>
                <w:lang w:val="en-US" w:eastAsia="zh-CN" w:bidi="ar"/>
              </w:rPr>
              <w:br w:type="textWrapping"/>
            </w:r>
            <w:r>
              <w:rPr>
                <w:rFonts w:hint="eastAsia" w:ascii="宋体" w:hAnsi="宋体" w:eastAsia="宋体" w:cs="宋体"/>
                <w:b w:val="0"/>
                <w:bCs w:val="0"/>
                <w:i/>
                <w:iCs/>
                <w:color w:val="auto"/>
                <w:kern w:val="0"/>
                <w:sz w:val="21"/>
                <w:szCs w:val="21"/>
                <w:highlight w:val="none"/>
                <w:u w:val="single"/>
                <w:lang w:val="en-US" w:eastAsia="zh-CN" w:bidi="ar"/>
              </w:rPr>
              <w:t>3、电动变焦</w:t>
            </w:r>
            <w:r>
              <w:rPr>
                <w:rFonts w:hint="eastAsia" w:ascii="宋体" w:hAnsi="宋体" w:eastAsia="宋体" w:cs="宋体"/>
                <w:b w:val="0"/>
                <w:bCs w:val="0"/>
                <w:i/>
                <w:iCs/>
                <w:color w:val="auto"/>
                <w:kern w:val="0"/>
                <w:sz w:val="21"/>
                <w:szCs w:val="21"/>
                <w:highlight w:val="none"/>
                <w:u w:val="single"/>
                <w:lang w:val="en-US" w:eastAsia="zh-CN" w:bidi="ar"/>
              </w:rPr>
              <w:br w:type="textWrapping"/>
            </w:r>
            <w:r>
              <w:rPr>
                <w:rFonts w:hint="eastAsia" w:ascii="宋体" w:hAnsi="宋体" w:eastAsia="宋体" w:cs="宋体"/>
                <w:b w:val="0"/>
                <w:bCs w:val="0"/>
                <w:i/>
                <w:iCs/>
                <w:color w:val="auto"/>
                <w:kern w:val="0"/>
                <w:sz w:val="21"/>
                <w:szCs w:val="21"/>
                <w:highlight w:val="none"/>
                <w:u w:val="single"/>
                <w:lang w:val="en-US" w:eastAsia="zh-CN" w:bidi="ar"/>
              </w:rPr>
              <w:t>4、支持人脸、车辆、人体抓拍</w:t>
            </w:r>
            <w:r>
              <w:rPr>
                <w:rFonts w:hint="eastAsia" w:ascii="宋体" w:hAnsi="宋体" w:eastAsia="宋体" w:cs="宋体"/>
                <w:b w:val="0"/>
                <w:bCs w:val="0"/>
                <w:i/>
                <w:iCs/>
                <w:color w:val="auto"/>
                <w:kern w:val="0"/>
                <w:sz w:val="21"/>
                <w:szCs w:val="21"/>
                <w:highlight w:val="none"/>
                <w:u w:val="single"/>
                <w:lang w:val="en-US" w:eastAsia="zh-CN" w:bidi="ar"/>
              </w:rPr>
              <w:br w:type="textWrapping"/>
            </w:r>
            <w:r>
              <w:rPr>
                <w:rFonts w:hint="eastAsia" w:ascii="宋体" w:hAnsi="宋体" w:eastAsia="宋体" w:cs="宋体"/>
                <w:b w:val="0"/>
                <w:bCs w:val="0"/>
                <w:i/>
                <w:iCs/>
                <w:color w:val="auto"/>
                <w:kern w:val="0"/>
                <w:sz w:val="21"/>
                <w:szCs w:val="21"/>
                <w:highlight w:val="none"/>
                <w:u w:val="single"/>
                <w:lang w:val="en-US" w:eastAsia="zh-CN" w:bidi="ar"/>
              </w:rPr>
              <w:t>5、配置电源支架</w:t>
            </w:r>
            <w:r>
              <w:rPr>
                <w:rFonts w:hint="eastAsia" w:ascii="宋体" w:hAnsi="宋体" w:eastAsia="宋体" w:cs="宋体"/>
                <w:b w:val="0"/>
                <w:bCs w:val="0"/>
                <w:i/>
                <w:iCs/>
                <w:color w:val="auto"/>
                <w:kern w:val="0"/>
                <w:sz w:val="21"/>
                <w:szCs w:val="21"/>
                <w:highlight w:val="none"/>
                <w:u w:val="single"/>
                <w:lang w:val="en-US" w:eastAsia="zh-CN" w:bidi="ar"/>
              </w:rPr>
              <w:br w:type="textWrapping"/>
            </w:r>
            <w:r>
              <w:rPr>
                <w:rFonts w:hint="eastAsia" w:ascii="宋体" w:hAnsi="宋体" w:eastAsia="宋体" w:cs="宋体"/>
                <w:b w:val="0"/>
                <w:bCs w:val="0"/>
                <w:i/>
                <w:iCs/>
                <w:color w:val="auto"/>
                <w:kern w:val="0"/>
                <w:sz w:val="21"/>
                <w:szCs w:val="21"/>
                <w:highlight w:val="none"/>
                <w:u w:val="single"/>
                <w:lang w:val="en-US" w:eastAsia="zh-CN" w:bidi="ar"/>
              </w:rPr>
              <w:t>6、能无缝接入甲方视频联网平台</w:t>
            </w:r>
            <w:r>
              <w:rPr>
                <w:rFonts w:hint="eastAsia" w:ascii="宋体" w:hAnsi="宋体" w:eastAsia="宋体" w:cs="宋体"/>
                <w:b w:val="0"/>
                <w:bCs w:val="0"/>
                <w:i/>
                <w:iCs/>
                <w:color w:val="auto"/>
                <w:kern w:val="0"/>
                <w:sz w:val="21"/>
                <w:szCs w:val="21"/>
                <w:highlight w:val="none"/>
                <w:u w:val="single"/>
                <w:lang w:val="en-US" w:eastAsia="zh-CN" w:bidi="ar"/>
              </w:rPr>
              <w:br w:type="textWrapping"/>
            </w:r>
            <w:r>
              <w:rPr>
                <w:rFonts w:hint="eastAsia" w:ascii="宋体" w:hAnsi="宋体" w:eastAsia="宋体" w:cs="宋体"/>
                <w:b w:val="0"/>
                <w:bCs w:val="0"/>
                <w:i/>
                <w:iCs/>
                <w:color w:val="auto"/>
                <w:kern w:val="0"/>
                <w:sz w:val="21"/>
                <w:szCs w:val="21"/>
                <w:highlight w:val="none"/>
                <w:u w:val="single"/>
                <w:lang w:val="en-US" w:eastAsia="zh-CN" w:bidi="ar"/>
              </w:rPr>
              <w:t>7、支持GB35114-A级加密</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EA353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594FB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75</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E76B18">
            <w:pPr>
              <w:jc w:val="center"/>
              <w:rPr>
                <w:rFonts w:hint="eastAsia" w:ascii="宋体" w:hAnsi="宋体" w:eastAsia="宋体" w:cs="宋体"/>
                <w:i w:val="0"/>
                <w:color w:val="auto"/>
                <w:sz w:val="21"/>
                <w:szCs w:val="21"/>
                <w:highlight w:val="none"/>
                <w:u w:val="none"/>
              </w:rPr>
            </w:pPr>
          </w:p>
        </w:tc>
      </w:tr>
      <w:tr w14:paraId="62DA471F">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BAECD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4CFC57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单镜头结构化相机（含安装、调试、接入）</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3D934E9">
            <w:pPr>
              <w:keepNext w:val="0"/>
              <w:keepLines w:val="0"/>
              <w:widowControl/>
              <w:suppressLineNumbers w:val="0"/>
              <w:jc w:val="left"/>
              <w:textAlignment w:val="top"/>
              <w:rPr>
                <w:rFonts w:hint="eastAsia" w:ascii="宋体" w:hAnsi="宋体" w:eastAsia="宋体" w:cs="宋体"/>
                <w:i w:val="0"/>
                <w:color w:val="auto"/>
                <w:sz w:val="21"/>
                <w:szCs w:val="21"/>
                <w:highlight w:val="none"/>
                <w:u w:val="none"/>
              </w:rPr>
            </w:pPr>
            <w:r>
              <w:rPr>
                <w:rFonts w:hint="eastAsia" w:ascii="宋体" w:hAnsi="宋体" w:eastAsia="宋体" w:cs="宋体"/>
                <w:i/>
                <w:iCs/>
                <w:color w:val="auto"/>
                <w:kern w:val="0"/>
                <w:sz w:val="21"/>
                <w:szCs w:val="21"/>
                <w:highlight w:val="none"/>
                <w:u w:val="single"/>
                <w:lang w:val="en-US" w:eastAsia="zh-CN" w:bidi="ar"/>
              </w:rPr>
              <w:t>1、采用不低于400万像素1/1.8英寸CMOS图像传感器，内置GPU芯片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2、细节镜头支持电动变焦，镜头焦距：8mm～32mm 或7～35mm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3、支持人脸、车辆、人体抓拍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4、配置电源支架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5、能无缝接入甲方视频联网平台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6、支持GB35114-A级加密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7、内置补光灯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8、设备采用基于transformer架构的大模型算法，内置算力不小于8TOPS</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A805E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A0627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76</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54C08E">
            <w:pPr>
              <w:jc w:val="center"/>
              <w:rPr>
                <w:rFonts w:hint="eastAsia" w:ascii="宋体" w:hAnsi="宋体" w:eastAsia="宋体" w:cs="宋体"/>
                <w:i w:val="0"/>
                <w:color w:val="auto"/>
                <w:sz w:val="21"/>
                <w:szCs w:val="21"/>
                <w:highlight w:val="none"/>
                <w:u w:val="none"/>
              </w:rPr>
            </w:pPr>
          </w:p>
        </w:tc>
      </w:tr>
      <w:tr w14:paraId="3FFA70F4">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A5049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2722D9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400万人脸枪机（含安装、调试、接入）</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1F66A5A">
            <w:pPr>
              <w:keepNext w:val="0"/>
              <w:keepLines w:val="0"/>
              <w:widowControl/>
              <w:suppressLineNumbers w:val="0"/>
              <w:jc w:val="left"/>
              <w:textAlignment w:val="top"/>
              <w:rPr>
                <w:rFonts w:hint="eastAsia" w:ascii="宋体" w:hAnsi="宋体" w:eastAsia="宋体" w:cs="宋体"/>
                <w:i w:val="0"/>
                <w:color w:val="auto"/>
                <w:sz w:val="21"/>
                <w:szCs w:val="21"/>
                <w:highlight w:val="none"/>
                <w:u w:val="none"/>
              </w:rPr>
            </w:pPr>
            <w:r>
              <w:rPr>
                <w:rFonts w:hint="eastAsia" w:ascii="宋体" w:hAnsi="宋体" w:eastAsia="宋体" w:cs="宋体"/>
                <w:i/>
                <w:iCs/>
                <w:color w:val="auto"/>
                <w:kern w:val="0"/>
                <w:sz w:val="21"/>
                <w:szCs w:val="21"/>
                <w:highlight w:val="none"/>
                <w:u w:val="single"/>
                <w:lang w:val="en-US" w:eastAsia="zh-CN" w:bidi="ar"/>
              </w:rPr>
              <w:t>1、像素：400万；传感器类型：1/2.7英寸CMOS；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2、最低照度：0.002lux（彩色模式）；0.0002lux（黑白模式）；0lux（补光灯开启）；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3、补光灯：2颗（暖光灯）;4颗（红外灯）；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4、镜头类型：电动变焦；镜头焦距：2.7mm～13.5mm；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5、视场角：水平：103°～29°；垂直：54°～16°；对角：124°～33°；</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6、周界防范：绊线入侵；区域入侵；快速移动（三项均支持人车分类及精准检测）；徘徊检测；人员聚集；停车检测；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人脸检测：支持人脸检测；支持跟踪；支持优选；支持抓拍；支持上报最优的人脸抓图；支持人脸增强，支持人脸曝光；支持人脸抠图区域可设：人脸，单寸照；支持实时抓拍、优选抓拍、质量优先三种抓拍策略；支持人脸角度过滤功能；支持优选时长可设；</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8、接入标准：ONVIF；GA/T1400；</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9、预览最大用户数：20个（总带宽：80Ｍ）；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10、最大Micro SD卡：256GB；</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11、配置电源支架</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4DC05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CA42A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227</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D69E13">
            <w:pPr>
              <w:jc w:val="center"/>
              <w:rPr>
                <w:rFonts w:hint="eastAsia" w:ascii="宋体" w:hAnsi="宋体" w:eastAsia="宋体" w:cs="宋体"/>
                <w:i w:val="0"/>
                <w:color w:val="auto"/>
                <w:sz w:val="21"/>
                <w:szCs w:val="21"/>
                <w:highlight w:val="none"/>
                <w:u w:val="none"/>
              </w:rPr>
            </w:pPr>
          </w:p>
        </w:tc>
      </w:tr>
      <w:tr w14:paraId="0D5DB0F9">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90A43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B5CE7A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400万枪球联动（含安装、调试、接入）</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150AE45">
            <w:pPr>
              <w:keepNext w:val="0"/>
              <w:keepLines w:val="0"/>
              <w:widowControl/>
              <w:suppressLineNumbers w:val="0"/>
              <w:jc w:val="left"/>
              <w:textAlignment w:val="top"/>
              <w:rPr>
                <w:rFonts w:hint="eastAsia" w:ascii="宋体" w:hAnsi="宋体" w:eastAsia="宋体" w:cs="宋体"/>
                <w:i w:val="0"/>
                <w:color w:val="auto"/>
                <w:sz w:val="21"/>
                <w:szCs w:val="21"/>
                <w:highlight w:val="none"/>
                <w:u w:val="none"/>
              </w:rPr>
            </w:pPr>
            <w:r>
              <w:rPr>
                <w:rFonts w:hint="eastAsia" w:ascii="宋体" w:hAnsi="宋体" w:eastAsia="宋体" w:cs="宋体"/>
                <w:i/>
                <w:iCs/>
                <w:color w:val="auto"/>
                <w:kern w:val="0"/>
                <w:sz w:val="21"/>
                <w:szCs w:val="21"/>
                <w:highlight w:val="none"/>
                <w:u w:val="single"/>
                <w:lang w:val="en-US" w:eastAsia="zh-CN" w:bidi="ar"/>
              </w:rPr>
              <w:t>1、双镜头，细节全景400万像素1/1.8英寸CMOS 传感器,内置GPU芯片，设备细节镜头内置GMR磁场传感器，当镜头群组收到外力作用发生偏移时可自动复位；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2、细节5倍变焦或者变焦范围不低于8-32mm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3、支持人脸、车辆、人体抓拍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4、配置电源支架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5、能无缝接入甲方视频联网平台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6、支持GB35114-A级加密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7、内置补光灯</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F9ED6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626DF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9EC57A">
            <w:pPr>
              <w:jc w:val="center"/>
              <w:rPr>
                <w:rFonts w:hint="eastAsia" w:ascii="宋体" w:hAnsi="宋体" w:eastAsia="宋体" w:cs="宋体"/>
                <w:i w:val="0"/>
                <w:color w:val="auto"/>
                <w:sz w:val="21"/>
                <w:szCs w:val="21"/>
                <w:highlight w:val="none"/>
                <w:u w:val="none"/>
              </w:rPr>
            </w:pPr>
          </w:p>
        </w:tc>
      </w:tr>
      <w:tr w14:paraId="71094F4C">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598CF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AFD9F0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400万双镜头高清球机（180全景）（含安装、调试、接入）</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73EE0DB">
            <w:pPr>
              <w:keepNext w:val="0"/>
              <w:keepLines w:val="0"/>
              <w:widowControl/>
              <w:suppressLineNumbers w:val="0"/>
              <w:jc w:val="left"/>
              <w:textAlignment w:val="top"/>
              <w:rPr>
                <w:rFonts w:hint="eastAsia" w:ascii="宋体" w:hAnsi="宋体" w:eastAsia="宋体" w:cs="宋体"/>
                <w:i w:val="0"/>
                <w:color w:val="auto"/>
                <w:sz w:val="21"/>
                <w:szCs w:val="21"/>
                <w:highlight w:val="none"/>
                <w:u w:val="none"/>
              </w:rPr>
            </w:pPr>
            <w:r>
              <w:rPr>
                <w:rFonts w:hint="eastAsia" w:ascii="宋体" w:hAnsi="宋体" w:eastAsia="宋体" w:cs="宋体"/>
                <w:i/>
                <w:iCs/>
                <w:color w:val="auto"/>
                <w:kern w:val="0"/>
                <w:sz w:val="21"/>
                <w:szCs w:val="21"/>
                <w:highlight w:val="none"/>
                <w:u w:val="single"/>
                <w:lang w:val="en-US" w:eastAsia="zh-CN" w:bidi="ar"/>
              </w:rPr>
              <w:t>1、不少于2个镜头，全景不低于600万像素，细节不低于400万像素</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2、细节相机支持25倍光学变倍，16倍数字变倍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3、全景摄像机:水平视场角不低于190°</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4、支持人脸、车辆、人体抓拍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5、配置电源支架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6、能无缝接入甲方视频联网平台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7、支持GB35114-A级加密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8、内置补光灯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9、在设备上方使用手持喷淋装置对设备进行喷水操作，水流方向与水平方向夹角大于等于42°时，设备视窗应无水流直接接触</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808B3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B398F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57</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7E953A">
            <w:pPr>
              <w:jc w:val="center"/>
              <w:rPr>
                <w:rFonts w:hint="eastAsia" w:ascii="宋体" w:hAnsi="宋体" w:eastAsia="宋体" w:cs="宋体"/>
                <w:i w:val="0"/>
                <w:color w:val="auto"/>
                <w:sz w:val="21"/>
                <w:szCs w:val="21"/>
                <w:highlight w:val="none"/>
                <w:u w:val="none"/>
              </w:rPr>
            </w:pPr>
          </w:p>
        </w:tc>
      </w:tr>
      <w:tr w14:paraId="636E86AF">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D74A1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DED16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400万全彩摄像机（含安装、调试、接入）</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C62D014">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1、在2560x1440@25fps下，码率设置为2Mbps，清晰度不小于1400TVL。</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2、内置1颗CPU、GPU、NPU于一体的芯片。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3、在低照环境下，开启补光灯，样机可识别距离样机50m处人体轮廓。</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4、具有日夜场景自适应功能，在白天和夜晚环境下，样机均可输出彩色图像，在夜晚自动开启补5、光灯条件下，夜晚图像清晰度应不低于白天图像清晰度的95%。</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6、支持DC12V或POE供电。</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103F8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3AEBA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E4481B">
            <w:pPr>
              <w:jc w:val="center"/>
              <w:rPr>
                <w:rFonts w:hint="eastAsia" w:ascii="宋体" w:hAnsi="宋体" w:eastAsia="宋体" w:cs="宋体"/>
                <w:i w:val="0"/>
                <w:color w:val="auto"/>
                <w:sz w:val="21"/>
                <w:szCs w:val="21"/>
                <w:highlight w:val="none"/>
                <w:u w:val="none"/>
              </w:rPr>
            </w:pPr>
          </w:p>
        </w:tc>
      </w:tr>
      <w:tr w14:paraId="60E437F3">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2AE8E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1A90A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高空球机180°</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2784F3F">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1、全景内置4个镜头，不低于200万像素1/1.8英寸CMOS图像传感器，内置不少于2颗GPU芯片；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2、细节相机不小于25倍变焦</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3、具有人员密度统计功能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4、配置电源支架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5、能无缝接入甲方视频联网平台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6、支持GB35114-A级加密</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9ACF7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4608B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C125A8">
            <w:pPr>
              <w:jc w:val="center"/>
              <w:rPr>
                <w:rFonts w:hint="eastAsia" w:ascii="宋体" w:hAnsi="宋体" w:eastAsia="宋体" w:cs="宋体"/>
                <w:i w:val="0"/>
                <w:color w:val="auto"/>
                <w:sz w:val="21"/>
                <w:szCs w:val="21"/>
                <w:highlight w:val="none"/>
                <w:u w:val="none"/>
              </w:rPr>
            </w:pPr>
          </w:p>
        </w:tc>
      </w:tr>
      <w:tr w14:paraId="488D0815">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F920A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7EED8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400万微距POE摄像机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802096F">
            <w:pPr>
              <w:keepNext w:val="0"/>
              <w:keepLines w:val="0"/>
              <w:widowControl/>
              <w:suppressLineNumbers w:val="0"/>
              <w:jc w:val="left"/>
              <w:textAlignment w:val="top"/>
              <w:rPr>
                <w:rFonts w:hint="eastAsia" w:ascii="宋体" w:hAnsi="宋体" w:eastAsia="宋体" w:cs="宋体"/>
                <w:i w:val="0"/>
                <w:color w:val="auto"/>
                <w:sz w:val="21"/>
                <w:szCs w:val="21"/>
                <w:highlight w:val="none"/>
                <w:u w:val="none"/>
              </w:rPr>
            </w:pPr>
            <w:r>
              <w:rPr>
                <w:rFonts w:hint="eastAsia" w:ascii="宋体" w:hAnsi="宋体" w:eastAsia="宋体" w:cs="宋体"/>
                <w:i/>
                <w:iCs/>
                <w:color w:val="auto"/>
                <w:kern w:val="0"/>
                <w:sz w:val="21"/>
                <w:szCs w:val="21"/>
                <w:highlight w:val="none"/>
                <w:u w:val="single"/>
                <w:lang w:val="en-US" w:eastAsia="zh-CN" w:bidi="ar"/>
              </w:rPr>
              <w:t>1、方块形小型化设计，尺寸36 × 36 × 21.4 mm，适用于机具嵌入安装具有400万像素 CMOS传感器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2、靶面尺寸不低于1/2.8。内置GPU芯片。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3、支持DC12V及POE供电，内置1个麦克风，具有1个RJ45网络接口。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4、支持三码流技术。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5、最低照度彩色：0.005 lx，最大亮度鉴别等级不小于11级。</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6、支持同时开启20个分辨率为2560x1920、帧率为25fps、码率为4Mbps的视频窗口进行画面预览。</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7、具有RTSP和WEB认证模式，具有RTSP认证、WEB认证摘要信息加密设置，加密算法可设置为MD5、SHA256及MD5/SHA256。</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8、具有数字降噪、镜像功能、电子防抖、电子放大、视频水印、可伸缩编码SVC、透雾等功能。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9、支持同时对经过设定检测区域内的30个行人进行人脸检测、跟踪、评分和抓拍，人脸抓拍重复率不大于1%。</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10、摄像机能够在-30~60摄氏度环境下稳定工作。</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694BB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7750A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2ED552">
            <w:pPr>
              <w:jc w:val="center"/>
              <w:rPr>
                <w:rFonts w:hint="eastAsia" w:ascii="宋体" w:hAnsi="宋体" w:eastAsia="宋体" w:cs="宋体"/>
                <w:i w:val="0"/>
                <w:color w:val="auto"/>
                <w:sz w:val="21"/>
                <w:szCs w:val="21"/>
                <w:highlight w:val="none"/>
                <w:u w:val="none"/>
              </w:rPr>
            </w:pPr>
          </w:p>
        </w:tc>
      </w:tr>
      <w:tr w14:paraId="2BF60E2F">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8A6B6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B2249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800万智能小型微距摄像机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4E87167">
            <w:pPr>
              <w:keepNext w:val="0"/>
              <w:keepLines w:val="0"/>
              <w:widowControl/>
              <w:suppressLineNumbers w:val="0"/>
              <w:jc w:val="left"/>
              <w:textAlignment w:val="top"/>
              <w:rPr>
                <w:rFonts w:hint="eastAsia" w:ascii="宋体" w:hAnsi="宋体" w:eastAsia="宋体" w:cs="宋体"/>
                <w:i w:val="0"/>
                <w:color w:val="auto"/>
                <w:sz w:val="21"/>
                <w:szCs w:val="21"/>
                <w:highlight w:val="none"/>
                <w:u w:val="none"/>
              </w:rPr>
            </w:pPr>
            <w:r>
              <w:rPr>
                <w:rFonts w:hint="eastAsia" w:ascii="宋体" w:hAnsi="宋体" w:eastAsia="宋体" w:cs="宋体"/>
                <w:i/>
                <w:iCs/>
                <w:color w:val="auto"/>
                <w:kern w:val="0"/>
                <w:sz w:val="21"/>
                <w:szCs w:val="21"/>
                <w:highlight w:val="none"/>
                <w:u w:val="single"/>
                <w:lang w:val="en-US" w:eastAsia="zh-CN" w:bidi="ar"/>
              </w:rPr>
              <w:t>1、传感器类型：1/2.8" Progressive Scan CMOS；最低照度：彩色：0.005 Lux @（F1.2，AGC ON）最大图像尺寸：3840 × 2160</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2、调节角度：吊装：水平：0°~70°，垂直：-35°~90°；壁装：垂直：-55°~55°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3、焦距&amp;视场角：2.8 mm，水平视场角：110.4°，垂直视场角：76°，对角视场角：119.5°</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4 mm，水平视场角：84.6°，垂直视场角：54°，对角视场角：93.2°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4、开放能力：基础业务逻辑能力，基础媒体服务能力，深度学习推理加速能力</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5、BASE库：提供RTSP/ISAPI服务、HTTP代理服务、License授权服务、端口服务、日志服务等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6、BSC库：提供多媒体视频服务和相应图像加速处理工具，包括获取YUV原始数据流、图像缩放、JPEG编解码、OSD叠加等功能，方便客户搭建差异化的智能处理框架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7、HIKFLOW库：提供深度学习推理加速能力、常见图像处理加速能力，包括缩放，颜色空间转换等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8、AI开放平台：支持AI模型的下发和运行，检测结果的生成和上传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9、模型存储：支持4个模型包存储，每个模型包支持1个检测模型和2个分类模型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10、任务类型：支持视频任务，抓图轮巡任务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11、目标检测：支持16种目标检测，并对其中1种目标进行分类，分类支持64个类别</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12、Smart事件：区域入侵侦测，越界侦测，进入区域侦测，离开区域侦测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13、人脸抓拍：支持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14、网络：1个RJ45 10 M/100 M自适应以太网口；音频：1个内置麦克风</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RS-485：支持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15、产品尺寸：57.2 × 57.2 × 55.95 mm、设备重量：90 g</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16、电流及功耗：DC：12 V，0.41 A，最大功耗：5 W</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E0661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B04A0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FCE878">
            <w:pPr>
              <w:jc w:val="center"/>
              <w:rPr>
                <w:rFonts w:hint="eastAsia" w:ascii="宋体" w:hAnsi="宋体" w:eastAsia="宋体" w:cs="宋体"/>
                <w:i w:val="0"/>
                <w:color w:val="auto"/>
                <w:sz w:val="21"/>
                <w:szCs w:val="21"/>
                <w:highlight w:val="none"/>
                <w:u w:val="none"/>
              </w:rPr>
            </w:pPr>
          </w:p>
        </w:tc>
      </w:tr>
      <w:tr w14:paraId="173F7554">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0B8CD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E0458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硬盘录像机（含硬盘）</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2A2E7E6">
            <w:pPr>
              <w:keepNext w:val="0"/>
              <w:keepLines w:val="0"/>
              <w:widowControl/>
              <w:suppressLineNumbers w:val="0"/>
              <w:jc w:val="left"/>
              <w:textAlignment w:val="top"/>
              <w:rPr>
                <w:rFonts w:hint="eastAsia" w:ascii="宋体" w:hAnsi="宋体" w:eastAsia="宋体" w:cs="宋体"/>
                <w:i w:val="0"/>
                <w:color w:val="auto"/>
                <w:sz w:val="21"/>
                <w:szCs w:val="21"/>
                <w:highlight w:val="none"/>
                <w:u w:val="none"/>
              </w:rPr>
            </w:pPr>
            <w:r>
              <w:rPr>
                <w:rFonts w:hint="eastAsia" w:ascii="宋体" w:hAnsi="宋体" w:eastAsia="宋体" w:cs="宋体"/>
                <w:i/>
                <w:iCs/>
                <w:color w:val="auto"/>
                <w:kern w:val="0"/>
                <w:sz w:val="21"/>
                <w:szCs w:val="21"/>
                <w:highlight w:val="none"/>
                <w:u w:val="single"/>
                <w:lang w:val="en-US" w:eastAsia="zh-CN" w:bidi="ar"/>
              </w:rPr>
              <w:t>1、存储接口：3个SATA接口，可满配20TB硬盘，总容量可达60TB</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2、视频接口：1×HDMI，1×VGA</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3、网络接口：2×RJ45 10/100/1000Mbps自适应以太网口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4、报警接口：4路报警输入，1路报警输出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5、USB接口：1×USB 2.0，1×USB 3.0</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6、输入带宽：128Mbps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7、输出带宽：256Mbps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8、接入能力：8路H.264、H.265格式高清码流接入</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9、显示能力：最大支持8K+1080P异源输出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10、配置5块8TB硬盘，企业级 ，7200转</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11、防水</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2FFF7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F582E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52FDF8">
            <w:pPr>
              <w:jc w:val="center"/>
              <w:rPr>
                <w:rFonts w:hint="eastAsia" w:ascii="宋体" w:hAnsi="宋体" w:eastAsia="宋体" w:cs="宋体"/>
                <w:i w:val="0"/>
                <w:color w:val="auto"/>
                <w:sz w:val="21"/>
                <w:szCs w:val="21"/>
                <w:highlight w:val="none"/>
                <w:u w:val="none"/>
              </w:rPr>
            </w:pPr>
          </w:p>
        </w:tc>
      </w:tr>
      <w:tr w14:paraId="74C7CD95">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14030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2E527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车辆道闸（含基础开挖、浇筑、安装、调试、接入）</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C68D600">
            <w:pPr>
              <w:keepNext w:val="0"/>
              <w:keepLines w:val="0"/>
              <w:widowControl/>
              <w:suppressLineNumbers w:val="0"/>
              <w:jc w:val="left"/>
              <w:textAlignment w:val="top"/>
              <w:rPr>
                <w:rFonts w:hint="eastAsia" w:ascii="宋体" w:hAnsi="宋体" w:eastAsia="宋体" w:cs="宋体"/>
                <w:i w:val="0"/>
                <w:color w:val="auto"/>
                <w:sz w:val="21"/>
                <w:szCs w:val="21"/>
                <w:highlight w:val="none"/>
                <w:u w:val="none"/>
              </w:rPr>
            </w:pPr>
            <w:r>
              <w:rPr>
                <w:rFonts w:hint="eastAsia" w:ascii="宋体" w:hAnsi="宋体" w:eastAsia="宋体" w:cs="宋体"/>
                <w:i/>
                <w:iCs/>
                <w:color w:val="auto"/>
                <w:kern w:val="0"/>
                <w:sz w:val="21"/>
                <w:szCs w:val="21"/>
                <w:highlight w:val="none"/>
                <w:u w:val="single"/>
                <w:lang w:val="en-US" w:eastAsia="zh-CN" w:bidi="ar"/>
              </w:rPr>
              <w:t>一、道闸显示一体机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1、400万像素高清摄像机，最大分辨率可达2688*1520，帧率高达25fps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2、集成度高：集摄像机、显示屏、补光灯、镜头支持电动变焦镜头，便于调试、喇叭功放于一体，有效节省施工布线成本</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3、内置高亮LED灯，白光/红外二合一，智能环保补光技术，满足不同场景需求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4、支持车型识别，车标识别，车身颜色识别，子品牌检测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5、授权名单控制：支持授权名单的导入及对比，可直接联动道闸开闸，支持脱机运行</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6、支持智能化视频检测抓拍，实现机动车精准抓拍识别，准确率99.9%以上</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7、支持跟车不落杆，实现快速通行</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8、机箱表面采用抗紫外线静电喷塑工艺，不起皮，不褪色，防尘防水等级符合室外设备IP54级别要求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9、支持玻璃加热功能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二、直杆道闸（含雷达）</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1、采用一体化机芯，平行齿轮减速连杆传动，传动平稳、效率高</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2、齿轮碳钢材质，淬火处理工艺，抗磨损、抗冲击，寿命长</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3、直流无刷电机、输出力矩大、体积小，噪音低，精确智能控制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4、支持遇阻反弹，开优先保护功能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5、支持红外，地感，雷达等多种防砸</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6、支持故障码数码管检测，日志记录、丰富状态指示，故障码数码管显示、问题定位快捷、方便维护</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7、手动开闸功能：停电时可转动手轮，使道闸保持开状态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8、有效通行宽度：3742mm；通道宽度：4112mm；道闸高度：4750mm ；杆子类型：直杆 ；机箱材质：SECC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三、管理终端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1、设备含显示器及鼠标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2、VGA输出功能：可通过VGA输出进行显示。HDMI输出功能：可通过HDMI输出进行显示。报警接入输出：可控制报警输出，并获取报警输入信息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3、双IP地址检查：可设置两个独立的IP地址。</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4、标准全功能RS232接口，可直接接入标准RS232接口设备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5、标配128G SSD，应对恶略运行环境，适应性更强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6、支持大容量图片存储，可选配一块3.5寸机械硬盘</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7、3.5mm标准音频孔设计，便于接入标准接口音频设备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四、车辆授权接入</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入口车辆放行管理通过接入多种出入口道闸设备，利用车牌号码、卡片，实现车辆识别、出入管控等应用，主要提供出入口车道管理、车辆管理、车辆放行规则管理、出入口LED显示和语音播报管理、库内车辆管理、过车记录查询、车流量统计等应用，支持中心和岗亭监控出入口过车实况、道闸反控和语音对讲协助功能。</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7ABCB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AC0EF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62ED8E">
            <w:pPr>
              <w:jc w:val="center"/>
              <w:rPr>
                <w:rFonts w:hint="eastAsia" w:ascii="宋体" w:hAnsi="宋体" w:eastAsia="宋体" w:cs="宋体"/>
                <w:i w:val="0"/>
                <w:color w:val="auto"/>
                <w:sz w:val="21"/>
                <w:szCs w:val="21"/>
                <w:highlight w:val="none"/>
                <w:u w:val="none"/>
              </w:rPr>
            </w:pPr>
          </w:p>
        </w:tc>
      </w:tr>
      <w:tr w14:paraId="18C70716">
        <w:tblPrEx>
          <w:shd w:val="clear" w:color="auto" w:fill="auto"/>
          <w:tblCellMar>
            <w:top w:w="0" w:type="dxa"/>
            <w:left w:w="0" w:type="dxa"/>
            <w:bottom w:w="0" w:type="dxa"/>
            <w:right w:w="0" w:type="dxa"/>
          </w:tblCellMar>
        </w:tblPrEx>
        <w:trPr>
          <w:trHeight w:val="57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567B7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D9BC5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行人道闸（含基础开挖、浇筑、安装、调试、接入）</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0B3B5A9">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一、人员摆闸单通道</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1、闸机通道应为摆闸箱体，采用直流无刷伺服电机，霍尔传感器及平行轴减速箱</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2、闸机应采用嵌入式Linux系统，闸机主机应具有大容量存储能力，应最多支持1万人员管理、1万卡片管理和10万事件记录存储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3、闸机通道外壳防护等级应达到 IP54 的要求。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4、设备机身外壳的人员通行检测部分、指示部分应符合 IK07的要求，其他表面应符合 IK08 的要求。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5、闸机无故障运行次数不低于800万次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外壳采用不锈钢，箱体尺寸：长≤1200mm，宽≤170mm，高≥1000mm，门翼应支持选用不锈钢或亚克力材质，8、通道宽度尺寸应支持550mm~950mm配置,闸机通道采用厚度不低于1.0mm的不锈钢板材；设备应采用不少于4对红外对射。</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7、闸机通道物理接口应满足：开门按钮接口2个，消防输入接口1个，报警输出接口2个，TCP/IP接口1个，RS-485通讯接口2个，对于RS-485接口，每个接口最多可接入读卡器4个。</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闸机设备应支持ID卡、M1卡、CPU卡、NFC等读卡器识读设备、二维码扫描仪、面部识别组件、身份证阅读器等设备集成，实现多种认证方式组合应用。应具中心远程开门、遥控器开门、支持手机开门、支持居民身份证开门、支持二维码/条码开门、支持面部识别开门、支持普通卡、来宾卡、胁迫卡、巡更卡、黑名单卡等多种类型用户权限设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9、闸机通道应具备应急放行的功能，支持断电自动开门功能和消防联动开门功能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二、人脸识别读头</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1、液晶触摸显示屏，屏幕比例9：16，屏幕分辨率600*1024；</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2、采用200万宽动态双目摄像头，面部识别距离0.3~2米，支持照片视频防假，支持远程视频预览；</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3、设备采用深度学习算法，支持10000人脸库，人脸比对时间&lt;0.2s/人；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设备支持多种认证方式：刷卡、指纹、人脸、密码、刷卡+密码、刷卡+指纹、刷卡+人脸、刷卡+指纹+密码、刷卡+指纹+人脸、刷卡或指纹、指纹+密码、指纹+人脸、指纹+人脸+密码、指纹或人脸、人脸+密码（含指纹认证方式时，需增加指纹识别模块）；</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5、设备支持单人或多人识别功能，多人识别最多支持5人同时认证；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设备支持多重认证（不同人员的人脸、卡片、指纹）功能、首卡常开功能、超级卡（卡/指纹）/超级密码开门、中心远程开门、多重认证（不同人员的人脸、卡片、指纹）+平台远程认证（N+1）开门功能、多重认证（不同人员的人脸、卡片、指纹）+超级密码开门、在线升级功能、单门反潜回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7、支持通过韦根接口外接门禁主机或韦根读卡器，支持W26和W34格式；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8、支持和云眸、4200客户端、室内机、管理机进行可视对讲功能，支持副门口机和围墙机模式；支持配置一键呼叫室内机或管理机；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三、人脸授权接入</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人员通道管理通过接入门禁设备，利用卡片、人脸，实现人员身份辨别、出入管控等智能应用，主要提供门禁权限管理、事件管理、门禁状态查看、门禁远程控制、人员出入记录实时展示、远程呼叫对讲等应用。</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3F94C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C730F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BFFE04">
            <w:pPr>
              <w:jc w:val="center"/>
              <w:rPr>
                <w:rFonts w:hint="eastAsia" w:ascii="宋体" w:hAnsi="宋体" w:eastAsia="宋体" w:cs="宋体"/>
                <w:i w:val="0"/>
                <w:color w:val="auto"/>
                <w:sz w:val="21"/>
                <w:szCs w:val="21"/>
                <w:highlight w:val="none"/>
                <w:u w:val="none"/>
              </w:rPr>
            </w:pPr>
          </w:p>
        </w:tc>
      </w:tr>
      <w:tr w14:paraId="49F1DAB4">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FDBB7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6DD50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抱杆箱（含安装）</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5492AE7">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 xml:space="preserve">箱体规格尺寸不小于：高500*宽400*深220MM 镀锌喷涂，板材厚度≥1.2MM ，背部或底部进线、可壁挂或抱箍安装，机箱具有防热、防尘、防水、防盗功能，可直接在室外裸露环境下使用。箱顶采用帽檐斜顶方式设计外壳防护等级符合IP65；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自动散热：实时采集箱内温湿度，根据设定的温度阈值控制风扇。当箱内温度达到设定温度时，散热风扇自动开启，达到降温效果；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配装1个32A空开、1个温控风扇、1个4位国标插座、1个电源引入防雷模块，五位接地铜排1只、层板1块，可根据实际情况增加配置满足使用需求。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环境：监控箱工作温度范围-55℃～85℃，防护等级IP65，工作湿度≤90%RH，工作电压范围AC165～AC275V，外壳防护等级≥IP65.设备通过盐雾检测，盐雾环境：浓度：（5±0.1)%,温度：（35±2）℃；喷雾时间：每隔45min喷雾15min,共96h；盐雾沉降量：1.0ml/h.80cm²-2.0ml/h.80cm²，试验后样板表面无黄斑且不生锈；（提供</w:t>
            </w:r>
            <w:r>
              <w:rPr>
                <w:rFonts w:hint="eastAsia" w:ascii="宋体" w:hAnsi="宋体" w:cs="宋体"/>
                <w:i w:val="0"/>
                <w:iCs w:val="0"/>
                <w:color w:val="auto"/>
                <w:kern w:val="0"/>
                <w:sz w:val="21"/>
                <w:szCs w:val="21"/>
                <w:highlight w:val="none"/>
                <w:u w:val="none"/>
                <w:lang w:val="en-US" w:eastAsia="zh-CN" w:bidi="ar"/>
              </w:rPr>
              <w:t>具有合法正规资质的</w:t>
            </w:r>
            <w:r>
              <w:rPr>
                <w:rFonts w:hint="eastAsia" w:ascii="宋体" w:hAnsi="宋体" w:eastAsia="宋体" w:cs="宋体"/>
                <w:i w:val="0"/>
                <w:iCs w:val="0"/>
                <w:color w:val="auto"/>
                <w:kern w:val="0"/>
                <w:sz w:val="21"/>
                <w:szCs w:val="21"/>
                <w:highlight w:val="none"/>
                <w:u w:val="none"/>
                <w:lang w:val="en-US" w:eastAsia="zh-CN" w:bidi="ar"/>
              </w:rPr>
              <w:t>检测机构出具的检测报告，证明资料加盖投标人公章。）</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箱体需配套二维码一体化设计，材质使用3.0MM厚度亚克力板，二维码扫描录入前端点位验收数据，完成前端资产统计，并通过二维码对接现有平台。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箱体颜色及标识需经采购方确认，未经确认产生的损失全部由中标方承担。</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31425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D5D5E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389</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CE41D7">
            <w:pPr>
              <w:jc w:val="center"/>
              <w:rPr>
                <w:rFonts w:hint="eastAsia" w:ascii="宋体" w:hAnsi="宋体" w:eastAsia="宋体" w:cs="宋体"/>
                <w:i w:val="0"/>
                <w:color w:val="auto"/>
                <w:sz w:val="21"/>
                <w:szCs w:val="21"/>
                <w:highlight w:val="none"/>
                <w:u w:val="none"/>
              </w:rPr>
            </w:pPr>
          </w:p>
        </w:tc>
      </w:tr>
      <w:tr w14:paraId="3B145E33">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294E5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E2EA8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1光8电千兆工业级交换机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EA3DE80">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1、千兆电口≥8 个，千兆SFP光口≥1个，光模块传输距离大于20km，根据实际需求选配光模块传输距离；</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★2、支持-40~85℃温度范围满负载工作，工业四级设计，IP40防护等级，低功耗无风扇设计；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★3、为保证设备在受到外界机械碰撞时能够正常运行，要求所投交换机IK防护测试级别至少达到IK05；</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4、拥有2个千兆光口8个10/100/1000Base-TX自适应以太网 RJ45 接口连接网络摄像机。该光纤传输通讯单元设计符合以太网标准，性能稳定可靠。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5、流控方式：全双工采用 IEEE 802.3X，半双工采用 Backpressure 标准。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6、提供状态指示灯，外置电源（输出 12V～50HZ 1A）。</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7、模块化电源设计理念，功能板与电源分开，便于后期维护。</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8、采用光电一体化模块，保证传输可靠，寿命长。</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9、超低功耗小于 2.5W(Input:DC12V)。</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10、符合GB/T 25000.51-2016安全规范要求。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F8FB1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12522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404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DE629A">
            <w:pPr>
              <w:jc w:val="center"/>
              <w:rPr>
                <w:rFonts w:hint="eastAsia" w:ascii="宋体" w:hAnsi="宋体" w:eastAsia="宋体" w:cs="宋体"/>
                <w:i w:val="0"/>
                <w:color w:val="auto"/>
                <w:sz w:val="21"/>
                <w:szCs w:val="21"/>
                <w:highlight w:val="none"/>
                <w:u w:val="none"/>
              </w:rPr>
            </w:pPr>
          </w:p>
        </w:tc>
      </w:tr>
      <w:tr w14:paraId="74F7AEC3">
        <w:tblPrEx>
          <w:shd w:val="clear" w:color="auto" w:fill="auto"/>
          <w:tblCellMar>
            <w:top w:w="0" w:type="dxa"/>
            <w:left w:w="0" w:type="dxa"/>
            <w:bottom w:w="0" w:type="dxa"/>
            <w:right w:w="0" w:type="dxa"/>
          </w:tblCellMar>
        </w:tblPrEx>
        <w:trPr>
          <w:trHeight w:val="354"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F93F7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2E92A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8口poe交换机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DD3D14C">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1、8口千兆纯电口poe交换机；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★2、支持-40~85℃温度范围满负载工作，工业四级设计，IP40防护等级，低功耗无风扇设计；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★3、为保证设备在受到外界机械碰撞时能够正常运行，要求所投交换机IK防护测试级别至少达到IK05；</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4、拥有8个10/100/1000Base-TX自适应以太网 RJ45 接口连接网络摄像机。该光纤传输通讯单元设计符合以太网标准，性能稳定可靠poe供电。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5、流控方式：全双工采用 IEEE 802.3X，半双工采用 Backpressure 标准。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6、提供状态指示灯，外置电源（输出 12V～50HZ 1A）。</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7、采用光电一体化模块，保证传输可靠，寿命长。</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8、超低功耗小于 2.5W(Input:DC12V)。</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9、符合GB/T 25000.51-2016安全规范要求。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E2252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0F4CF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EB07D3">
            <w:pPr>
              <w:jc w:val="center"/>
              <w:rPr>
                <w:rFonts w:hint="eastAsia" w:ascii="宋体" w:hAnsi="宋体" w:eastAsia="宋体" w:cs="宋体"/>
                <w:i w:val="0"/>
                <w:color w:val="auto"/>
                <w:sz w:val="21"/>
                <w:szCs w:val="21"/>
                <w:highlight w:val="none"/>
                <w:u w:val="none"/>
              </w:rPr>
            </w:pPr>
          </w:p>
        </w:tc>
      </w:tr>
      <w:tr w14:paraId="5A10BAD9">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5F3BB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CB13D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U型支架</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6A941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定制，与杆件颜色一致，不低于80cm高，臂厚不低于2mm</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CC0E9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BD695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57</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C6D649">
            <w:pPr>
              <w:jc w:val="center"/>
              <w:rPr>
                <w:rFonts w:hint="eastAsia" w:ascii="宋体" w:hAnsi="宋体" w:eastAsia="宋体" w:cs="宋体"/>
                <w:i w:val="0"/>
                <w:color w:val="auto"/>
                <w:sz w:val="21"/>
                <w:szCs w:val="21"/>
                <w:highlight w:val="none"/>
                <w:u w:val="none"/>
              </w:rPr>
            </w:pPr>
          </w:p>
        </w:tc>
      </w:tr>
      <w:tr w14:paraId="0296E053">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A532D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982A9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L型4.5米杆*1（含运输、吊装）</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E21CE7B">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立杆圆锥直径90-140-3mm厚，横臂直径60-3mm厚，基础法兰300*300-12mm厚，热镀锌后喷塑。固定法兰300*300-3mm厚，预埋件螺栓中心距200*200mm-4支M20圆钢长0.75米。</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E7CD6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3FD6D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D9DF93">
            <w:pPr>
              <w:jc w:val="center"/>
              <w:rPr>
                <w:rFonts w:hint="eastAsia" w:ascii="宋体" w:hAnsi="宋体" w:eastAsia="宋体" w:cs="宋体"/>
                <w:i w:val="0"/>
                <w:color w:val="auto"/>
                <w:sz w:val="21"/>
                <w:szCs w:val="21"/>
                <w:highlight w:val="none"/>
                <w:u w:val="none"/>
              </w:rPr>
            </w:pPr>
          </w:p>
        </w:tc>
      </w:tr>
      <w:tr w14:paraId="6098F57A">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41FC0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96FE4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L型6.5米杆*2（含运输、吊装）</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9EDCF3D">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立杆圆锥直径140-190-4mm厚，横臂圆锥直径90-140-3mm厚，基础法兰直径400-14mm厚，热镀锌后喷塑。固定法兰直径400-4mm厚，预埋件螺栓对角中心距300mm-6支M20圆钢长1.125米。</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67528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ECD0D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6D653D">
            <w:pPr>
              <w:jc w:val="center"/>
              <w:rPr>
                <w:rFonts w:hint="eastAsia" w:ascii="宋体" w:hAnsi="宋体" w:eastAsia="宋体" w:cs="宋体"/>
                <w:i w:val="0"/>
                <w:color w:val="auto"/>
                <w:sz w:val="21"/>
                <w:szCs w:val="21"/>
                <w:highlight w:val="none"/>
                <w:u w:val="none"/>
              </w:rPr>
            </w:pPr>
          </w:p>
        </w:tc>
      </w:tr>
      <w:tr w14:paraId="09952D47">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96DBD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1575B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L型6.5米杆*3（含运输、吊装）</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B15E3FE">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立杆圆锥直径140-190-4mm厚，横臂圆锥直径90-140-3mm厚，基础法兰直径400-14mm厚，热镀锌后喷塑。固定法兰直径400-4mm厚，预埋件螺栓对角中心距300mm-6支M20圆钢长1.125米。</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2B48C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B353A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187</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E2BFED">
            <w:pPr>
              <w:jc w:val="center"/>
              <w:rPr>
                <w:rFonts w:hint="eastAsia" w:ascii="宋体" w:hAnsi="宋体" w:eastAsia="宋体" w:cs="宋体"/>
                <w:i w:val="0"/>
                <w:color w:val="auto"/>
                <w:sz w:val="21"/>
                <w:szCs w:val="21"/>
                <w:highlight w:val="none"/>
                <w:u w:val="none"/>
              </w:rPr>
            </w:pPr>
          </w:p>
        </w:tc>
      </w:tr>
      <w:tr w14:paraId="076C2D62">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38C9A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8507F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L型6.5米杆*4（含运输、吊装）</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465641A">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立杆圆锥直径140-190-4mm厚，横臂圆锥直径90-140-3mm厚，基础法兰直径400-14mm厚，热镀锌后喷塑。固定法兰直径400-4mm厚，预埋件螺栓对角中心距300mm-6支M20圆钢长1.125米。</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D71CD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2F0A0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38</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9718C9">
            <w:pPr>
              <w:jc w:val="center"/>
              <w:rPr>
                <w:rFonts w:hint="eastAsia" w:ascii="宋体" w:hAnsi="宋体" w:eastAsia="宋体" w:cs="宋体"/>
                <w:i w:val="0"/>
                <w:color w:val="auto"/>
                <w:sz w:val="21"/>
                <w:szCs w:val="21"/>
                <w:highlight w:val="none"/>
                <w:u w:val="none"/>
              </w:rPr>
            </w:pPr>
          </w:p>
        </w:tc>
      </w:tr>
      <w:tr w14:paraId="67462764">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46D67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17AA1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L型6.5米杆*5（含运输、吊装）</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7916886">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立杆圆锥直径180-230-5mm厚，横臂圆锥直径90-160-3mm厚，基础法兰直径450-16mm厚，热镀锌后喷塑。固定法兰直径450-4mm厚，预埋件螺栓对角中心距350mm-6支M24圆钢长1.125米。</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BA252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C1CD4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343EDB">
            <w:pPr>
              <w:jc w:val="center"/>
              <w:rPr>
                <w:rFonts w:hint="eastAsia" w:ascii="宋体" w:hAnsi="宋体" w:eastAsia="宋体" w:cs="宋体"/>
                <w:i w:val="0"/>
                <w:color w:val="auto"/>
                <w:sz w:val="21"/>
                <w:szCs w:val="21"/>
                <w:highlight w:val="none"/>
                <w:u w:val="none"/>
              </w:rPr>
            </w:pPr>
          </w:p>
        </w:tc>
      </w:tr>
      <w:tr w14:paraId="6E764460">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8809B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6B305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T型6.5米杆*4（含运输、吊装）</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96546F5">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立杆圆锥直径180-230-5mm厚，横臂圆锥直径90-160-3mm厚，基础法兰直径450-16mm厚，热镀锌后喷塑。固定法兰直径450-4mm厚，预埋件螺栓对角中心距350mm-6支M24圆钢长1.125米。</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CAE90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FA06D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B653DD">
            <w:pPr>
              <w:jc w:val="center"/>
              <w:rPr>
                <w:rFonts w:hint="eastAsia" w:ascii="宋体" w:hAnsi="宋体" w:eastAsia="宋体" w:cs="宋体"/>
                <w:i w:val="0"/>
                <w:color w:val="auto"/>
                <w:sz w:val="21"/>
                <w:szCs w:val="21"/>
                <w:highlight w:val="none"/>
                <w:u w:val="none"/>
              </w:rPr>
            </w:pPr>
          </w:p>
        </w:tc>
      </w:tr>
      <w:tr w14:paraId="1BE0D619">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AF06E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2E031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L型4.5米杆*1基础（含地笼、混泥土、浇筑、基坑开挖）</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C703578">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基础开挖尺寸不低于0.8m*0.8m*1m，商砼C25浇筑。含基础开挖、绿化恢复、人行道砖恢复、道板砖恢复、建筑垃圾清运。满足GAT 652-2017 公安交通管理外场设备基础设施施工通用要求、基础浇筑、混凝土强度等级应符合GB50010-2010中的要求。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4D816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座</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84987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A64F26">
            <w:pPr>
              <w:jc w:val="center"/>
              <w:rPr>
                <w:rFonts w:hint="eastAsia" w:ascii="宋体" w:hAnsi="宋体" w:eastAsia="宋体" w:cs="宋体"/>
                <w:i w:val="0"/>
                <w:color w:val="auto"/>
                <w:sz w:val="21"/>
                <w:szCs w:val="21"/>
                <w:highlight w:val="none"/>
                <w:u w:val="none"/>
              </w:rPr>
            </w:pPr>
          </w:p>
        </w:tc>
      </w:tr>
      <w:tr w14:paraId="40DC3414">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B193C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A1934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L型6.5米杆*2基础（含地笼、混泥土、浇筑、基坑开挖）</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E41ADB9">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基础开挖尺寸不低于1m*1m*1.2m，商砼C25浇筑。含基础开挖、绿化恢复、人行道砖恢复、道板砖恢复、建筑垃圾清运。满足GAT 652-2017 公安交通管理外场设备基础设施施工通用要求、基础浇筑、混凝土强度等级应符合GB50010-2010中的要求。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62FB9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座</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CA7A7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6AE849">
            <w:pPr>
              <w:jc w:val="center"/>
              <w:rPr>
                <w:rFonts w:hint="eastAsia" w:ascii="宋体" w:hAnsi="宋体" w:eastAsia="宋体" w:cs="宋体"/>
                <w:i w:val="0"/>
                <w:color w:val="auto"/>
                <w:sz w:val="21"/>
                <w:szCs w:val="21"/>
                <w:highlight w:val="none"/>
                <w:u w:val="none"/>
              </w:rPr>
            </w:pPr>
          </w:p>
        </w:tc>
      </w:tr>
      <w:tr w14:paraId="48E5BB2E">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51AE4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26</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15433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L型6.5米杆*3基础（含地笼、混泥土、浇筑、基坑开挖）</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925DA5A">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基础开挖尺寸不低于1m*1m*1.2m，商砼C25浇筑。含基础开挖、绿化恢复、人行道砖恢复、道板砖恢复、建筑垃圾清运。满足GAT 652-2017 公安交通管理外场设备基础设施施工通用要求、基础浇筑、混凝土强度等级应符合GB50010-2010中的要求。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9900A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座</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7BD26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187</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2C2FE9">
            <w:pPr>
              <w:jc w:val="center"/>
              <w:rPr>
                <w:rFonts w:hint="eastAsia" w:ascii="宋体" w:hAnsi="宋体" w:eastAsia="宋体" w:cs="宋体"/>
                <w:i w:val="0"/>
                <w:color w:val="auto"/>
                <w:sz w:val="21"/>
                <w:szCs w:val="21"/>
                <w:highlight w:val="none"/>
                <w:u w:val="none"/>
              </w:rPr>
            </w:pPr>
          </w:p>
        </w:tc>
      </w:tr>
      <w:tr w14:paraId="35C8AC83">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B0941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27</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EA721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L型6.5米杆*4（（含地笼、混泥土、浇筑、基坑开挖）</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E6F9E2E">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基础开挖尺寸不低于1.2m*1.2m*1.4m，商砼C25浇筑。含基础开挖、绿化恢复、人行道砖恢复、道板砖恢复、建筑垃圾清运。满足GAT 652-2017 公安交通管理外场设备基础设施施工通用要求、基础浇筑、混凝土强度等级应符合GB50010-2010中的要求。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65237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座</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5327B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38</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8EE1E2">
            <w:pPr>
              <w:jc w:val="center"/>
              <w:rPr>
                <w:rFonts w:hint="eastAsia" w:ascii="宋体" w:hAnsi="宋体" w:eastAsia="宋体" w:cs="宋体"/>
                <w:i w:val="0"/>
                <w:color w:val="auto"/>
                <w:sz w:val="21"/>
                <w:szCs w:val="21"/>
                <w:highlight w:val="none"/>
                <w:u w:val="none"/>
              </w:rPr>
            </w:pPr>
          </w:p>
        </w:tc>
      </w:tr>
      <w:tr w14:paraId="6C867CF2">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2F436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28</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327A3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L型6.5米杆*5基础（含地笼、混泥土、浇筑、基坑开挖）</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A829969">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基础开挖尺寸不低于1.2m*1.2m*1.4m，商砼C25浇筑。含基础开挖、绿化恢复、人行道砖恢复、道板砖恢复、建筑垃圾清运。满足GAT 652-2017 公安交通管理外场设备基础设施施工通用要求、基础浇筑、混凝土强度等级应符合GB50010-2010中的要求。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FE232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座</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34ACE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251307">
            <w:pPr>
              <w:jc w:val="center"/>
              <w:rPr>
                <w:rFonts w:hint="eastAsia" w:ascii="宋体" w:hAnsi="宋体" w:eastAsia="宋体" w:cs="宋体"/>
                <w:i w:val="0"/>
                <w:color w:val="auto"/>
                <w:sz w:val="21"/>
                <w:szCs w:val="21"/>
                <w:highlight w:val="none"/>
                <w:u w:val="none"/>
              </w:rPr>
            </w:pPr>
          </w:p>
        </w:tc>
      </w:tr>
      <w:tr w14:paraId="2F1D7B3B">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4D37E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29</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71927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T型6.5米杆*4基础（含地笼、混泥土、浇筑、基坑开挖）</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5C800AF">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基础开挖尺寸不低于1.2m*1.2m*1.4m，商砼C25浇筑。含基础开挖、绿化恢复、人行道砖恢复、道板砖恢复、建筑垃圾清运。满足GAT 652-2017 公安交通管理外场设备基础设施施工通用要求、基础浇筑、混凝土强度等级应符合GB50010-2010中的要求。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E27B4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座</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320B4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BD9C48">
            <w:pPr>
              <w:jc w:val="center"/>
              <w:rPr>
                <w:rFonts w:hint="eastAsia" w:ascii="宋体" w:hAnsi="宋体" w:eastAsia="宋体" w:cs="宋体"/>
                <w:i w:val="0"/>
                <w:color w:val="auto"/>
                <w:sz w:val="21"/>
                <w:szCs w:val="21"/>
                <w:highlight w:val="none"/>
                <w:u w:val="none"/>
              </w:rPr>
            </w:pPr>
          </w:p>
        </w:tc>
      </w:tr>
      <w:tr w14:paraId="34F02D47">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9E2C6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30</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569D2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安装组件(1-3m自行调节)</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542A236">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直径不小于60mm，做斜撑设计，热镀锌喷塑。长度（0.5m-3米）及安装高度根据现场环境调整，裸露线路均需采取PA尼龙管保护固定，需符合架设杆件所属部门的相关要求。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D3821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5AB39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398</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974535">
            <w:pPr>
              <w:jc w:val="center"/>
              <w:rPr>
                <w:rFonts w:hint="eastAsia" w:ascii="宋体" w:hAnsi="宋体" w:eastAsia="宋体" w:cs="宋体"/>
                <w:i w:val="0"/>
                <w:color w:val="auto"/>
                <w:sz w:val="21"/>
                <w:szCs w:val="21"/>
                <w:highlight w:val="none"/>
                <w:u w:val="none"/>
              </w:rPr>
            </w:pPr>
          </w:p>
        </w:tc>
      </w:tr>
      <w:tr w14:paraId="37AD7DA6">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EFC88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31</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FAD29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接地棒及组件含安装及测量</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462AB04">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按《公安交通管理外场设备基础施工通用要求》实施，杆件应安装保护地线，保护地线可使用规格为40mm×4 mm以上的镀辞扁钢制作，焊接到每个钢制杆件的法兰盘上。焊接处应作防腐处理。保护地线应与接地装置有效连接。设备机箱的专用接地铜排应与接地装置有效连接，接地电阻应小于10Ω。 引入设备机箱的接地线应使用软铜绞线，其截面不得小于10mm2。</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F1D49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处</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3105B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279</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AB97C2">
            <w:pPr>
              <w:jc w:val="center"/>
              <w:rPr>
                <w:rFonts w:hint="eastAsia" w:ascii="宋体" w:hAnsi="宋体" w:eastAsia="宋体" w:cs="宋体"/>
                <w:i w:val="0"/>
                <w:color w:val="auto"/>
                <w:sz w:val="21"/>
                <w:szCs w:val="21"/>
                <w:highlight w:val="none"/>
                <w:u w:val="none"/>
              </w:rPr>
            </w:pPr>
          </w:p>
        </w:tc>
      </w:tr>
      <w:tr w14:paraId="39B8F31D">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9960A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32</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80A59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电源线（2*2.5）</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4443F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不低于国标，纯铜，RVV-2*2.5mm²，用于电表至设备箱之间供电</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FE425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米</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9E923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56785</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E8EE66">
            <w:pPr>
              <w:jc w:val="center"/>
              <w:rPr>
                <w:rFonts w:hint="eastAsia" w:ascii="宋体" w:hAnsi="宋体" w:eastAsia="宋体" w:cs="宋体"/>
                <w:i w:val="0"/>
                <w:color w:val="auto"/>
                <w:sz w:val="21"/>
                <w:szCs w:val="21"/>
                <w:highlight w:val="none"/>
                <w:u w:val="none"/>
              </w:rPr>
            </w:pPr>
          </w:p>
        </w:tc>
      </w:tr>
      <w:tr w14:paraId="1A5BBE35">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71651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33</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96132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电源线（3*1.0）</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609BEC">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不低于国标，纯铜，RVV-3*1.0mm²，用于设备箱至监控设备之间供电</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79415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米</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613A3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14920</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CB4070">
            <w:pPr>
              <w:jc w:val="center"/>
              <w:rPr>
                <w:rFonts w:hint="eastAsia" w:ascii="宋体" w:hAnsi="宋体" w:eastAsia="宋体" w:cs="宋体"/>
                <w:i w:val="0"/>
                <w:color w:val="auto"/>
                <w:sz w:val="21"/>
                <w:szCs w:val="21"/>
                <w:highlight w:val="none"/>
                <w:u w:val="none"/>
              </w:rPr>
            </w:pPr>
          </w:p>
        </w:tc>
      </w:tr>
      <w:tr w14:paraId="3ABD2C7F">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0B528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34</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ED923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6类网线</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580B1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不低于国标，室外STP屏蔽超六类线</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AACAC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米</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F1081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12000</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C2DEAB">
            <w:pPr>
              <w:jc w:val="center"/>
              <w:rPr>
                <w:rFonts w:hint="eastAsia" w:ascii="宋体" w:hAnsi="宋体" w:eastAsia="宋体" w:cs="宋体"/>
                <w:i w:val="0"/>
                <w:color w:val="auto"/>
                <w:sz w:val="21"/>
                <w:szCs w:val="21"/>
                <w:highlight w:val="none"/>
                <w:u w:val="none"/>
              </w:rPr>
            </w:pPr>
          </w:p>
        </w:tc>
      </w:tr>
      <w:tr w14:paraId="72E56E94">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C2CEF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35</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F5DE2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单模光缆-4芯</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9F777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4芯单模，含熔纤、配套辅材等。需抗拉伸、耐磨损、抗冲击、耐压扁、可反复弯曲、扭转、弯折、曲绕（弯曲角度不超90°）枪击等，具备有很好的机械性能和温度特性。</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652F4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米</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E160A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2000</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EC9FDA">
            <w:pPr>
              <w:jc w:val="center"/>
              <w:rPr>
                <w:rFonts w:hint="eastAsia" w:ascii="宋体" w:hAnsi="宋体" w:eastAsia="宋体" w:cs="宋体"/>
                <w:i w:val="0"/>
                <w:color w:val="auto"/>
                <w:sz w:val="21"/>
                <w:szCs w:val="21"/>
                <w:highlight w:val="none"/>
                <w:u w:val="none"/>
              </w:rPr>
            </w:pPr>
          </w:p>
        </w:tc>
      </w:tr>
      <w:tr w14:paraId="192E3537">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9C886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36</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5757B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管道沟通</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E01FB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按《公安交通管理外场设备基础施工通用要求》实施，含绿化开挖恢复、道板砖开挖恢复（含φ50PE管管材），沥青路面切路恢复、水泥路切路恢复（含镀锌钢管φ60）</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FA398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米</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5DDA3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61765</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8D4111">
            <w:pPr>
              <w:jc w:val="center"/>
              <w:rPr>
                <w:rFonts w:hint="eastAsia" w:ascii="宋体" w:hAnsi="宋体" w:eastAsia="宋体" w:cs="宋体"/>
                <w:i w:val="0"/>
                <w:color w:val="auto"/>
                <w:sz w:val="21"/>
                <w:szCs w:val="21"/>
                <w:highlight w:val="none"/>
                <w:u w:val="none"/>
              </w:rPr>
            </w:pPr>
          </w:p>
        </w:tc>
      </w:tr>
      <w:tr w14:paraId="7B2D8E4A">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2FC3F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37</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E6A83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顶管</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CE9F0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按《公安交通管理外场设备基础施工通用要求》实施Φ50PE2孔</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E65A3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米</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B6040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3000</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8E4B5F">
            <w:pPr>
              <w:jc w:val="center"/>
              <w:rPr>
                <w:rFonts w:hint="eastAsia" w:ascii="宋体" w:hAnsi="宋体" w:eastAsia="宋体" w:cs="宋体"/>
                <w:i w:val="0"/>
                <w:color w:val="auto"/>
                <w:sz w:val="21"/>
                <w:szCs w:val="21"/>
                <w:highlight w:val="none"/>
                <w:u w:val="none"/>
              </w:rPr>
            </w:pPr>
          </w:p>
        </w:tc>
      </w:tr>
      <w:tr w14:paraId="061ED735">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818DD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38</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E1AAB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手井</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B30CC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500*500*500，含手井框、盖，印有亭湖公安标识，含手井开挖、砌筑等费用</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ED0CA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座</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61F11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888</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DB5A04">
            <w:pPr>
              <w:jc w:val="center"/>
              <w:rPr>
                <w:rFonts w:hint="eastAsia" w:ascii="宋体" w:hAnsi="宋体" w:eastAsia="宋体" w:cs="宋体"/>
                <w:i w:val="0"/>
                <w:color w:val="auto"/>
                <w:sz w:val="21"/>
                <w:szCs w:val="21"/>
                <w:highlight w:val="none"/>
                <w:u w:val="none"/>
              </w:rPr>
            </w:pPr>
          </w:p>
        </w:tc>
      </w:tr>
      <w:tr w14:paraId="450BF625">
        <w:tblPrEx>
          <w:shd w:val="clear" w:color="auto" w:fill="auto"/>
          <w:tblCellMar>
            <w:top w:w="0" w:type="dxa"/>
            <w:left w:w="0" w:type="dxa"/>
            <w:bottom w:w="0" w:type="dxa"/>
            <w:right w:w="0" w:type="dxa"/>
          </w:tblCellMar>
        </w:tblPrEx>
        <w:trPr>
          <w:trHeight w:val="9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B77C5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39</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E1193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供电开户</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7986636">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本期项目包含监控设备、传输设备（新建点位及运维点位）按照相关要求予以开户，电费使用包含并不限于本项目，</w:t>
            </w:r>
            <w:r>
              <w:rPr>
                <w:rFonts w:hint="eastAsia" w:ascii="宋体" w:hAnsi="宋体" w:eastAsia="宋体" w:cs="宋体"/>
                <w:b/>
                <w:bCs/>
                <w:i/>
                <w:iCs/>
                <w:color w:val="auto"/>
                <w:kern w:val="0"/>
                <w:sz w:val="21"/>
                <w:szCs w:val="21"/>
                <w:highlight w:val="none"/>
                <w:u w:val="single"/>
                <w:lang w:val="en-US" w:eastAsia="zh-CN" w:bidi="ar"/>
              </w:rPr>
              <w:t>各投标人在本项报价时均暂按照60万元予以报价，最终按实凭供电公司发票按年结算</w:t>
            </w:r>
            <w:r>
              <w:rPr>
                <w:rFonts w:hint="eastAsia" w:ascii="宋体" w:hAnsi="宋体" w:eastAsia="宋体" w:cs="宋体"/>
                <w:i/>
                <w:iCs/>
                <w:color w:val="auto"/>
                <w:kern w:val="0"/>
                <w:sz w:val="21"/>
                <w:szCs w:val="21"/>
                <w:highlight w:val="none"/>
                <w:u w:val="single"/>
                <w:lang w:val="en-US" w:eastAsia="zh-CN" w:bidi="ar"/>
              </w:rPr>
              <w:t>，如有剩余部分电费在最后一次付款中扣除，超出60万元的电费按政府相关采购流程依规采购。</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A4C02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04FC6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C17FFB">
            <w:pPr>
              <w:jc w:val="center"/>
              <w:rPr>
                <w:rFonts w:hint="eastAsia" w:ascii="宋体" w:hAnsi="宋体" w:eastAsia="宋体" w:cs="宋体"/>
                <w:i w:val="0"/>
                <w:color w:val="auto"/>
                <w:sz w:val="21"/>
                <w:szCs w:val="21"/>
                <w:highlight w:val="none"/>
                <w:u w:val="none"/>
              </w:rPr>
            </w:pPr>
          </w:p>
        </w:tc>
      </w:tr>
      <w:tr w14:paraId="128331B6">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0B17E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40</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49F0E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光纤租赁</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05A5AC6">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1、要根据现场情况提供带宽较高的网络传输带宽，下限不得低于百兆。同时必须满足视频画面流畅不卡顿，为公安专用专线，可用于招标人后期其他项目及任何需求使用，出现安全问题中标人承担。</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2、所有专线统一汇聚至亭湖公安分局核心机房，免费提供接入侧及核心交换机侧光模块、尾纤、尾缆等辅材，采购人只负责提供机柜、电源。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因链路数量较多，需采用合理且安全的组网方式，采购方核心侧需采用万兆物理链路双路由，光缆需要分两个方向进入核心机房，核心机房交换机只提供两个万兆汇聚光口，且此汇聚光口光模块由本项目提供，所提供的链路接入及传输设备需为全新未使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w:t>
            </w:r>
            <w:r>
              <w:rPr>
                <w:rFonts w:hint="eastAsia" w:ascii="宋体" w:hAnsi="宋体" w:eastAsia="宋体" w:cs="宋体"/>
                <w:b/>
                <w:bCs/>
                <w:i/>
                <w:iCs/>
                <w:color w:val="auto"/>
                <w:kern w:val="0"/>
                <w:sz w:val="21"/>
                <w:szCs w:val="21"/>
                <w:highlight w:val="none"/>
                <w:u w:val="single"/>
                <w:lang w:val="en-US" w:eastAsia="zh-CN" w:bidi="ar"/>
              </w:rPr>
              <w:t>、本项目线路由460条新建链路及737条存量需续费链路组成，其中460条新建链路租赁期为五年，737条存量链路续费三年。</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★5、本项目链路必须全部采用二层或裸纤方式，根据实际情况可做微调（不允许超过5%)，需要采购方同意，</w:t>
            </w:r>
            <w:r>
              <w:rPr>
                <w:rFonts w:hint="eastAsia" w:ascii="宋体" w:hAnsi="宋体" w:eastAsia="宋体" w:cs="宋体"/>
                <w:b/>
                <w:bCs/>
                <w:i w:val="0"/>
                <w:iCs w:val="0"/>
                <w:color w:val="auto"/>
                <w:kern w:val="0"/>
                <w:sz w:val="21"/>
                <w:szCs w:val="21"/>
                <w:highlight w:val="none"/>
                <w:u w:val="none"/>
                <w:lang w:val="en-US" w:eastAsia="zh-CN" w:bidi="ar"/>
              </w:rPr>
              <w:t>投标时提供承诺函并加盖投标人公章（格式自拟）</w:t>
            </w: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6、737条续费链路需保障使用该链路的设备能正常运行，维修过程中损坏的配件，高于500元/个的由甲方提供，低于500元/个的由中标方免费提供。监控损坏的情况下，中标方需提供一个视频枪机免费更换。</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B51C7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处</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38797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1197</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A2A446">
            <w:pPr>
              <w:jc w:val="center"/>
              <w:rPr>
                <w:rFonts w:hint="eastAsia" w:ascii="宋体" w:hAnsi="宋体" w:eastAsia="宋体" w:cs="宋体"/>
                <w:i w:val="0"/>
                <w:color w:val="auto"/>
                <w:sz w:val="21"/>
                <w:szCs w:val="21"/>
                <w:highlight w:val="none"/>
                <w:u w:val="none"/>
              </w:rPr>
            </w:pPr>
          </w:p>
        </w:tc>
      </w:tr>
      <w:tr w14:paraId="413D2B5F">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6FEC4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41</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E9B80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杆件迁移</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63CBE85">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包含原有杆件及设备迁移施工前需测量原有杆件底盘，保证设备正常使用，新增地笼，并拆除原有监控杆基础，要求路面平整、无钢筋裸露、无安全隐患，并移至甲方指定位置含安装、调试、路面恢复、接入。</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4F191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6C6C5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4AFBAC">
            <w:pPr>
              <w:jc w:val="center"/>
              <w:rPr>
                <w:rFonts w:hint="eastAsia" w:ascii="宋体" w:hAnsi="宋体" w:eastAsia="宋体" w:cs="宋体"/>
                <w:i w:val="0"/>
                <w:color w:val="auto"/>
                <w:sz w:val="21"/>
                <w:szCs w:val="21"/>
                <w:highlight w:val="none"/>
                <w:u w:val="none"/>
              </w:rPr>
            </w:pPr>
          </w:p>
        </w:tc>
      </w:tr>
      <w:tr w14:paraId="58A76D28">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A4B6E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42</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4EE7D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铁塔租赁</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6266D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五年期铁塔租赁总费用，费用包含基站电费及全套设备运维服务。</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E1A3C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处</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451BE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30</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FFEE19">
            <w:pPr>
              <w:jc w:val="center"/>
              <w:rPr>
                <w:rFonts w:hint="eastAsia" w:ascii="宋体" w:hAnsi="宋体" w:eastAsia="宋体" w:cs="宋体"/>
                <w:i w:val="0"/>
                <w:color w:val="auto"/>
                <w:sz w:val="21"/>
                <w:szCs w:val="21"/>
                <w:highlight w:val="none"/>
                <w:u w:val="none"/>
              </w:rPr>
            </w:pPr>
          </w:p>
        </w:tc>
      </w:tr>
      <w:tr w14:paraId="4C47072B">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AC89D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43</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2E1C3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人像接入授权</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4D7DA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分局视频软件授权扩容，保障全量路数稳定接入及常态化运维服务保障</w:t>
            </w:r>
          </w:p>
        </w:tc>
        <w:tc>
          <w:tcPr>
            <w:tcW w:w="6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9D105B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DE164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4F8A65">
            <w:pPr>
              <w:jc w:val="center"/>
              <w:rPr>
                <w:rFonts w:hint="eastAsia" w:ascii="宋体" w:hAnsi="宋体" w:eastAsia="宋体" w:cs="宋体"/>
                <w:i w:val="0"/>
                <w:color w:val="auto"/>
                <w:sz w:val="21"/>
                <w:szCs w:val="21"/>
                <w:highlight w:val="none"/>
                <w:u w:val="none"/>
              </w:rPr>
            </w:pPr>
          </w:p>
        </w:tc>
      </w:tr>
      <w:tr w14:paraId="5B6C59FD">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C7C18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44</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05D03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视频存储</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8465555">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视频存储空间硬盘容量不低于1000TB。</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配置1颗64位多核处理器，配置≥16GB内存，并可扩展到64GB；支持不少于3个风扇，可热插拔冗余温控调速风扇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在RAID内丢失2块（含）以上硬盘但至少有1块正常磁盘时，无需等待丢失盘恢复，保留的硬盘中的数据可正常读出，且新数据可正常写入</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可对视音频、图片、智能数据（智能行为分析录像）流进行混合直存，无须存储服务器和图片服务器的参与，平台服务器宕机时，存储业务正常</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设备内置大模型算法引擎，支持对目标图像和自然语言的多模态大模型建模，建立目标图像和自然语言的对应关系，目标包括人、车、非机动车及其附属物品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★支持接入智能相机、结构化相机、抓拍机，对图片中的目标进行多模态大模型建模，目标图片大模型建模性能20张/s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内置图文搜索引擎，支持开放式语义检索，输入文字描述即可查找人、车、非机动车及附属物等目标；搜索文本支持32个以内文字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支持独立的以文搜图应用展示界面，默认支持全通道录像检索，且通道和时间范围可设；支持搜索结果相似度自定义设置展示；支持自定义选择时间范围</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界面支持以图形和文字方式展示高频词，可自由组合选择，如人的上衣颜色、下装颜色、随身物品、性别等；车的颜色、类型、品牌等；其他的包括保安、抽烟、打电话、玩手机等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支持自定义以文搜图的8个高频热词分组，组内可添加高频搜索词汇；支持用户选择高频词后，设备可自动填充描述成句</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★支持将搜索内容添加到历史记录，历史检索词条保持最近10条，通过直接点击该高频热词或历史记录可直接进行重复检索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★支持搜索结果按相似度排序展示，根据搜索结果，可一键关联录像片段及以图搜图，对目标进行二次精准检索定位，还原目标的跨通道行动轨迹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以文搜图检索结果支持以相似度、时间、通道等条件对检出录像/图片进行排序或筛选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支持web或平台通过网络接口来调用设备以文搜图板块，进行以文搜图及页面展示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设备支持以文搜图内容合规性检测，可自动过滤敏感内容，且合规检测算法支持在线升级</w:t>
            </w:r>
          </w:p>
        </w:tc>
        <w:tc>
          <w:tcPr>
            <w:tcW w:w="6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1C00D3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PB</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F5C56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0FFA8F">
            <w:pPr>
              <w:jc w:val="center"/>
              <w:rPr>
                <w:rFonts w:hint="eastAsia" w:ascii="宋体" w:hAnsi="宋体" w:eastAsia="宋体" w:cs="宋体"/>
                <w:i w:val="0"/>
                <w:color w:val="auto"/>
                <w:sz w:val="21"/>
                <w:szCs w:val="21"/>
                <w:highlight w:val="none"/>
                <w:u w:val="none"/>
              </w:rPr>
            </w:pPr>
          </w:p>
        </w:tc>
      </w:tr>
      <w:tr w14:paraId="0ACF7685">
        <w:tblPrEx>
          <w:shd w:val="clear" w:color="auto" w:fill="auto"/>
          <w:tblCellMar>
            <w:top w:w="0" w:type="dxa"/>
            <w:left w:w="0" w:type="dxa"/>
            <w:bottom w:w="0" w:type="dxa"/>
            <w:right w:w="0" w:type="dxa"/>
          </w:tblCellMar>
        </w:tblPrEx>
        <w:trPr>
          <w:trHeight w:val="353"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20E06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45</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3D905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图片存储</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A05C397">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图片存储空间硬盘容量不低于1000TB。</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处理器：≥2颗64位多核</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系统盘：≥240GB SSD</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数据盘：≥2个960GB SSD</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系统内存：≥64GB</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磁盘接口：≥36个硬盘接口，支持硬盘热插拔</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网络接口：≥2个千兆数据网口，2个万兆数据光口，1个千兆管理口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具有36块硬盘热插拔插槽；支持硬盘热插拔设备在读写数据时，热插拔设备内的任意块硬盘，设备正常运行不宕机，硬盘不损坏，数据不丢失，业务不中断。</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存储系统支持全对称架构，无独立的元数据管理节点。集群支持在线无缝扩容，系统性能线性增长。集群（3台及以上）任意节点宕机仅剩1台时，系统通过唯一入口IP可访问管理平台，以及数据存储服务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系统支持按照24/36/48等盘位、不同性能、不同CPU架构的存储节点混合组网，当出现磁盘或节点故障时，系统可根据CPU利用率、节点连接数、节点吞吐量、节点综合负载等策略提供最优重构速度，最高重构速度可达4TB/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★支持存储实时视频、视频片段、图片及伴生的智能结构化数据，支持根据结构化数据的类型检索视频，检索条件包括前端点位ID、时间段、视频目标类型（包含人、机动车、非机动车等）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云存储系统同时支持按照资源池为单位进行点位的生命周期批量管理策略和单独对每个点位通道设置生命周期管理策略，支持两种策略之间互相切换，支持周期策略调整后历史数据也即时生效</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支持图形化页面对图片数据进行处理，包括图片预览、压缩、裁剪、旋转、缩放、格式转换、马赛克、归一化及打文字水印，并支持通过图形化页面下载处理成功的图片数据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采用分布式云架构对多区域、多套云存储系统资源进行统一接入、管理和监控告警运维(监控、远程升级、远程部署)，全局的唯一入口访问模式，统一的用户权限管控、存储资源虚拟化管理、业务管理与调度；支持云系统间视频业务和图片业务的故障容灾，系统间容灾策略包含主备、互备、一主多备模式。视频业务容灾可按前端点位设置容灾策略、回迁策略，支持对故障期间的视频数据按照策略进行自动回迁，包含指定监控点点位，指定回迁时间段，按自动回迁、手动回迁，指定回迁任务的优先级；图片业务支持按资源池设置容灾策略，自动调度到备云进行数据存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系统以流直存模式进行录像、图片数据存储。系统中的实时视频流、抓拍图片无需经过任何转发服务器/虚拟机即可实现数据流直存，视频与图片数据直存后可即存即取</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支持延迟踢盘，防止误拔硬盘导致数据破坏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存储节点具有防偶发死机的措施（如硬件或软件SNMP、或定时自动起启动等），死机后的自愈恢复时间应≤3min</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支持集群管理功能，包括集群单元弹性扩容、负载均衡、故障迁移等；支持集群节点生命周期管理，支持集群节点服务组建、扩展、删除</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云系统支持虚拟化存储空间，可以按需分配，分配的存储空间支持在线扩大和缩小；系统支持资源池空间弹性伸缩，不影响读写业务；系统支持周期在线动态扩大或缩小，存储周期内的业务数据不丢失，业务不受影响；支持在线扩大或缩小存储容量时，同时调整存储周期，业务不受影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云存储软件：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云存储扩容管理空间1000TB，管理节点数2台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★云存储系统同时支持按照资源池为单位进行点位的生命周期批量管理策略和单独对每个点位通道设置生命周期管理策略，支持两种策略之间互相切换，支持周期策略调整后历史数据也即时生效</w:t>
            </w:r>
          </w:p>
        </w:tc>
        <w:tc>
          <w:tcPr>
            <w:tcW w:w="6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A59834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PB</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D652A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1BEAD5">
            <w:pPr>
              <w:jc w:val="center"/>
              <w:rPr>
                <w:rFonts w:hint="eastAsia" w:ascii="宋体" w:hAnsi="宋体" w:eastAsia="宋体" w:cs="宋体"/>
                <w:i w:val="0"/>
                <w:color w:val="auto"/>
                <w:sz w:val="21"/>
                <w:szCs w:val="21"/>
                <w:highlight w:val="none"/>
                <w:u w:val="none"/>
              </w:rPr>
            </w:pPr>
          </w:p>
        </w:tc>
      </w:tr>
      <w:tr w14:paraId="3DA6FC34">
        <w:tblPrEx>
          <w:shd w:val="clear" w:color="auto" w:fill="auto"/>
          <w:tblCellMar>
            <w:top w:w="0" w:type="dxa"/>
            <w:left w:w="0" w:type="dxa"/>
            <w:bottom w:w="0" w:type="dxa"/>
            <w:right w:w="0" w:type="dxa"/>
          </w:tblCellMar>
        </w:tblPrEx>
        <w:trPr>
          <w:trHeight w:val="1774"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5FADA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46</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34182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视频传输输入盒</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2457B57">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1、物理接口：1路HDMI视频输入接口 ；1路音频输入（3.5mm） ，音频输出:1路音频输出（3.5mm）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2、视频输入分辨率:1920*1200@60Hz，1920*1080@50Hz，1920*1080@60Hz，1600*1200@60Hz，1440*900@60Hz，1280*1024@60Hz，1280*720@60Hz，1280*720@50Hz，1024x768@60Hz</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3、编码方式:H.265或H.264</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4、网络接口：≥2个千兆RJ45接口，≥2个千兆SFP光口；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5、支持POE和本地12V双供电模式，支持POE供电与DC12V供电互为备份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6、设备具备子卡扩展槽位,可通过插入子卡扩展节点接口类型或数量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7、输入节点支持本地环出接口，可将本地输入信号环通输出给显示设备，环出画质与原画质一致，提供具有合法正规资质的出具的检测报告扫描件并加盖投标人公章</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8、支持手拉手组网，支持输入节点与输入节点、输出节点与输出节点之间网线直连，实现设备间通信，可减少交换机、网线数量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9、支持控制链路备份，支持输入节点的两个USB接口与电脑相连，互为链路备份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10、支持热维护，为保证系统持续正常运行，实现热替换，热添加和热升级，要求具备带电热插拔和业务恢复功能，即要求在不关机，不切断电源的情况下，可更换或移除其中一个损坏硬件，实现自动恢复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11、支持系统内信号自动扫描检测，软件自动显示系统内所有信号，且支持信号多级分组管理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12、支持批量设置IP地址、批量设备升级（本地升级、在线升级）、批量设备维护（重启、恢复默认）、批量配置参数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13、支持图标形式显示设备列表，显示设备总数，在线数量，离线数量以及在线率；显示输入节点设备总数、在线数量，离线数量以及在线率；显示拼接输出节点备总数，在线数量，离线数量以及在线率；显示坐席输出节点备总数，在线数量，离线数量以及在线率；并能详细显示各个节点的设备名称、IP、版本、CPU使用率、设备温度、在线状态等，支持搜索具体设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14、采用去中心化纯分布式架构，分布式系统内无服务器无单独管理节点，系统中任意一个节点故障，不影响系统继续运行，如出现节点故障，只需更换单节点，使用备用节点更换时，即插即用，无需对备用节点做包括IP地址修改在内的任何操作。可采用服务器架构，可搭配中心管理服务器，整个系统的业务配置信息可保存在服务器中，发生故障后可通过服务器进行快速恢复，提高系统稳定性</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★15、节点要求满足GB/T28181-2022《公共安全视频监控联网系统信息传输、交换、控制技术要求》，提供具有合法正规资质的检测报告并加盖投标人公章</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6AF0C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BEBDA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B8B5BD">
            <w:pPr>
              <w:jc w:val="center"/>
              <w:rPr>
                <w:rFonts w:hint="eastAsia" w:ascii="宋体" w:hAnsi="宋体" w:eastAsia="宋体" w:cs="宋体"/>
                <w:i w:val="0"/>
                <w:color w:val="auto"/>
                <w:sz w:val="21"/>
                <w:szCs w:val="21"/>
                <w:highlight w:val="none"/>
                <w:u w:val="none"/>
              </w:rPr>
            </w:pPr>
          </w:p>
        </w:tc>
      </w:tr>
      <w:tr w14:paraId="18C025F0">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5B6F8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47</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2D73E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视频传输输出盒</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CB5AD53">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1、物理接口：1路HDMI视频输出接口 ；1路音频输入（3.5mm） ，音频输出:1路音频输出（3.5mm）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2、视频输出分辨率:1920*1200@60Hz，1920*1080@60Hz，1600*1200@60Hz，1440*900@60Hz，1280*1024@60Hz，1280*720@60Hz，1024*768@60Hz</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3、解码能力:8*1080P@30Hz；</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4、网络接口：≥2个千兆RJ45接口，≥2个千兆SFP光口；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5、支持POE和本地12V双供电模式，支持POE供电与DC12V供电互为备份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6、设备具备子卡扩展槽位,可通过插入子卡扩展节点接口类型或数量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★7、输出节点可通过软件配置实现拼接节点和坐席节点的属性切换，增强系统容错性，提供具有合法正规资质的出具的检测报告扫描件并加盖投标人公章</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8、支持手拉手组网，支持输入节点与输入节点、输出节点与输出节点之间网线直连，实现设备间通信，可减少交换机、网线数量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9、支持控制链路备份，支持输入节点的两个USB接口与电脑相连，互为链路备份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10、支持热维护，为保证系统持续正常运行，实现热替换，热添加和热升级，要求具备带电热插拔和业务恢复功能，即要求在不关机，不切断电源的情况下，可更换或移除其中一个损坏硬件，实现自动恢复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11、支持系统内信号自动扫描检测，软件自动显示系统内所有信号，且支持信号多级分组管理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12、支持批量设置IP地址、批量设备升级（本地升级、在线升级）、批量设备维护（重启、恢复默认）、批量配置参数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13、支持图标形式显示设备列表，显示设备总数，在线数量，离线数量以及在线率；显示输入节点设备总数、在线数量，离线数量以及在线率；显示拼接输出节点备总数，在线数量，离线数量以及在线率；显示坐席输出节点备总数，在线数量，离线数量以及在线率；并能详细显示各个节点的设备名称、IP、版本、CPU使用率、设备温度、在线状态等，支持搜索具体设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14、采用去中心化纯分布式架构，分布式系统内无服务器无单独管理节点，系统中任意一个节点故障，不影响系统继续运行，如出现节点故障，只需更换单节点，使用备用节点更换时，即插即用，无需对备用节点做包括IP地址修改在内的任何操作。可采用服务器架构，可搭配中心管理服务器，整个系统的业务配置信息可保存在服务器中，发生故障后可通过服务器进行快速恢复，提高系统稳定性</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★15、节点要求满足GB/T28181-2022《公共安全视频监控联网系统信息传输、交换、控制技术要求》，提供具有合法正规资质的检测报告并加盖投标人公章</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110D3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1F2F3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C9EF16">
            <w:pPr>
              <w:jc w:val="center"/>
              <w:rPr>
                <w:rFonts w:hint="eastAsia" w:ascii="宋体" w:hAnsi="宋体" w:eastAsia="宋体" w:cs="宋体"/>
                <w:i w:val="0"/>
                <w:color w:val="auto"/>
                <w:sz w:val="21"/>
                <w:szCs w:val="21"/>
                <w:highlight w:val="none"/>
                <w:u w:val="none"/>
              </w:rPr>
            </w:pPr>
          </w:p>
        </w:tc>
      </w:tr>
      <w:tr w14:paraId="6BF2917E">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7B578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48</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8D89B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24口三层接入交换机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F391986">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1、国产非OEM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2、交换容量≥336Gbps；包转发率≥51Mpps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3、24 个 10/100/1000BASE-T 以太网端口，4 个千兆 SFP</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26783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C67A7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84C74A">
            <w:pPr>
              <w:jc w:val="center"/>
              <w:rPr>
                <w:rFonts w:hint="eastAsia" w:ascii="宋体" w:hAnsi="宋体" w:eastAsia="宋体" w:cs="宋体"/>
                <w:i w:val="0"/>
                <w:color w:val="auto"/>
                <w:sz w:val="21"/>
                <w:szCs w:val="21"/>
                <w:highlight w:val="none"/>
                <w:u w:val="none"/>
              </w:rPr>
            </w:pPr>
          </w:p>
        </w:tc>
      </w:tr>
      <w:tr w14:paraId="67699D40">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48B93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49</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15B8B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单模单芯10G光模块</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43E4A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单模单芯10G光模块，1对两个</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F2AAD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F25C4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22BE57">
            <w:pPr>
              <w:jc w:val="center"/>
              <w:rPr>
                <w:rFonts w:hint="eastAsia" w:ascii="宋体" w:hAnsi="宋体" w:eastAsia="宋体" w:cs="宋体"/>
                <w:i w:val="0"/>
                <w:color w:val="auto"/>
                <w:sz w:val="21"/>
                <w:szCs w:val="21"/>
                <w:highlight w:val="none"/>
                <w:u w:val="none"/>
              </w:rPr>
            </w:pPr>
          </w:p>
        </w:tc>
      </w:tr>
      <w:tr w14:paraId="33BFA6D9">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8C6F3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50</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18022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无线接入盒子</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31CB020">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1、提供4G移动／电信／联通全网通服务；支持支持APN／VPDN专网卡、物联网卡、普通SIM卡；支持2个有线LAN口，10／100Mbps速率；支持异地组网功能，打破区域限制，实现远程管理。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2、支持VPN、PPTP、L2TP</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3、支持防火墙功能，包含MAC／IP／端口过滤、端口映射、端口转发、DM2功能。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4、有线网口，有线LAN口2*LAN网口速率，10/100Mbps，Auto MDI/MDIX</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5、蜂窝参数SIM/USIM 卡，1*Nano-SIM 卡，天线接口 1*标准 SMA-K 天线接口（外螺内孔）</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6、频段 LTE: B1/3/5/8/38/39/40/41，理论速率下行速率 150Mbps，上行速率 50Mbps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7、一键恢复出厂设置，状态指示灯 电源，NET，SIG，WORK，LINKA，供电电压 DC 9-36V</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8、搭建无线VPN局域网</w:t>
            </w:r>
          </w:p>
        </w:tc>
        <w:tc>
          <w:tcPr>
            <w:tcW w:w="6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0463C6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BBF09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6798C0">
            <w:pPr>
              <w:jc w:val="center"/>
              <w:rPr>
                <w:rFonts w:hint="eastAsia" w:ascii="宋体" w:hAnsi="宋体" w:eastAsia="宋体" w:cs="宋体"/>
                <w:i w:val="0"/>
                <w:color w:val="auto"/>
                <w:sz w:val="21"/>
                <w:szCs w:val="21"/>
                <w:highlight w:val="none"/>
                <w:u w:val="none"/>
              </w:rPr>
            </w:pPr>
          </w:p>
        </w:tc>
      </w:tr>
      <w:tr w14:paraId="6EC4F205">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5C753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51</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C3F96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视频无线图传设备套装（含发射器、接收器）</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C3BBACD">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1.接口：支持SDI 输入/输出、HDMI 输入/输出、3.5 毫米立体声插孔、USB-C</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2.工作频率：支持SDR 工作频段、非 DFS 频段（2.4000 GHz 至 2.4835 GHz、5.725 GHz 至 5.850 GHz）、DFS 频段（5.470 GHz 至 5.725 GHz）、Wi-Fi 工作频段</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3.Wi-Fi 协议：支持802.11b/a/g/n/ac/ax、支持 2 × 2 MIMO Wi-Fi</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4.最大通信带宽：不低于SDR：20 MHz、Wi-Fi：20 MHz</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5.最大编码码率：不低于SDR：20 Mbps、Wi-Fi：8 Mbps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6.供电：支持USB-C PD 协议、USB-C DC 直流供电 、NP-F 电池供电</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7.视频输入/输出格式：支持1080p、1080i、720p</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8.图传方案：支持SDR + Wi-Fi</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9.视频编码格式：支持H.264</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10.需兼容分局现有无人机设备</w:t>
            </w:r>
          </w:p>
        </w:tc>
        <w:tc>
          <w:tcPr>
            <w:tcW w:w="6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DCD5C3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BF95A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B9A9C1">
            <w:pPr>
              <w:jc w:val="center"/>
              <w:rPr>
                <w:rFonts w:hint="eastAsia" w:ascii="宋体" w:hAnsi="宋体" w:eastAsia="宋体" w:cs="宋体"/>
                <w:i w:val="0"/>
                <w:color w:val="auto"/>
                <w:sz w:val="21"/>
                <w:szCs w:val="21"/>
                <w:highlight w:val="none"/>
                <w:u w:val="none"/>
              </w:rPr>
            </w:pPr>
          </w:p>
        </w:tc>
      </w:tr>
      <w:tr w14:paraId="034AFFF2">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3BBBE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52</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14BAE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移动太阳能监控站</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F2E842A">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1、气动升降杆，升起时高度为3.5米;共4节，升3节；收缩高度1.5米，伸展高度3.5米，最大外径87mm，最小内径45 ，铝合金；T6处理，抗风等级8级。</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2、多能源供给，支持太阳能补给供电，可实现全天候无间断工作；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3、集成气泵和控制系统为一体设计，用于控制升降杆的升、降和云台旋转；内置高性能气泵，支持泄气阀和气压控制，自动停止功能；支持无线控制和RS485控制升降杆； 标配无线遥控有升降杆的上升和下降和云台的上下左右等快捷操作按键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4、提供RS485控制输出信号，方便近距离和远程设备的控制。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5、支持多种续能方式，太阳能和市电及风能等；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6、4轮带刹车系统，及3组安全支撑脚，防止倾斜翻到。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7、4组防风拉绳固定箱体，防止大风刮倒；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★8、2*80瓦太阳能板，400AH磷酸铁锂电池</w:t>
            </w:r>
          </w:p>
        </w:tc>
        <w:tc>
          <w:tcPr>
            <w:tcW w:w="6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FC46FD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0CAB6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C48C85">
            <w:pPr>
              <w:jc w:val="center"/>
              <w:rPr>
                <w:rFonts w:hint="eastAsia" w:ascii="宋体" w:hAnsi="宋体" w:eastAsia="宋体" w:cs="宋体"/>
                <w:i w:val="0"/>
                <w:color w:val="auto"/>
                <w:sz w:val="21"/>
                <w:szCs w:val="21"/>
                <w:highlight w:val="none"/>
                <w:u w:val="none"/>
              </w:rPr>
            </w:pPr>
          </w:p>
        </w:tc>
      </w:tr>
      <w:tr w14:paraId="13FA268B">
        <w:tblPrEx>
          <w:shd w:val="clear" w:color="auto" w:fill="auto"/>
          <w:tblCellMar>
            <w:top w:w="0" w:type="dxa"/>
            <w:left w:w="0" w:type="dxa"/>
            <w:bottom w:w="0" w:type="dxa"/>
            <w:right w:w="0" w:type="dxa"/>
          </w:tblCellMar>
        </w:tblPrEx>
        <w:trPr>
          <w:trHeight w:val="267"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AC352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53</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F59AE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辅材</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E7958B0">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电工胶布*60卷；网线钳*4把；斜口钳*5把；十字螺丝刀*5把；六类网线*5箱；1米六类成品网线*100根；5米六类成品网线*100根；千兆USB网卡*2个；键鼠*5套；LC-SC双芯单模10米光纤*30根；LC-LC双芯单模10米光纤*30根；LC-LC双芯多模10米光纤*30根；LC-SC双芯单模3米光纤*30根；挎包*3；4G温湿度传感器*10；8口千兆交换机*30；监控小电源50个。移交甲方管理，用作后期日常维护辅材备件使用。</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A85AC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6626A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1FFBE0">
            <w:pPr>
              <w:jc w:val="center"/>
              <w:rPr>
                <w:rFonts w:hint="eastAsia" w:ascii="宋体" w:hAnsi="宋体" w:eastAsia="宋体" w:cs="宋体"/>
                <w:i w:val="0"/>
                <w:color w:val="auto"/>
                <w:sz w:val="21"/>
                <w:szCs w:val="21"/>
                <w:highlight w:val="none"/>
                <w:u w:val="none"/>
              </w:rPr>
            </w:pPr>
          </w:p>
        </w:tc>
      </w:tr>
      <w:tr w14:paraId="51A3127A">
        <w:tblPrEx>
          <w:shd w:val="clear" w:color="auto" w:fill="auto"/>
          <w:tblCellMar>
            <w:top w:w="0" w:type="dxa"/>
            <w:left w:w="0" w:type="dxa"/>
            <w:bottom w:w="0" w:type="dxa"/>
            <w:right w:w="0" w:type="dxa"/>
          </w:tblCellMar>
        </w:tblPrEx>
        <w:trPr>
          <w:trHeight w:val="600" w:hRule="atLeast"/>
        </w:trPr>
        <w:tc>
          <w:tcPr>
            <w:tcW w:w="681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34F5CC">
            <w:pPr>
              <w:keepNext w:val="0"/>
              <w:keepLines w:val="0"/>
              <w:widowControl/>
              <w:suppressLineNumbers w:val="0"/>
              <w:jc w:val="left"/>
              <w:textAlignment w:val="center"/>
              <w:rPr>
                <w:rFonts w:hint="eastAsia" w:ascii="宋体" w:hAnsi="宋体" w:eastAsia="宋体" w:cs="宋体"/>
                <w:b/>
                <w:i/>
                <w:iCs/>
                <w:color w:val="auto"/>
                <w:sz w:val="21"/>
                <w:szCs w:val="21"/>
                <w:highlight w:val="none"/>
                <w:u w:val="single"/>
              </w:rPr>
            </w:pPr>
            <w:r>
              <w:rPr>
                <w:rFonts w:hint="eastAsia" w:ascii="宋体" w:hAnsi="宋体" w:eastAsia="宋体" w:cs="宋体"/>
                <w:b/>
                <w:i w:val="0"/>
                <w:iCs w:val="0"/>
                <w:color w:val="auto"/>
                <w:kern w:val="0"/>
                <w:sz w:val="21"/>
                <w:szCs w:val="21"/>
                <w:highlight w:val="none"/>
                <w:u w:val="none"/>
                <w:lang w:val="en-US" w:eastAsia="zh-CN" w:bidi="ar"/>
              </w:rPr>
              <w:t>二、村居智慧雷达视频一体化防控体系</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518685">
            <w:pPr>
              <w:rPr>
                <w:rFonts w:hint="eastAsia" w:ascii="宋体" w:hAnsi="宋体" w:eastAsia="宋体" w:cs="宋体"/>
                <w:i w:val="0"/>
                <w:color w:val="auto"/>
                <w:sz w:val="21"/>
                <w:szCs w:val="21"/>
                <w:highlight w:val="none"/>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A933F6">
            <w:pPr>
              <w:jc w:val="center"/>
              <w:rPr>
                <w:rFonts w:hint="eastAsia" w:ascii="宋体" w:hAnsi="宋体" w:eastAsia="宋体" w:cs="宋体"/>
                <w:i w:val="0"/>
                <w:color w:val="auto"/>
                <w:sz w:val="21"/>
                <w:szCs w:val="21"/>
                <w:highlight w:val="none"/>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933E37">
            <w:pPr>
              <w:rPr>
                <w:rFonts w:hint="eastAsia" w:ascii="宋体" w:hAnsi="宋体" w:eastAsia="宋体" w:cs="宋体"/>
                <w:i w:val="0"/>
                <w:color w:val="auto"/>
                <w:sz w:val="21"/>
                <w:szCs w:val="21"/>
                <w:highlight w:val="none"/>
                <w:u w:val="none"/>
              </w:rPr>
            </w:pPr>
          </w:p>
        </w:tc>
      </w:tr>
      <w:tr w14:paraId="1FDB5E46">
        <w:tblPrEx>
          <w:shd w:val="clear" w:color="auto" w:fill="auto"/>
          <w:tblCellMar>
            <w:top w:w="0" w:type="dxa"/>
            <w:left w:w="0" w:type="dxa"/>
            <w:bottom w:w="0" w:type="dxa"/>
            <w:right w:w="0" w:type="dxa"/>
          </w:tblCellMar>
        </w:tblPrEx>
        <w:trPr>
          <w:trHeight w:val="42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AA893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5D89539">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固态雷达</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69F4987">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收发机：1）波段：X波段；2）体制：全固态雷达；3）工作载频：9.3GHz-9.5GHz；4）功率收发模块峰值功率：100W；5）脉宽宽度：0.05us-100us可选；6）接收机灵敏度：≤-90dBm；7）信噪比：≥65dB；8）动态范围：≥80dB；9）脉压比：≥1000:1；10）噪声系数：≤5dB；11）最大量程：≥48nm；12）电压：AC 220VAC±10%；13）功率：200W；</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2、天线：1）天线类型：裂缝波导天线；2）天线尺寸：≥2.4m；3）天线转速：24rpm；4）天线增益：≥30dBi；5）波束宽度（-3dB）：水平≤1.0°，垂直≤24°；6）极化方式：水平极化</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3、整体性能：1）无故障工作时长：≥100000h；2）工作温度：-25℃~+55℃；3）贮存温度：-25℃~+70℃；4）防湿热、霉菌、盐雾：支持；5）防护等级：IP66；6）供电：DC48V或AC220V；6）重量：≥45kg</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符合中华人民共和国无线电管理规定和技术标准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探测性能：1）跟踪距离(天线海拔高度30m，天气晴朗，海况1-2级，标准大气K=1.3333，探测概率≥80%，虚警率10-6时)：大型目标（RCS≥50㎡,高10m）≥25km；中型目标（RCS≥10 ㎡，高2m）≥15km；小型目标（RCS≥1 ㎡，高2m）≥10km；2）处理能力：处理目标（批）≥2000；3）全量程、全自动进行目标的探测与跟踪；4）引导能力（在雷达探测范围内）：实时输出雷达目标坐标，供引导光电设备；5)具有雷达光电联动跟踪功能，可在多个光电设备间连续稳定跟踪，联动跟踪视频画面无卡顿，目标在视频画面中的偏移量小于10%;6）精度：方位精度：≤0.1°距离精度：≤10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雷达控制器：12.2英寸双层OLED全面屏，分辨率2800×1840（274ppi），144Hz刷新率，峰值亮度2000nits，支持P3广色域与护眼认证。配置12GB运行内存与512GB机身存储。网络支持WiFi7与蓝牙5.2，内置10100mAh电池，支持100W有线快充。机身厚5.5mm、重508g，提供砚黑、宣白、飞天青配色，前置800万像素摄像头，后置5000万像素主摄+800万像素超广角双摄。</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74FDA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1E55F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87246C">
            <w:pPr>
              <w:rPr>
                <w:rFonts w:hint="eastAsia" w:ascii="宋体" w:hAnsi="宋体" w:eastAsia="宋体" w:cs="宋体"/>
                <w:i w:val="0"/>
                <w:color w:val="auto"/>
                <w:sz w:val="21"/>
                <w:szCs w:val="21"/>
                <w:highlight w:val="none"/>
                <w:u w:val="none"/>
              </w:rPr>
            </w:pPr>
          </w:p>
        </w:tc>
      </w:tr>
      <w:tr w14:paraId="0E552B29">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394E0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3880107">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重载云台</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0BC1CED">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Style w:val="228"/>
                <w:rFonts w:hint="eastAsia" w:ascii="宋体" w:hAnsi="宋体" w:eastAsia="宋体" w:cs="宋体"/>
                <w:i/>
                <w:iCs/>
                <w:color w:val="auto"/>
                <w:sz w:val="21"/>
                <w:szCs w:val="21"/>
                <w:highlight w:val="none"/>
                <w:u w:val="single"/>
                <w:lang w:val="en-US" w:eastAsia="zh-CN" w:bidi="ar"/>
              </w:rPr>
              <w:t>1. 可见光；焦距：10~900mm；尺寸：1/1.8"；分辨率：2688×1520；覆盖距离：≥10km；</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2. 红外：探测器：氧化钒非制冷；分辨率：640×512；覆盖距离：≥8km；</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3、连接器*2，速度25页/分钟，首页输出约7.5秒，分辨率600×600dpi（支持Fast1200等效模式）。配备高性能处理器、32MB内存，标配自动双面打印与有线网络打印（USB2.0+RJ</w:t>
            </w:r>
            <w:r>
              <w:rPr>
                <w:rFonts w:hint="eastAsia" w:ascii="宋体" w:hAnsi="宋体" w:eastAsia="宋体" w:cs="宋体"/>
                <w:i/>
                <w:iCs/>
                <w:color w:val="auto"/>
                <w:kern w:val="0"/>
                <w:sz w:val="21"/>
                <w:szCs w:val="21"/>
                <w:highlight w:val="none"/>
                <w:u w:val="single"/>
                <w:lang w:val="en-US" w:eastAsia="zh-CN" w:bidi="ar"/>
              </w:rPr>
              <w:noBreakHyphen/>
            </w:r>
            <w:r>
              <w:rPr>
                <w:rStyle w:val="228"/>
                <w:rFonts w:hint="eastAsia" w:ascii="宋体" w:hAnsi="宋体" w:eastAsia="宋体" w:cs="宋体"/>
                <w:i/>
                <w:iCs/>
                <w:color w:val="auto"/>
                <w:sz w:val="21"/>
                <w:szCs w:val="21"/>
                <w:highlight w:val="none"/>
                <w:u w:val="single"/>
                <w:lang w:val="en-US" w:eastAsia="zh-CN" w:bidi="ar"/>
              </w:rPr>
              <w:t>45网口）。纸盒容量为250页封闭式纸盒+1页手动进纸，出纸容量150页，支持A4/16K/Legal等多种尺寸与60–220g/㎡厚纸。月最大负荷15000页，采用鼓粉分离设计，TK</w:t>
            </w:r>
            <w:r>
              <w:rPr>
                <w:rFonts w:hint="eastAsia" w:ascii="宋体" w:hAnsi="宋体" w:eastAsia="宋体" w:cs="宋体"/>
                <w:i/>
                <w:iCs/>
                <w:color w:val="auto"/>
                <w:kern w:val="0"/>
                <w:sz w:val="21"/>
                <w:szCs w:val="21"/>
                <w:highlight w:val="none"/>
                <w:u w:val="single"/>
                <w:lang w:val="en-US" w:eastAsia="zh-CN" w:bidi="ar"/>
              </w:rPr>
              <w:noBreakHyphen/>
            </w:r>
            <w:r>
              <w:rPr>
                <w:rStyle w:val="228"/>
                <w:rFonts w:hint="eastAsia" w:ascii="宋体" w:hAnsi="宋体" w:eastAsia="宋体" w:cs="宋体"/>
                <w:i/>
                <w:iCs/>
                <w:color w:val="auto"/>
                <w:sz w:val="21"/>
                <w:szCs w:val="21"/>
                <w:highlight w:val="none"/>
                <w:u w:val="single"/>
                <w:lang w:val="en-US" w:eastAsia="zh-CN" w:bidi="ar"/>
              </w:rPr>
              <w:t>1123墨粉盒标准容量3000页，PSLP长寿命感光鼓可达10万页。机身尺寸358×276×241mm，重6.7kg，支持一键静音模式，待机噪音29dB、打印50dB。</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4、符合35114A级标准；无缝接入到甲方的视频联网平台；含安装调试，含配套电源、支架等配件；</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27346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D7AC1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9B05CE">
            <w:pPr>
              <w:rPr>
                <w:rFonts w:hint="eastAsia" w:ascii="宋体" w:hAnsi="宋体" w:eastAsia="宋体" w:cs="宋体"/>
                <w:i w:val="0"/>
                <w:color w:val="auto"/>
                <w:sz w:val="21"/>
                <w:szCs w:val="21"/>
                <w:highlight w:val="none"/>
                <w:u w:val="none"/>
              </w:rPr>
            </w:pPr>
          </w:p>
        </w:tc>
      </w:tr>
      <w:tr w14:paraId="62358A76">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3F402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BFE92C8">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AIS接收机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9B4BFDA">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1、接收实时AIS数据并提供报文数据；覆盖频率 161.975，162.025 MHz 156.025–162.025 MHz；2、接收范围 ≥10km；3、I/O接口 支持RS232或RS485；4、灵敏度（20%误包率） -110dBm；</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A5F98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D7C81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DBD55F">
            <w:pPr>
              <w:rPr>
                <w:rFonts w:hint="eastAsia" w:ascii="宋体" w:hAnsi="宋体" w:eastAsia="宋体" w:cs="宋体"/>
                <w:i w:val="0"/>
                <w:color w:val="auto"/>
                <w:sz w:val="21"/>
                <w:szCs w:val="21"/>
                <w:highlight w:val="none"/>
                <w:u w:val="none"/>
              </w:rPr>
            </w:pPr>
          </w:p>
        </w:tc>
      </w:tr>
      <w:tr w14:paraId="1DB89C35">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1F562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FA1F125">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处理主机终端</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3C0CD0A">
            <w:pPr>
              <w:keepNext w:val="0"/>
              <w:keepLines w:val="0"/>
              <w:widowControl/>
              <w:suppressLineNumbers w:val="0"/>
              <w:jc w:val="left"/>
              <w:textAlignment w:val="top"/>
              <w:rPr>
                <w:rFonts w:hint="default" w:ascii="宋体" w:hAnsi="宋体" w:eastAsia="宋体" w:cs="宋体"/>
                <w:i/>
                <w:iCs/>
                <w:color w:val="auto"/>
                <w:sz w:val="21"/>
                <w:szCs w:val="21"/>
                <w:highlight w:val="none"/>
                <w:u w:val="single"/>
                <w:lang w:val="en-US"/>
              </w:rPr>
            </w:pPr>
            <w:r>
              <w:rPr>
                <w:rStyle w:val="228"/>
                <w:rFonts w:hint="eastAsia" w:ascii="宋体" w:hAnsi="宋体" w:eastAsia="宋体" w:cs="宋体"/>
                <w:i/>
                <w:iCs/>
                <w:color w:val="auto"/>
                <w:sz w:val="21"/>
                <w:szCs w:val="21"/>
                <w:highlight w:val="none"/>
                <w:u w:val="single"/>
                <w:lang w:val="en-US" w:eastAsia="zh-CN" w:bidi="ar"/>
              </w:rPr>
              <w:t>1、CPU：符合国产化要求；内存：2×8G；SSD：64G；硬盘：2×1TB，RAID1；供电：220VAC或48VDC</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2、用于目标检测和跟踪。单雷达探测目标容量：≥3000批；目标速度：0~100节；跟踪（目标）；速度范围：直线速度≥50kn，匀加/减速≥1m/s2，转向速度≥5度/秒（船速≥20kn）；探测精度：航向精度：2°（速度大于5kn时）；航速精度：0.5kn（速度小于10kn时），5%（速度大于10kn时）；分辨力：距离（最小脉宽时）：≤20m；方位：≤1.2°；</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3、AIS信号与雷达信号融合：将AIS与雷达信号进行融合，输出融合后信号，实时跟踪船舶；数据集成与转发：可接入多个雷达数据，进行转发，通过tcp/udp协议进行数据转发；小目标跟踪：可通过软件处理回波，将小目标船舶进行实时追踪；</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4、实时查看：查看光电设备实时状态，回传实时画面；光电联动功能：实现通过雷达融合信号引导光电设备，自动跟踪锁定船舶，追踪船舶位置；第三方接口融合：可提供接口对接到第三方平台，提供选定船舶、追踪实时画面功能。</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5、A4彩色激光连接器，黑白/彩色同速21页/分钟，最高分辨率1200×1200dpi（等效9600×6000dpi）。配备800MHz处理器、512MB内存，标配自动双面打印；纸张输入为250页纸盒+50页手送，输出150页，最大可扩展至550页。接口含USB2.0、千兆网口、Wi</w:t>
            </w:r>
            <w:r>
              <w:rPr>
                <w:rFonts w:hint="eastAsia" w:ascii="宋体" w:hAnsi="宋体" w:eastAsia="宋体" w:cs="宋体"/>
                <w:i/>
                <w:iCs/>
                <w:color w:val="auto"/>
                <w:kern w:val="0"/>
                <w:sz w:val="21"/>
                <w:szCs w:val="21"/>
                <w:highlight w:val="none"/>
                <w:u w:val="single"/>
                <w:lang w:val="en-US" w:eastAsia="zh-CN" w:bidi="ar"/>
              </w:rPr>
              <w:noBreakHyphen/>
            </w:r>
            <w:r>
              <w:rPr>
                <w:rStyle w:val="228"/>
                <w:rFonts w:hint="eastAsia" w:ascii="宋体" w:hAnsi="宋体" w:eastAsia="宋体" w:cs="宋体"/>
                <w:i/>
                <w:iCs/>
                <w:color w:val="auto"/>
                <w:sz w:val="21"/>
                <w:szCs w:val="21"/>
                <w:highlight w:val="none"/>
                <w:u w:val="single"/>
                <w:lang w:val="en-US" w:eastAsia="zh-CN" w:bidi="ar"/>
              </w:rPr>
              <w:t>Fi（IEEE802.11b/g/n）及USB主机，支持U盘打印与移动打印（AirPrint、Mopria）。</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val="0"/>
                <w:iCs w:val="0"/>
                <w:color w:val="auto"/>
                <w:sz w:val="21"/>
                <w:szCs w:val="21"/>
                <w:highlight w:val="none"/>
                <w:u w:val="none"/>
                <w:lang w:val="en-US" w:eastAsia="zh-CN" w:bidi="ar"/>
              </w:rPr>
              <w:t>★6、投标时提供可与市局海晏平台对接承诺函（格式自拟）并加盖投标人公章</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6CD36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AF6BF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921824">
            <w:pPr>
              <w:rPr>
                <w:rFonts w:hint="eastAsia" w:ascii="宋体" w:hAnsi="宋体" w:eastAsia="宋体" w:cs="宋体"/>
                <w:i w:val="0"/>
                <w:color w:val="auto"/>
                <w:sz w:val="21"/>
                <w:szCs w:val="21"/>
                <w:highlight w:val="none"/>
                <w:u w:val="none"/>
              </w:rPr>
            </w:pPr>
          </w:p>
        </w:tc>
      </w:tr>
      <w:tr w14:paraId="3C61A536">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4C321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2D6DBD7">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瞭望塔改造</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3BCF0AE">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将保护区瞭望塔顶进行改建，便于安装雷达及重载云台。费用包含施工、改建、电网等，内置工作台操作椅*5。</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668EC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CA222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CEA59A">
            <w:pPr>
              <w:rPr>
                <w:rFonts w:hint="eastAsia" w:ascii="宋体" w:hAnsi="宋体" w:eastAsia="宋体" w:cs="宋体"/>
                <w:i w:val="0"/>
                <w:color w:val="auto"/>
                <w:sz w:val="21"/>
                <w:szCs w:val="21"/>
                <w:highlight w:val="none"/>
                <w:u w:val="none"/>
              </w:rPr>
            </w:pPr>
          </w:p>
        </w:tc>
      </w:tr>
      <w:tr w14:paraId="34154286">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56C86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B5F4475">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触发摄像机（含安装、调试、接入）</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6EC3DC9">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1.全景和细节镜头均采用背照式传感器，视频输出支持2560×1440</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2.具有不小于1/1.8"靶面尺寸，内置1个GPU芯片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3.支持声光警戒，当人或车辆进入警戒区域后，设备可发出白光警示和声音警示，并启动智能跟踪功能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4.在IE浏览器下，具有视频输出模式设置。单路模式下，设备双镜头可实现单通道倍率拼接；在双路模式下，设备全景通道和细节通道可单独预览监控画面</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5.在单路和双路模式下，设备水平视场角均应≥90°</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6.支持深度学习区域入侵、人车分类侦测、人脸抓拍等轻智能功能，更好的助力平安城市管理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7.支持双摄双模：默认单路模式输出倍率拼接画面，可选双路模式输出广角画面+特写画面，可支持画中画展示（需展示端支持）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8.支持多级变倍功能，广角24倍光学变倍，16倍数字变倍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9.支持混合补光，可见光补光30 m，同时高效红外阵列照射距离最远可达200 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10.支持切换为人脸抓拍模式，最多可同时抓拍5张人脸</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11.支持超低照度，【广角】彩色0.0005 Lux @（F1.0，AGC ON），0 Lux with light；【变焦】彩色0.005 Lux @（F1.6，AGC ON），黑白0.001 Lux @（F1.6，AGC ON），0 Lux with IR</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12.支持对镜头前盖玻璃加热，去除玻璃上的冰状和水状附着物</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13.支持水平手控速度不小于160°/S，垂直速度不小于120°/S，云台定位精度为±0.1°</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14.支持区域入侵侦测、越界侦测、进入区域侦测和离开区域侦等智能侦测</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37931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60D7A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DFBD10">
            <w:pPr>
              <w:rPr>
                <w:rFonts w:hint="eastAsia" w:ascii="宋体" w:hAnsi="宋体" w:eastAsia="宋体" w:cs="宋体"/>
                <w:i w:val="0"/>
                <w:color w:val="auto"/>
                <w:sz w:val="21"/>
                <w:szCs w:val="21"/>
                <w:highlight w:val="none"/>
                <w:u w:val="none"/>
              </w:rPr>
            </w:pPr>
          </w:p>
        </w:tc>
      </w:tr>
      <w:tr w14:paraId="1E31E166">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1A4D2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6F01374">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夜视抓拍激光云台相机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FB24301">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Style w:val="228"/>
                <w:rFonts w:hint="eastAsia" w:ascii="宋体" w:hAnsi="宋体" w:eastAsia="宋体" w:cs="宋体"/>
                <w:i/>
                <w:iCs/>
                <w:color w:val="auto"/>
                <w:sz w:val="21"/>
                <w:szCs w:val="21"/>
                <w:highlight w:val="none"/>
                <w:u w:val="single"/>
                <w:lang w:val="en-US" w:eastAsia="zh-CN" w:bidi="ar"/>
              </w:rPr>
              <w:t>1、设备具有两个镜头，且靶面尺寸均不小于1/1.8英寸，视频输出支持2560×1440@25fps。样机镜头与补光灯采用独立双舱结构。</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2、全景采用1个 F1.0大光圈全彩镜头，细节采用1/1.8" 长焦镜头，支持12倍光学变倍，镜头最大焦距不小于490mm</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3、设备内置一颗算力为4TOPS的GPU芯片和一颗8GB的eMMC芯片</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4、内置超匀化红外变焦激光器，补光照射距离最远可达2000 m</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5、样机运动结束静止在某个位置，当样机水平和垂直角度方向受到外力作用发生偏移时样机能够检测角度改变并产生报警信息，并可在 OSD 上叠加报警信息，水平和垂直角度方向均可以自动恢复到偏移前的位置</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6、支持区域入侵侦测、越界侦测、进入区域侦测和离开区域侦测等智能侦测</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7、支持机动车、非机动车、人员等目标抓拍，并支持多种结构化属性信息同时提取</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8、内置高精度磁编码器，PT运动平稳且精度高</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9、水平方向360°连续旋转，垂直方向-90°～90°旋转</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10、支持35114 A级安全加密</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11、支持AR功能，摄像机的实时视频画面中添加最多500个AR标签，且可实现标签与标签联动的功能</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12、AI-ISP降噪：采用去噪卷积神经网络将深度结构、学习算法用于图像去噪，最终使画面成像更新清晰，噪点更小图像更干净</w:t>
            </w:r>
            <w:r>
              <w:rPr>
                <w:rStyle w:val="228"/>
                <w:rFonts w:hint="eastAsia" w:ascii="宋体" w:hAnsi="宋体" w:eastAsia="宋体" w:cs="宋体"/>
                <w:i/>
                <w:iCs/>
                <w:color w:val="auto"/>
                <w:sz w:val="21"/>
                <w:szCs w:val="21"/>
                <w:highlight w:val="none"/>
                <w:u w:val="single"/>
                <w:lang w:val="en-US" w:eastAsia="zh-CN" w:bidi="ar"/>
              </w:rPr>
              <w:br w:type="textWrapping"/>
            </w:r>
            <w:r>
              <w:rPr>
                <w:rFonts w:hint="eastAsia" w:ascii="宋体" w:hAnsi="宋体" w:eastAsia="宋体" w:cs="宋体"/>
                <w:b/>
                <w:i w:val="0"/>
                <w:iCs w:val="0"/>
                <w:color w:val="auto"/>
                <w:kern w:val="0"/>
                <w:sz w:val="21"/>
                <w:szCs w:val="21"/>
                <w:highlight w:val="none"/>
                <w:u w:val="none"/>
                <w:lang w:val="en-US" w:eastAsia="zh-CN" w:bidi="ar"/>
              </w:rPr>
              <w:t>★</w:t>
            </w:r>
            <w:r>
              <w:rPr>
                <w:rStyle w:val="228"/>
                <w:rFonts w:hint="eastAsia" w:ascii="宋体" w:hAnsi="宋体" w:eastAsia="宋体" w:cs="宋体"/>
                <w:i w:val="0"/>
                <w:iCs w:val="0"/>
                <w:color w:val="auto"/>
                <w:sz w:val="21"/>
                <w:szCs w:val="21"/>
                <w:highlight w:val="none"/>
                <w:u w:val="none"/>
                <w:lang w:val="en-US" w:eastAsia="zh-CN" w:bidi="ar"/>
              </w:rPr>
              <w:t>13、可视设备*1：钛合金转轴+弹性镜腿+可拆卸空气鼻托，支持±15D近视/散光/老花定制镜片。搭载双芯片，2GBRAM+32GBROM，30°视场角，分辨率480×640，峰值亮度1500尼特，强光下可视。内置索尼1200万像素摄像头（F2.25光圈），支持3K录像与第一视角拍摄；配备4麦克风阵列+2颗定向扬声器，支持89种语言实时互译（延迟&lt;0.5秒）。无线连接WiFi6+蓝牙5.3，内置电池续航约8–12小时，待机24小时，支持快充。集成通义千问、ChatGPT等AI大模型，具备导航、提词、会议纪要、AI问答、看一眼支付等功能。带充电眼镜盒和胶囊。</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8D9EE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0BE2F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9C9079">
            <w:pPr>
              <w:rPr>
                <w:rFonts w:hint="eastAsia" w:ascii="宋体" w:hAnsi="宋体" w:eastAsia="宋体" w:cs="宋体"/>
                <w:i w:val="0"/>
                <w:color w:val="auto"/>
                <w:sz w:val="21"/>
                <w:szCs w:val="21"/>
                <w:highlight w:val="none"/>
                <w:u w:val="none"/>
              </w:rPr>
            </w:pPr>
          </w:p>
        </w:tc>
      </w:tr>
      <w:tr w14:paraId="158B3E4F">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FD200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396D5A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抱杆箱（含安装）</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DD22D50">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Style w:val="228"/>
                <w:rFonts w:hint="eastAsia" w:ascii="宋体" w:hAnsi="宋体" w:eastAsia="宋体" w:cs="宋体"/>
                <w:i/>
                <w:iCs/>
                <w:color w:val="auto"/>
                <w:sz w:val="21"/>
                <w:szCs w:val="21"/>
                <w:highlight w:val="none"/>
                <w:u w:val="single"/>
                <w:lang w:val="en-US" w:eastAsia="zh-CN" w:bidi="ar"/>
              </w:rPr>
              <w:t>箱体规格尺寸不小于：高500*宽400*深300MM 镀锌喷涂，板材厚度≥1.2MM ，背部或底部进线、可壁挂或抱箍安装，机箱具有防热、防尘、防水、防盗功能，可直接在室外裸露环境下使用。箱顶采用帽檐斜顶方式设计外壳防护等级符合IP65；自动散热：实时采集箱内温湿度，根据设定的温度阈值控制风扇。当箱内温度达到设定温度时，散热风扇自动开启，达到降温效果；</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配装1个32A空开、1个温控风扇、1个4位国标插座、1个电源引入防雷模块，五位接地铜排1只、层板1块，可根据实际情况增加配置满足使用需求。</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val="0"/>
                <w:iCs w:val="0"/>
                <w:color w:val="auto"/>
                <w:sz w:val="21"/>
                <w:szCs w:val="21"/>
                <w:highlight w:val="none"/>
                <w:u w:val="none"/>
                <w:lang w:val="en-US" w:eastAsia="zh-CN" w:bidi="ar"/>
              </w:rPr>
              <w:t>★工作环境：监控箱工作温度范围-55℃～85℃，防护等级IP65，工作湿度≤90%RH，工作电压范围AC165～AC275V，外壳防护等级≥IP65.设备通过盐雾检测，盐雾环境：浓度：（5±0.1)%,温度：（35±2）℃；喷雾时间：每隔45min喷雾15min,共96h；盐雾沉降量：1.0ml/h.80cm</w:t>
            </w:r>
            <w:r>
              <w:rPr>
                <w:rFonts w:hint="eastAsia" w:ascii="宋体" w:hAnsi="宋体" w:eastAsia="宋体" w:cs="宋体"/>
                <w:i w:val="0"/>
                <w:iCs w:val="0"/>
                <w:color w:val="auto"/>
                <w:kern w:val="0"/>
                <w:sz w:val="21"/>
                <w:szCs w:val="21"/>
                <w:highlight w:val="none"/>
                <w:u w:val="none"/>
                <w:lang w:val="en-US" w:eastAsia="zh-CN" w:bidi="ar"/>
              </w:rPr>
              <w:t>²</w:t>
            </w:r>
            <w:r>
              <w:rPr>
                <w:rStyle w:val="228"/>
                <w:rFonts w:hint="eastAsia" w:ascii="宋体" w:hAnsi="宋体" w:eastAsia="宋体" w:cs="宋体"/>
                <w:i w:val="0"/>
                <w:iCs w:val="0"/>
                <w:color w:val="auto"/>
                <w:sz w:val="21"/>
                <w:szCs w:val="21"/>
                <w:highlight w:val="none"/>
                <w:u w:val="none"/>
                <w:lang w:val="en-US" w:eastAsia="zh-CN" w:bidi="ar"/>
              </w:rPr>
              <w:t>-2.0ml/h.80cm</w:t>
            </w:r>
            <w:r>
              <w:rPr>
                <w:rFonts w:hint="eastAsia" w:ascii="宋体" w:hAnsi="宋体" w:eastAsia="宋体" w:cs="宋体"/>
                <w:i w:val="0"/>
                <w:iCs w:val="0"/>
                <w:color w:val="auto"/>
                <w:kern w:val="0"/>
                <w:sz w:val="21"/>
                <w:szCs w:val="21"/>
                <w:highlight w:val="none"/>
                <w:u w:val="none"/>
                <w:lang w:val="en-US" w:eastAsia="zh-CN" w:bidi="ar"/>
              </w:rPr>
              <w:t>²</w:t>
            </w:r>
            <w:r>
              <w:rPr>
                <w:rStyle w:val="228"/>
                <w:rFonts w:hint="eastAsia" w:ascii="宋体" w:hAnsi="宋体" w:eastAsia="宋体" w:cs="宋体"/>
                <w:i w:val="0"/>
                <w:iCs w:val="0"/>
                <w:color w:val="auto"/>
                <w:sz w:val="21"/>
                <w:szCs w:val="21"/>
                <w:highlight w:val="none"/>
                <w:u w:val="none"/>
                <w:lang w:val="en-US" w:eastAsia="zh-CN" w:bidi="ar"/>
              </w:rPr>
              <w:t>，试验后样板表面无黄斑且不生锈；</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箱体需配套二维码一体化设计，材质使用3.0MM厚度亚克力板，二维码扫描录入前端点位验收数据，完成前端资产统计，并通过二维码对接现有平台。</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箱体颜色及标识需经采购方确认，未经确认产生的损失全部由中标方承担</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F7B35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个</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9BE9C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3F88B2">
            <w:pPr>
              <w:rPr>
                <w:rFonts w:hint="eastAsia" w:ascii="宋体" w:hAnsi="宋体" w:eastAsia="宋体" w:cs="宋体"/>
                <w:i w:val="0"/>
                <w:color w:val="auto"/>
                <w:sz w:val="21"/>
                <w:szCs w:val="21"/>
                <w:highlight w:val="none"/>
                <w:u w:val="none"/>
              </w:rPr>
            </w:pPr>
          </w:p>
        </w:tc>
      </w:tr>
      <w:tr w14:paraId="1C771514">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C5233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BEBDFEB">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1光8电千兆工业级交换机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C8192EB">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1、千兆电口≥8 个，千兆SFP光口≥1个，光模块传输距离大于20km，根据实际需求选配光模块传输距离；</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★2、支持-40~85℃温度范围满负载工作，工业四级设计，IP40防护等级，低功耗无风扇设计；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3、为保证设备在受到外界机械碰撞时能够正常运行，要求所投交换机IK防护测试级别至少达到IK05；</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4、拥有2个千兆光口8个10/100/1000Base-TX自适应以太网 RJ45 接口连接网络摄像机。该光纤传输通讯单元设计符合以太网标准，性能稳定可靠。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5、流控方式：全双工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6、提供状态指示灯，外置电源（输出 12V～50HZ 1A）。</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7、模块化电源设计理念，功能板与电源分开，便于后期维护。</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8、采用光电一体化模块，保证传输可靠，寿命长。</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9、超低功耗小于 2.5W(Input:DC12V)。</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10、符合GB/T 25000.51-2016安全规范要求。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118BF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CA7FD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286A3E">
            <w:pPr>
              <w:rPr>
                <w:rFonts w:hint="eastAsia" w:ascii="宋体" w:hAnsi="宋体" w:eastAsia="宋体" w:cs="宋体"/>
                <w:i w:val="0"/>
                <w:color w:val="auto"/>
                <w:sz w:val="21"/>
                <w:szCs w:val="21"/>
                <w:highlight w:val="none"/>
                <w:u w:val="none"/>
              </w:rPr>
            </w:pPr>
          </w:p>
        </w:tc>
      </w:tr>
      <w:tr w14:paraId="14B408B9">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25DB3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8E7528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AIS接收机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65F7160">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1．覆盖频率 161.975，162.025 MHz（default）；2．156.025–162.025 MHz；3．接收范围 ≥10km；4．I/O接口 支持RS232或RS485；5．灵敏度（20%误包率） -110dBm；6．互调抑制 ≥65dB；7．杂散响应抑制比 ≥74dB （AIS） ≥70dB （DSC）；8．相邻信道选择度 ≥70dB；9．传导杂散发射 ≤–57dBm；</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B00C6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D9DC8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C8A1E1">
            <w:pPr>
              <w:rPr>
                <w:rFonts w:hint="eastAsia" w:ascii="宋体" w:hAnsi="宋体" w:eastAsia="宋体" w:cs="宋体"/>
                <w:i w:val="0"/>
                <w:color w:val="auto"/>
                <w:sz w:val="21"/>
                <w:szCs w:val="21"/>
                <w:highlight w:val="none"/>
                <w:u w:val="none"/>
              </w:rPr>
            </w:pPr>
          </w:p>
        </w:tc>
      </w:tr>
      <w:tr w14:paraId="29E562F9">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2545E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4FBA93B">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船舶智能识别电子卡口算法终端</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97B6E8C">
            <w:pPr>
              <w:keepNext w:val="0"/>
              <w:keepLines w:val="0"/>
              <w:widowControl/>
              <w:suppressLineNumbers w:val="0"/>
              <w:jc w:val="left"/>
              <w:textAlignment w:val="top"/>
              <w:rPr>
                <w:rStyle w:val="228"/>
                <w:rFonts w:hint="eastAsia" w:ascii="宋体" w:hAnsi="宋体" w:eastAsia="宋体" w:cs="宋体"/>
                <w:i/>
                <w:iCs/>
                <w:color w:val="auto"/>
                <w:sz w:val="21"/>
                <w:szCs w:val="21"/>
                <w:highlight w:val="none"/>
                <w:u w:val="single"/>
                <w:lang w:val="en-US" w:eastAsia="zh-CN" w:bidi="ar"/>
              </w:rPr>
            </w:pPr>
            <w:r>
              <w:rPr>
                <w:rStyle w:val="228"/>
                <w:rFonts w:hint="eastAsia" w:ascii="宋体" w:hAnsi="宋体" w:eastAsia="宋体" w:cs="宋体"/>
                <w:i/>
                <w:iCs/>
                <w:color w:val="auto"/>
                <w:sz w:val="21"/>
                <w:szCs w:val="21"/>
                <w:highlight w:val="none"/>
                <w:u w:val="single"/>
                <w:lang w:val="en-US" w:eastAsia="zh-CN" w:bidi="ar"/>
              </w:rPr>
              <w:t>边缘计算主机，内存32GB、cpu8核 8线程 存储1TB及以上</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功能要求：1）船舶检测感知；2）船舶图像抓拍；技术要求：支持使用图像识别算法，将多张同一条船舶的抓拍细节图片构建成完整船舶图片。3）船舶身份识别；4）船舶速度识别；5）船舶类型识别；6）船舶特征识别；7）船舶尺寸估算；8）重点行为研判；9）视频叠加融合；10）船舶轨迹跟踪；11）船舶分级监管；12）重点船舶布控；13）小型船舶识别；14）“三无船”识别；</w:t>
            </w:r>
          </w:p>
          <w:p w14:paraId="34398C30">
            <w:pPr>
              <w:keepNext w:val="0"/>
              <w:keepLines w:val="0"/>
              <w:widowControl/>
              <w:numPr>
                <w:ilvl w:val="0"/>
                <w:numId w:val="3"/>
              </w:numPr>
              <w:suppressLineNumbers w:val="0"/>
              <w:jc w:val="left"/>
              <w:textAlignment w:val="top"/>
              <w:rPr>
                <w:rFonts w:hint="eastAsia" w:ascii="宋体" w:hAnsi="宋体" w:eastAsia="宋体" w:cs="宋体"/>
                <w:i/>
                <w:iCs/>
                <w:color w:val="auto"/>
                <w:sz w:val="21"/>
                <w:szCs w:val="21"/>
                <w:highlight w:val="none"/>
                <w:u w:val="single"/>
              </w:rPr>
            </w:pPr>
            <w:r>
              <w:rPr>
                <w:rStyle w:val="228"/>
                <w:rFonts w:hint="eastAsia" w:ascii="宋体" w:hAnsi="宋体" w:eastAsia="宋体" w:cs="宋体"/>
                <w:i w:val="0"/>
                <w:iCs w:val="0"/>
                <w:color w:val="auto"/>
                <w:sz w:val="21"/>
                <w:szCs w:val="21"/>
                <w:highlight w:val="none"/>
                <w:u w:val="none"/>
                <w:lang w:val="en-US" w:eastAsia="zh-CN" w:bidi="ar"/>
              </w:rPr>
              <w:t>★视频追踪及多相机抓拍功能；技术要求：卡口抓拍过程中，视频画面可动态实时追踪船舶，始终保持船舶在画面中；船舶并行或流量多的场景，系统支持同时调度多个相机进行抓拍。（投标时提供具有合法正规资质的第三方检测机构出具的产品检测报告扫描件)</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16）连接设备*1双CIS感光元件，光学分辨率600dpi，搭载5英寸电容式触控屏；A4双面速度达45ppm/90ipm，内置100页大容量ADF（80g/㎡），支持40–209g/㎡厚纸、名片及最长3000mm长纸扫描；接口配备USB3.2Gen1（Type</w:t>
            </w:r>
            <w:r>
              <w:rPr>
                <w:rFonts w:hint="eastAsia" w:ascii="宋体" w:hAnsi="宋体" w:eastAsia="宋体" w:cs="宋体"/>
                <w:i/>
                <w:iCs/>
                <w:color w:val="auto"/>
                <w:kern w:val="0"/>
                <w:sz w:val="21"/>
                <w:szCs w:val="21"/>
                <w:highlight w:val="none"/>
                <w:u w:val="single"/>
                <w:lang w:val="en-US" w:eastAsia="zh-CN" w:bidi="ar"/>
              </w:rPr>
              <w:noBreakHyphen/>
            </w:r>
            <w:r>
              <w:rPr>
                <w:rStyle w:val="228"/>
                <w:rFonts w:hint="eastAsia" w:ascii="宋体" w:hAnsi="宋体" w:eastAsia="宋体" w:cs="宋体"/>
                <w:i/>
                <w:iCs/>
                <w:color w:val="auto"/>
                <w:sz w:val="21"/>
                <w:szCs w:val="21"/>
                <w:highlight w:val="none"/>
                <w:u w:val="single"/>
                <w:lang w:val="en-US" w:eastAsia="zh-CN" w:bidi="ar"/>
              </w:rPr>
              <w:t>C）、Wi</w:t>
            </w:r>
            <w:r>
              <w:rPr>
                <w:rFonts w:hint="eastAsia" w:ascii="宋体" w:hAnsi="宋体" w:eastAsia="宋体" w:cs="宋体"/>
                <w:i/>
                <w:iCs/>
                <w:color w:val="auto"/>
                <w:kern w:val="0"/>
                <w:sz w:val="21"/>
                <w:szCs w:val="21"/>
                <w:highlight w:val="none"/>
                <w:u w:val="single"/>
                <w:lang w:val="en-US" w:eastAsia="zh-CN" w:bidi="ar"/>
              </w:rPr>
              <w:noBreakHyphen/>
            </w:r>
            <w:r>
              <w:rPr>
                <w:rStyle w:val="228"/>
                <w:rFonts w:hint="eastAsia" w:ascii="宋体" w:hAnsi="宋体" w:eastAsia="宋体" w:cs="宋体"/>
                <w:i/>
                <w:iCs/>
                <w:color w:val="auto"/>
                <w:sz w:val="21"/>
                <w:szCs w:val="21"/>
                <w:highlight w:val="none"/>
                <w:u w:val="single"/>
                <w:lang w:val="en-US" w:eastAsia="zh-CN" w:bidi="ar"/>
              </w:rPr>
              <w:t>Fi6（802.11ax）与蓝牙，支持无线直连、云端扫描及移动设备打印，RGB三色LED光源</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算法性能要求：</w:t>
            </w:r>
          </w:p>
          <w:p w14:paraId="7F7CD8A4">
            <w:pPr>
              <w:keepNext w:val="0"/>
              <w:keepLines w:val="0"/>
              <w:widowControl/>
              <w:numPr>
                <w:ilvl w:val="0"/>
                <w:numId w:val="0"/>
              </w:numPr>
              <w:suppressLineNumbers w:val="0"/>
              <w:jc w:val="left"/>
              <w:textAlignment w:val="top"/>
              <w:rPr>
                <w:rFonts w:hint="eastAsia" w:ascii="宋体" w:hAnsi="宋体" w:eastAsia="宋体" w:cs="宋体"/>
                <w:i/>
                <w:iCs/>
                <w:color w:val="auto"/>
                <w:sz w:val="21"/>
                <w:szCs w:val="21"/>
                <w:highlight w:val="none"/>
                <w:u w:val="single"/>
              </w:rPr>
            </w:pPr>
            <w:r>
              <w:rPr>
                <w:rStyle w:val="228"/>
                <w:rFonts w:hint="eastAsia" w:ascii="宋体" w:hAnsi="宋体" w:eastAsia="宋体" w:cs="宋体"/>
                <w:i/>
                <w:iCs/>
                <w:color w:val="auto"/>
                <w:sz w:val="21"/>
                <w:szCs w:val="21"/>
                <w:highlight w:val="none"/>
                <w:u w:val="single"/>
                <w:lang w:val="en-US" w:eastAsia="zh-CN" w:bidi="ar"/>
              </w:rPr>
              <w:t>1）船舶流量准确率（单个卡口）≥98%；</w:t>
            </w:r>
            <w:r>
              <w:rPr>
                <w:rStyle w:val="228"/>
                <w:rFonts w:hint="eastAsia" w:ascii="宋体" w:hAnsi="宋体" w:eastAsia="宋体" w:cs="宋体"/>
                <w:i w:val="0"/>
                <w:iCs w:val="0"/>
                <w:color w:val="auto"/>
                <w:sz w:val="21"/>
                <w:szCs w:val="21"/>
                <w:highlight w:val="none"/>
                <w:u w:val="none"/>
                <w:lang w:val="en-US" w:eastAsia="zh-CN" w:bidi="ar"/>
              </w:rPr>
              <w:t>2）★船舶抓拍率（白天）≥95%实现对过往船舶95%的抓拍率（指标描述及计算方式：实现对过往船舶95%的抓拍率）；船舶抓拍率（夜间）≥95%（指标描述及计算方式：夜间在可见光不足情况，满足算法检测要求时，实现对过往船舶95%的抓拍率）。（提供具有合法正规资质的第三方检测机构出具的产品检测报告扫描件)</w:t>
            </w:r>
            <w:r>
              <w:rPr>
                <w:rStyle w:val="228"/>
                <w:rFonts w:hint="eastAsia" w:ascii="宋体" w:hAnsi="宋体" w:eastAsia="宋体" w:cs="宋体"/>
                <w:i/>
                <w:iCs/>
                <w:color w:val="auto"/>
                <w:sz w:val="21"/>
                <w:szCs w:val="21"/>
                <w:highlight w:val="none"/>
                <w:u w:val="single"/>
                <w:lang w:val="en-US" w:eastAsia="zh-CN" w:bidi="ar"/>
              </w:rPr>
              <w:t>；3）身份识别准确率（白天）≥97%；</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身份识别准确率（夜晚）≥93%；4）船舶速度识别：误差不超过10%；5）船舶类型识别≥85%；</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8EDB6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6392E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B3E832">
            <w:pPr>
              <w:rPr>
                <w:rFonts w:hint="eastAsia" w:ascii="宋体" w:hAnsi="宋体" w:eastAsia="宋体" w:cs="宋体"/>
                <w:i w:val="0"/>
                <w:color w:val="auto"/>
                <w:sz w:val="21"/>
                <w:szCs w:val="21"/>
                <w:highlight w:val="none"/>
                <w:u w:val="none"/>
              </w:rPr>
            </w:pPr>
          </w:p>
        </w:tc>
      </w:tr>
      <w:tr w14:paraId="7045DB4A">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E5D0D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085E58C">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L型6.5米杆*3（含运输、吊装）</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A10AE2D">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立杆圆锥直径140-190-4mm厚，横臂圆锥直径90-140-3mm厚，基础法兰直径400-14mm厚，热镀锌后喷塑。固定法兰直径400-4mm厚，预埋件螺栓对角中心距300mm-6支M20圆钢长1.125米。</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32ABE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07683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ACAC33">
            <w:pPr>
              <w:rPr>
                <w:rFonts w:hint="eastAsia" w:ascii="宋体" w:hAnsi="宋体" w:eastAsia="宋体" w:cs="宋体"/>
                <w:i w:val="0"/>
                <w:color w:val="auto"/>
                <w:sz w:val="21"/>
                <w:szCs w:val="21"/>
                <w:highlight w:val="none"/>
                <w:u w:val="none"/>
              </w:rPr>
            </w:pPr>
          </w:p>
        </w:tc>
      </w:tr>
      <w:tr w14:paraId="102BAD31">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8DEDD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1A208CE">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L型6.5米杆*3基础（含地笼、混泥土、浇筑、基坑开挖）</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FC6EB8E">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基础开挖尺寸不低于1m*1m*1.2m，商砼C25浇筑。含基础开挖、绿化恢复、人行道砖恢复、道板砖恢复、建筑垃圾清运。满足GAT 652-2017 公安交通管理外场设备基础设施施工通用要求、基础浇筑、混凝土强度等级应符合GB50010-2010中的要求。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910FC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座</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348CD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638D88">
            <w:pPr>
              <w:rPr>
                <w:rFonts w:hint="eastAsia" w:ascii="宋体" w:hAnsi="宋体" w:eastAsia="宋体" w:cs="宋体"/>
                <w:i w:val="0"/>
                <w:color w:val="auto"/>
                <w:sz w:val="21"/>
                <w:szCs w:val="21"/>
                <w:highlight w:val="none"/>
                <w:u w:val="none"/>
              </w:rPr>
            </w:pPr>
          </w:p>
        </w:tc>
      </w:tr>
      <w:tr w14:paraId="17B5E2F5">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C53BD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AA0B59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400万枪球联动（含安装、调试、接入、可旋转）</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9AC367E">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1、双镜头，细节全景400万像素1/1.8英寸CMOS 传感器,内置GPU芯片，设备细节镜头内置GMR磁场传感器，当镜头群组收到外力作用发生偏移时可自动复位；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2、细节5倍变焦或者变焦范围不低于8-32mm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3、支持人脸、车辆、人体抓拍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4、配置电源支架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5、能无缝接入甲方视频联网平台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6、支持GB35114-A级加密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7、内置补光灯</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830FF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处</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7613F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6920E5">
            <w:pPr>
              <w:rPr>
                <w:rFonts w:hint="eastAsia" w:ascii="宋体" w:hAnsi="宋体" w:eastAsia="宋体" w:cs="宋体"/>
                <w:i w:val="0"/>
                <w:color w:val="auto"/>
                <w:sz w:val="21"/>
                <w:szCs w:val="21"/>
                <w:highlight w:val="none"/>
                <w:u w:val="none"/>
              </w:rPr>
            </w:pPr>
          </w:p>
        </w:tc>
      </w:tr>
      <w:tr w14:paraId="6C65A63A">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23609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DB8F6D5">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抱杆箱（含安装）</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9C5F292">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箱体规格尺寸不小于：高500*宽400*深300MM 镀锌喷涂，板材厚度≥1.2MM ，背部或底部进线、可壁挂或抱箍安装，机箱具有防热、防尘、防水、防盗功能，可直接在室外裸露环境下使用。箱顶采用帽檐斜顶方式设计外壳防护等级符合IP65；自动散热：实时采集箱内温湿度，根据设定的温度阈值控制风扇。当箱内温度达到设定温度时，散热风扇自动开启，达到降温效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配装1个32A空开、1个温控风扇、1个4位国标插座、1个电源引入防雷模块，五位接地铜排1只、层板1块，可根据实际情况增加配置满足使用需求。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环境：监控箱工作温度范围-55℃～85℃，防护等级IP65，工作湿度≤90%RH，工作电压范围AC165～AC275V，外壳防护等级≥IP65.设备通过盐雾检测，盐雾环境：浓度：（5±0.1)%,温度：（35±2）℃；喷雾时间：每隔45min喷雾15min,共96h；盐雾沉降量：1.0ml/h.80cm²-2.0ml/h.80cm²，试验后样板表面无黄斑且不生锈；</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箱体需配套二维码一体化设计，材质使用3.0MM厚度亚克力板，二维码扫描录入前端点位验收数据，完成前端资产统计，并通过二维码对接现有平台。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箱体颜色及标识需经采购方确认，未经确认产生的损失全部由中标方承担</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9CADA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个</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E4226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C0679D">
            <w:pPr>
              <w:rPr>
                <w:rFonts w:hint="eastAsia" w:ascii="宋体" w:hAnsi="宋体" w:eastAsia="宋体" w:cs="宋体"/>
                <w:i w:val="0"/>
                <w:color w:val="auto"/>
                <w:sz w:val="21"/>
                <w:szCs w:val="21"/>
                <w:highlight w:val="none"/>
                <w:u w:val="none"/>
              </w:rPr>
            </w:pPr>
          </w:p>
        </w:tc>
      </w:tr>
      <w:tr w14:paraId="53155997">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5A479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354A26A">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1光8电千兆工业级交换机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F0BDAEB">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1、千兆电口≥8 个，千兆SFP光口≥1个，光模块传输距离大于20km，根据实际需求选配光模块传输距离；</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★2、支持-40~85℃温度范围满负载工作，工业四级设计，IP40防护等级，低功耗无风扇设计；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★3、为保证设备在受到外界机械碰撞时能够正常运行，要求所投交换机IK防护测试级别至少达到IK05；</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4、拥有2个千兆光口8个10/100/1000Base-TX自适应以太网 RJ45 接口连接网络摄像机。该光纤传输通讯单元设计符合以太网标准，性能稳定可靠。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5、流控方式：全双工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6、提供状态指示灯，外置电源（输出 12V～50HZ 1A）。</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7、模块化电源设计理念，功能板与电源分开，便于后期维护。</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8、采用光电一体化模块，保证传输可靠，寿命长。</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9、超低功耗小于 2.5W(Input:DC12V)。</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10、符合GB/T 25000.51-2016安全规范要求。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F899B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C0267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8565D6">
            <w:pPr>
              <w:rPr>
                <w:rFonts w:hint="eastAsia" w:ascii="宋体" w:hAnsi="宋体" w:eastAsia="宋体" w:cs="宋体"/>
                <w:i w:val="0"/>
                <w:color w:val="auto"/>
                <w:sz w:val="21"/>
                <w:szCs w:val="21"/>
                <w:highlight w:val="none"/>
                <w:u w:val="none"/>
              </w:rPr>
            </w:pPr>
          </w:p>
        </w:tc>
      </w:tr>
      <w:tr w14:paraId="68AE8A3A">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291E8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DB4690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L型6.5米杆*3（含运输、吊装）</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E5D2A5F">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立杆圆锥直径140-190-4mm厚，横臂圆锥直径90-140-3mm厚，基础法兰直径400-14mm厚，热镀锌后喷塑。固定法兰直径400-4mm厚，预埋件螺栓对角中心距300mm-6支M20圆钢长1.125米。</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5CB58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74322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6EEC31">
            <w:pPr>
              <w:rPr>
                <w:rFonts w:hint="eastAsia" w:ascii="宋体" w:hAnsi="宋体" w:eastAsia="宋体" w:cs="宋体"/>
                <w:i w:val="0"/>
                <w:color w:val="auto"/>
                <w:sz w:val="21"/>
                <w:szCs w:val="21"/>
                <w:highlight w:val="none"/>
                <w:u w:val="none"/>
              </w:rPr>
            </w:pPr>
          </w:p>
        </w:tc>
      </w:tr>
      <w:tr w14:paraId="45EEF42E">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1D90D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CDD5D75">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L型6.5米杆*3基础（含地笼、混泥土、浇筑、基坑开挖）</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EA5ABDD">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基础开挖尺寸不低于1m*1m*1.2m，商砼C25浇筑。含基础开挖、绿化恢复、人行道砖恢复、道板砖恢复、建筑垃圾清运。满足GAT 652-2017 公安交通管理外场设备基础设施施工通用要求、基础浇筑、混凝土强度等级应符合GB50010-2010中的要求。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11AFA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座</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539AA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EB0224">
            <w:pPr>
              <w:rPr>
                <w:rFonts w:hint="eastAsia" w:ascii="宋体" w:hAnsi="宋体" w:eastAsia="宋体" w:cs="宋体"/>
                <w:i w:val="0"/>
                <w:color w:val="auto"/>
                <w:sz w:val="21"/>
                <w:szCs w:val="21"/>
                <w:highlight w:val="none"/>
                <w:u w:val="none"/>
              </w:rPr>
            </w:pPr>
          </w:p>
        </w:tc>
      </w:tr>
      <w:tr w14:paraId="6AC3FD8A">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B6A21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53BB04B">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沿岸视频监控（含安装、调试、接入）</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4B82726">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1、支持1/2.8" 400万23倍光学变焦镜头，采用高效补光阵列，低功耗，红外补光150 m，白光补光100 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2、支持区域入侵侦测、越界侦测、进入区域侦测和离开区域侦等智能侦测并联动跟随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3、支持深度学习算法，提供精准的人车分类侦测、报警、联动球机镜头进行快速查看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4、支持切换为人脸抓拍模式，最大同时抓拍5张人脸</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5、支持人车检测信息叠加至码流，配合Smart NVR实现图搜或文搜的功能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6、支持最大2560 × 1440 @30 fps高清画面输出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7、支持超低照度，0.005 Lux @F1.5（彩色），0.001 Lux @F1.5（黑白），0 Lux with IR</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8、应具有300个预置位，可按照所设置的预置位完成不小于8条巡航路径，可按照所设置轨迹完成4条模式路径，可实现RS485接口优先或RJ45网络接口优先控制功能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9、支持ONVIF</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10、支持两进一出报警、一进一出音频、最大支持512 GB MicroSD卡存储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11、IP66</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1C932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处</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DA32B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2E64CA">
            <w:pPr>
              <w:rPr>
                <w:rFonts w:hint="eastAsia" w:ascii="宋体" w:hAnsi="宋体" w:eastAsia="宋体" w:cs="宋体"/>
                <w:i w:val="0"/>
                <w:color w:val="auto"/>
                <w:sz w:val="21"/>
                <w:szCs w:val="21"/>
                <w:highlight w:val="none"/>
                <w:u w:val="none"/>
              </w:rPr>
            </w:pPr>
          </w:p>
        </w:tc>
      </w:tr>
      <w:tr w14:paraId="48B1CD9F">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7E8A1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E482446">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L型6.5米杆*3（含运输、吊装）</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4FFD7D2">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立杆圆锥直径140-190-4mm厚，横臂圆锥直径90-140-3mm厚，基础法兰直径400-14mm厚，热镀锌后喷塑。固定法兰直径400-4mm厚，预埋件螺栓对角中心距300mm-6支M20圆钢长1.125米。</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1B30A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F422F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ADBA81">
            <w:pPr>
              <w:rPr>
                <w:rFonts w:hint="eastAsia" w:ascii="宋体" w:hAnsi="宋体" w:eastAsia="宋体" w:cs="宋体"/>
                <w:i w:val="0"/>
                <w:color w:val="auto"/>
                <w:sz w:val="21"/>
                <w:szCs w:val="21"/>
                <w:highlight w:val="none"/>
                <w:u w:val="none"/>
              </w:rPr>
            </w:pPr>
          </w:p>
        </w:tc>
      </w:tr>
      <w:tr w14:paraId="7891AF94">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2AE58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9CB6258">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L型6.5米杆*3基础（含地笼、混泥土、浇筑、基坑开挖）</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96C9D62">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基础开挖尺寸不低于1m*1m*1.2m，商砼C25浇筑。含基础开挖、绿化恢复、人行道砖恢复、道板砖恢复、建筑垃圾清运。满足GAT 652-2017 公安交通管理外场设备基础设施施工通用要求、基础浇筑、混凝土强度等级应符合GB50010-2010中的要求。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25CDA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座</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42352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47719C">
            <w:pPr>
              <w:rPr>
                <w:rFonts w:hint="eastAsia" w:ascii="宋体" w:hAnsi="宋体" w:eastAsia="宋体" w:cs="宋体"/>
                <w:i w:val="0"/>
                <w:color w:val="auto"/>
                <w:sz w:val="21"/>
                <w:szCs w:val="21"/>
                <w:highlight w:val="none"/>
                <w:u w:val="none"/>
              </w:rPr>
            </w:pPr>
          </w:p>
        </w:tc>
      </w:tr>
      <w:tr w14:paraId="7C059034">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EE30C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4FF6CD8">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抱杆箱（含安装）</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A490A83">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箱体规格尺寸不小于：高500*宽400*深300MM 镀锌喷涂，板材厚度≥1.2MM ，背部或底部进线、可壁挂或抱箍安装，机箱具有防热、防尘、防水、防盗功能，可直接在室外裸露环境下使用。箱顶采用帽檐斜顶方式设计外壳防护等级符合IP65；自动散热：实时采集箱内温湿度，根据设定的温度阈值控制风扇。当箱内温度达到设定温度时，散热风扇自动开启，达到降温效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配装1个32A空开、1个温控风扇、1个4位国标插座、1个电源引入防雷模块，五位接地铜排1只、层板1块，可根据实际情况增加配置满足使用需求。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环境：监控箱工作温度范围-55℃～85℃，防护等级IP65，工作湿度≤90%RH，工作电压范围AC165～AC275V，外壳防护等级≥IP65.设备通过盐雾检测，盐雾环境：浓度：（5±0.1)%,温度：（35±2）℃；喷雾时间：每隔45min喷雾15min,共96h；盐雾沉降量：1.0ml/h.80cm²-2.0ml/h.80cm²，试验后样板表面无黄斑且不生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箱体需配套二维码一体化设计，材质使用3.0MM厚度亚克力板，二维码扫描录入前端点位验收数据，完成前端资产统计，并通过二维码对接现有平台。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箱体颜色及标识需经采购方确认，未经确认产生的损失全部由中标方承担</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8BB57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个</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A1C61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2E01EC">
            <w:pPr>
              <w:rPr>
                <w:rFonts w:hint="eastAsia" w:ascii="宋体" w:hAnsi="宋体" w:eastAsia="宋体" w:cs="宋体"/>
                <w:i w:val="0"/>
                <w:color w:val="auto"/>
                <w:sz w:val="21"/>
                <w:szCs w:val="21"/>
                <w:highlight w:val="none"/>
                <w:u w:val="none"/>
              </w:rPr>
            </w:pPr>
          </w:p>
        </w:tc>
      </w:tr>
      <w:tr w14:paraId="03791C80">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3BA7E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B751B97">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1光8电千兆工业级交换机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3BDF16C">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1、千兆电口≥8 个，千兆SFP光口≥1个，光模块传输距离大于20km，根据实际需求选配光模块传输距离；</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★2、支持-40~85℃温度范围满负载工作，工业四级设计，IP40防护等级，低功耗无风扇设计；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★3、为保证设备在受到外界机械碰撞时能够正常运行，要求所投交换机IK防护测试级别至少达到IK05；</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4、拥有2个千兆光口8个10/100/1000Base-TX自适应以太网 RJ45 接口连接网络摄像机。该光纤传输通讯单元设计符合以太网标准，性能稳定可靠。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5、流控方式：全双工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6、提供状态指示灯，外置电源（输出 12V～50HZ 1A）。</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7、模块化电源设计理念，功能板与电源分开，便于后期维护。</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8、采用光电一体化模块，保证传输可靠，寿命长。</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9、超低功耗小于 2.5W(Input:DC12V)。</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10、符合GB/T 25000.51-2016安全规范要求。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B17BB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0782E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E9910A">
            <w:pPr>
              <w:rPr>
                <w:rFonts w:hint="eastAsia" w:ascii="宋体" w:hAnsi="宋体" w:eastAsia="宋体" w:cs="宋体"/>
                <w:i w:val="0"/>
                <w:color w:val="auto"/>
                <w:sz w:val="21"/>
                <w:szCs w:val="21"/>
                <w:highlight w:val="none"/>
                <w:u w:val="none"/>
              </w:rPr>
            </w:pPr>
          </w:p>
        </w:tc>
      </w:tr>
      <w:tr w14:paraId="58B9C159">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D0E37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3C9DDFD">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光纤租赁</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7F2F854">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1、要根据现场情况提供带宽较高的网络传输带宽，下限不得低于百兆。同时必须满足视频画面流畅不卡顿，为公安专用专线，可用于招标人后期其他项目及任何需求使用，出现安全问题中标人承担。</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2、所有专线统一汇聚至亭湖公安分局核心机房，免费提供接入侧及核心交换机侧光模块、尾纤、尾缆等辅材，采购人只负责提供机柜、电源。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因链路数量较多，需采用合理且安全的组网方式，采购方核心侧需采用万兆物理链路双路由，光缆需要分两个方向进入核心机房，核心机房交换机只提供两个万兆汇聚光口，且此汇聚光口光模块由本项目提供，所提供的链路接入及传输设备需为全新未使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4、租赁期为五年，一次性报价。</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★5、本项目链路必须全部采用二层或裸纤方式，根据实际情况可做微调（不允许超过5%)，需要采购方同意，</w:t>
            </w:r>
            <w:r>
              <w:rPr>
                <w:rFonts w:hint="eastAsia" w:ascii="宋体" w:hAnsi="宋体" w:eastAsia="宋体" w:cs="宋体"/>
                <w:b/>
                <w:bCs/>
                <w:i w:val="0"/>
                <w:iCs w:val="0"/>
                <w:color w:val="auto"/>
                <w:kern w:val="0"/>
                <w:sz w:val="21"/>
                <w:szCs w:val="21"/>
                <w:highlight w:val="none"/>
                <w:u w:val="none"/>
                <w:lang w:val="en-US" w:eastAsia="zh-CN" w:bidi="ar"/>
              </w:rPr>
              <w:t>投标时提供承诺函并加盖投标人公章（格式自拟）。</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b w:val="0"/>
                <w:bCs w:val="0"/>
                <w:i/>
                <w:iCs/>
                <w:color w:val="auto"/>
                <w:kern w:val="0"/>
                <w:sz w:val="21"/>
                <w:szCs w:val="21"/>
                <w:highlight w:val="none"/>
                <w:u w:val="single"/>
                <w:lang w:val="en-US" w:eastAsia="zh-CN" w:bidi="ar"/>
              </w:rPr>
              <w:t>6、每根线路报价每年不得高于1000元人民币。</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9FA8F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专线</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29AB3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7C5CA6">
            <w:pPr>
              <w:rPr>
                <w:rFonts w:hint="eastAsia" w:ascii="宋体" w:hAnsi="宋体" w:eastAsia="宋体" w:cs="宋体"/>
                <w:i w:val="0"/>
                <w:color w:val="auto"/>
                <w:sz w:val="21"/>
                <w:szCs w:val="21"/>
                <w:highlight w:val="none"/>
                <w:u w:val="none"/>
              </w:rPr>
            </w:pPr>
          </w:p>
        </w:tc>
      </w:tr>
      <w:tr w14:paraId="47813EF7">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53B7C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F8E67EE">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软件对接集成</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D89467F">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软件对接集成及个性化开发费用，接入市局平台；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亭湖区水域指挥一张图：在平台内展示亭湖沿海水域信息，一张图演示所有要素信息及涉海资源、视频监控等，实现一图指挥调度；2、针对亭湖区水域状况重构非法捕捞研判模型、船舶走私模型：在平台模型超市内针对亭湖水域特点构建相关模型，尤其针对沿海保护区岔口、入海等水域情况构建非法捕捞与走私模型；3、船舶联动重载云台跟踪功能：对接第三方平台，实现入海口雷达覆盖范围内水域雷达光电跟踪功能，实现通过平台点击船舶，雷达引导，实时视频跟踪画面，并支持拍照、拍图等功能；4、加入亭湖区入海口及内河航道视频巡航功能：适配现有亭湖区涉海、涉水视频监控点位，实现视频模拟巡航功能；5、接入亭湖区各类水域资源：融合现有亭湖区内涉水资源数据、保护区数据，统一汇聚，集中展示；6、集成保护区及重点区域全景数据：突出保护区与入海口水域实时状态，通过全景地图360°画面展示整体沿海、内河等重要航段全貌；最终形成成果需通过软件测评。</w:t>
            </w: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1"/>
                <w:szCs w:val="21"/>
                <w:highlight w:val="none"/>
                <w:u w:val="none"/>
                <w:lang w:val="en-US" w:eastAsia="zh-CN" w:bidi="ar"/>
              </w:rPr>
              <w:t>7、投标时提供可与市局海晏平台对接承诺函（</w:t>
            </w:r>
            <w:r>
              <w:rPr>
                <w:rFonts w:hint="eastAsia" w:ascii="宋体" w:hAnsi="宋体" w:cs="宋体"/>
                <w:b/>
                <w:bCs/>
                <w:i w:val="0"/>
                <w:iCs w:val="0"/>
                <w:color w:val="auto"/>
                <w:kern w:val="0"/>
                <w:sz w:val="21"/>
                <w:szCs w:val="21"/>
                <w:highlight w:val="none"/>
                <w:u w:val="none"/>
                <w:lang w:val="en-US" w:eastAsia="zh-CN" w:bidi="ar"/>
              </w:rPr>
              <w:t>格式自拟）</w:t>
            </w:r>
            <w:r>
              <w:rPr>
                <w:rFonts w:hint="eastAsia" w:ascii="宋体" w:hAnsi="宋体" w:eastAsia="宋体" w:cs="宋体"/>
                <w:b/>
                <w:bCs/>
                <w:i w:val="0"/>
                <w:iCs w:val="0"/>
                <w:color w:val="auto"/>
                <w:kern w:val="0"/>
                <w:sz w:val="21"/>
                <w:szCs w:val="21"/>
                <w:highlight w:val="none"/>
                <w:u w:val="none"/>
                <w:lang w:val="en-US" w:eastAsia="zh-CN" w:bidi="ar"/>
              </w:rPr>
              <w:t>加盖投标人公章</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F315C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8F34E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FC1504">
            <w:pPr>
              <w:rPr>
                <w:rFonts w:hint="eastAsia" w:ascii="宋体" w:hAnsi="宋体" w:eastAsia="宋体" w:cs="宋体"/>
                <w:i w:val="0"/>
                <w:color w:val="auto"/>
                <w:sz w:val="21"/>
                <w:szCs w:val="21"/>
                <w:highlight w:val="none"/>
                <w:u w:val="none"/>
              </w:rPr>
            </w:pPr>
          </w:p>
        </w:tc>
      </w:tr>
      <w:tr w14:paraId="7AF538BA">
        <w:tblPrEx>
          <w:shd w:val="clear" w:color="auto" w:fill="auto"/>
          <w:tblCellMar>
            <w:top w:w="0" w:type="dxa"/>
            <w:left w:w="0" w:type="dxa"/>
            <w:bottom w:w="0" w:type="dxa"/>
            <w:right w:w="0" w:type="dxa"/>
          </w:tblCellMar>
        </w:tblPrEx>
        <w:trPr>
          <w:trHeight w:val="600" w:hRule="atLeast"/>
        </w:trPr>
        <w:tc>
          <w:tcPr>
            <w:tcW w:w="681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882F8F">
            <w:pPr>
              <w:keepNext w:val="0"/>
              <w:keepLines w:val="0"/>
              <w:widowControl/>
              <w:suppressLineNumbers w:val="0"/>
              <w:jc w:val="left"/>
              <w:textAlignment w:val="center"/>
              <w:rPr>
                <w:rFonts w:hint="eastAsia" w:ascii="宋体" w:hAnsi="宋体" w:eastAsia="宋体" w:cs="宋体"/>
                <w:b/>
                <w:i/>
                <w:iCs/>
                <w:color w:val="auto"/>
                <w:sz w:val="21"/>
                <w:szCs w:val="21"/>
                <w:highlight w:val="none"/>
                <w:u w:val="single"/>
              </w:rPr>
            </w:pPr>
            <w:r>
              <w:rPr>
                <w:rFonts w:hint="eastAsia" w:ascii="宋体" w:hAnsi="宋体" w:eastAsia="宋体" w:cs="宋体"/>
                <w:b/>
                <w:i w:val="0"/>
                <w:iCs w:val="0"/>
                <w:color w:val="auto"/>
                <w:kern w:val="0"/>
                <w:sz w:val="21"/>
                <w:szCs w:val="21"/>
                <w:highlight w:val="none"/>
                <w:u w:val="none"/>
                <w:lang w:val="en-US" w:eastAsia="zh-CN" w:bidi="ar"/>
              </w:rPr>
              <w:t>三、视觉多模态大模型+算力</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25EC1B">
            <w:pPr>
              <w:rPr>
                <w:rFonts w:hint="eastAsia" w:ascii="宋体" w:hAnsi="宋体" w:eastAsia="宋体" w:cs="宋体"/>
                <w:i w:val="0"/>
                <w:color w:val="auto"/>
                <w:sz w:val="21"/>
                <w:szCs w:val="21"/>
                <w:highlight w:val="none"/>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58D82A">
            <w:pPr>
              <w:jc w:val="center"/>
              <w:rPr>
                <w:rFonts w:hint="eastAsia" w:ascii="宋体" w:hAnsi="宋体" w:eastAsia="宋体" w:cs="宋体"/>
                <w:i w:val="0"/>
                <w:color w:val="auto"/>
                <w:sz w:val="21"/>
                <w:szCs w:val="21"/>
                <w:highlight w:val="none"/>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8E246F">
            <w:pPr>
              <w:rPr>
                <w:rFonts w:hint="eastAsia" w:ascii="宋体" w:hAnsi="宋体" w:eastAsia="宋体" w:cs="宋体"/>
                <w:i w:val="0"/>
                <w:color w:val="auto"/>
                <w:sz w:val="21"/>
                <w:szCs w:val="21"/>
                <w:highlight w:val="none"/>
                <w:u w:val="none"/>
              </w:rPr>
            </w:pPr>
          </w:p>
        </w:tc>
      </w:tr>
      <w:tr w14:paraId="21A3CAE7">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10030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5D99D06">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定制化配套管理组件</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A949C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详见附件视觉多模态大模型功能点清单视觉通用大模型部分。</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3526E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42092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AEBEAC">
            <w:pPr>
              <w:rPr>
                <w:rFonts w:hint="eastAsia" w:ascii="宋体" w:hAnsi="宋体" w:eastAsia="宋体" w:cs="宋体"/>
                <w:i w:val="0"/>
                <w:color w:val="auto"/>
                <w:sz w:val="21"/>
                <w:szCs w:val="21"/>
                <w:highlight w:val="none"/>
                <w:u w:val="none"/>
              </w:rPr>
            </w:pPr>
          </w:p>
        </w:tc>
      </w:tr>
      <w:tr w14:paraId="37F05BD5">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0B88D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3EBD95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定制业务系统</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BBA37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详见附件视觉多模态大模型功能点清单业务清单部分。</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B8725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3B5D8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AF4357">
            <w:pPr>
              <w:rPr>
                <w:rFonts w:hint="eastAsia" w:ascii="宋体" w:hAnsi="宋体" w:eastAsia="宋体" w:cs="宋体"/>
                <w:i w:val="0"/>
                <w:color w:val="auto"/>
                <w:sz w:val="21"/>
                <w:szCs w:val="21"/>
                <w:highlight w:val="none"/>
                <w:u w:val="none"/>
              </w:rPr>
            </w:pPr>
          </w:p>
        </w:tc>
      </w:tr>
      <w:tr w14:paraId="5C5A1B13">
        <w:tblPrEx>
          <w:shd w:val="clear" w:color="auto" w:fill="auto"/>
          <w:tblCellMar>
            <w:top w:w="0" w:type="dxa"/>
            <w:left w:w="0" w:type="dxa"/>
            <w:bottom w:w="0" w:type="dxa"/>
            <w:right w:w="0" w:type="dxa"/>
          </w:tblCellMar>
        </w:tblPrEx>
        <w:trPr>
          <w:trHeight w:val="1485"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7E4C2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5F63BB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多模态大模型及智能应用配套硬件设备</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FEE1A1A">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高配GPU主机服务器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6U机架式-直通型：{CPU：支持2 * 高性能 CPU（不低于2.4GHz_96C_192T），up to 500W；</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内存：支持24 * DDR5内存槽，不低于6400MT/S；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存储：前置支持 8个 2.5寸SAS/SATA硬盘或 12个 3.5寸SAS/SATA硬盘(默认2块支持U.2 NVMe SSD)；BMC：1 * 1GbE管理网口（后置），IPMI 2.0 Management ASPEED AST2600；PCIE扩展：最大支持12个标准PCIE扩展插槽（默认8个PCIe x16+必选包）；电源：6个 2700W 铂金电源，支持N+N或N+1冗余；配件:默认含导轨}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高性能CPU _2.4GHz_96C_192T_360W 2</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64GB_DDR5_5600 8</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SSD_480GB_2.5in_SATA 2</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SSD_3.84TB_2.5in_U.2 3</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SSD_7.68TB_2.5in_U.2 1</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RAID_9361-8i_1GB 1</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I350_1Gbps_2Port_RJ45 1</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10Gbps_2Port_SFP+_Gen3 x8_含模块 1</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GPU计算卡：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芯片架构：采用最新一代国产自主架构图形处理器，支持硬件级光线追踪及AI加速计算。核心规模：并行计算核心数量≥14000个。</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单精度浮点算力（FP32）：≥ 73 TFLOPS。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显存容量：24GB/48G。显存规格：显存位宽≥384-bit，采用GDDR6X或同等高性能显存颗粒。物理形态：双槽位（2-slot）厚度，采用离心式涡轮主动散热风扇（支持高密度机架部署）。总线接口：PCIe 4.0 x16或更高规格。</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数量：24G版*5，48G版*3</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99EDA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0942D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D3D0B2">
            <w:pPr>
              <w:rPr>
                <w:rFonts w:hint="eastAsia" w:ascii="宋体" w:hAnsi="宋体" w:eastAsia="宋体" w:cs="宋体"/>
                <w:i w:val="0"/>
                <w:color w:val="auto"/>
                <w:sz w:val="21"/>
                <w:szCs w:val="21"/>
                <w:highlight w:val="none"/>
                <w:u w:val="none"/>
              </w:rPr>
            </w:pPr>
          </w:p>
        </w:tc>
      </w:tr>
      <w:tr w14:paraId="59D8CC2E">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261EC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0D047A6">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基础辅材及配件</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9E763C7">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用于视觉能用大模型、T4卡利旧改造、多模态大模型、视侦盒等项目内容所需的硬件设备安装过程中涉及的所有辅材，如万兆光模块、光跳线等，另配置一台普通打印机</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7C734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602A3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D2E465">
            <w:pPr>
              <w:rPr>
                <w:rFonts w:hint="eastAsia" w:ascii="宋体" w:hAnsi="宋体" w:eastAsia="宋体" w:cs="宋体"/>
                <w:i w:val="0"/>
                <w:color w:val="auto"/>
                <w:sz w:val="21"/>
                <w:szCs w:val="21"/>
                <w:highlight w:val="none"/>
                <w:u w:val="none"/>
              </w:rPr>
            </w:pPr>
          </w:p>
        </w:tc>
      </w:tr>
      <w:tr w14:paraId="06B1E4E0">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0F8BA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92894EF">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工作站</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0F232A5">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处理器：采用四核心八线程、基础主频≥2.5GHz，睿频主频≥4.0GHz；三级缓存≥12MB，制程工艺≤14nm，支持64位运算、集成核心显卡，功耗≤65W；内存≥16GB；硬盘≥256G固态和1TB以上机械硬盘显卡独显直接HDMI/DP接口包含≥23.8英寸高清显示器；配置鼠标键盘（国产品牌机、非进口设备），用于图像网与行业网的日常运维、调试及项目期间开发人员开发使用，因公安网络特殊，本项目不得使用公安以外的电脑，且专人专网专设备，不得随意调整网络或使用人员</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D1E7C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7ED75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49</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B8F562">
            <w:pPr>
              <w:rPr>
                <w:rFonts w:hint="eastAsia" w:ascii="宋体" w:hAnsi="宋体" w:eastAsia="宋体" w:cs="宋体"/>
                <w:i w:val="0"/>
                <w:color w:val="auto"/>
                <w:sz w:val="21"/>
                <w:szCs w:val="21"/>
                <w:highlight w:val="none"/>
                <w:u w:val="none"/>
              </w:rPr>
            </w:pPr>
          </w:p>
        </w:tc>
      </w:tr>
      <w:tr w14:paraId="2F5B58EC">
        <w:tblPrEx>
          <w:shd w:val="clear" w:color="auto" w:fill="auto"/>
          <w:tblCellMar>
            <w:top w:w="0" w:type="dxa"/>
            <w:left w:w="0" w:type="dxa"/>
            <w:bottom w:w="0" w:type="dxa"/>
            <w:right w:w="0" w:type="dxa"/>
          </w:tblCellMar>
        </w:tblPrEx>
        <w:trPr>
          <w:trHeight w:val="945"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DC0DB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CB374A0">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打印机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F1BDDF5">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打印类型：A3黑白激光多功能一体机；最大打印幅面：A3或以上；打印速度（A4单面）：35页/分钟；网络打印：是；辅助功能：含复印/扫描；最高分辨率：1,200 x 1,200 dpi；处理器大小、内存大小：2GB+2GB SOP内存；首页打印时间：小于10秒；月打印最大负荷（页）：150000页；预热时间:18.8秒</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38D77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2EF3A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FE9A30">
            <w:pPr>
              <w:jc w:val="center"/>
              <w:rPr>
                <w:rFonts w:hint="eastAsia" w:ascii="宋体" w:hAnsi="宋体" w:eastAsia="宋体" w:cs="宋体"/>
                <w:i w:val="0"/>
                <w:color w:val="auto"/>
                <w:sz w:val="21"/>
                <w:szCs w:val="21"/>
                <w:highlight w:val="none"/>
                <w:u w:val="none"/>
              </w:rPr>
            </w:pPr>
          </w:p>
        </w:tc>
      </w:tr>
      <w:tr w14:paraId="38668CF2">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AEFFE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58FE69F">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算力服务器</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972B732">
            <w:pPr>
              <w:keepNext w:val="0"/>
              <w:keepLines w:val="0"/>
              <w:widowControl/>
              <w:numPr>
                <w:ilvl w:val="0"/>
                <w:numId w:val="4"/>
              </w:numPr>
              <w:suppressLineNumbers w:val="0"/>
              <w:jc w:val="left"/>
              <w:textAlignment w:val="top"/>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配置4颗国产化处理器，单颗2.6GHz/48核；</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2、配置512GB DDR4内存；</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3、配置2*480GB SSD 硬盘，2*3.84TB NVME SSD硬盘；</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4、配置1张Raid阵列卡，支持raid0/1/5/6；</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5、配置2个25万兆网卡（含光模块），8个200GE光口；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6、配置≥8块国产化AI处理器，单AI处理器显存配置64GB HBM、280TFLOPS FP16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7、配置4个电源，冗余风扇，原厂导轨；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8、三年质保；</w:t>
            </w:r>
          </w:p>
          <w:p w14:paraId="74D80E26">
            <w:pPr>
              <w:keepNext w:val="0"/>
              <w:keepLines w:val="0"/>
              <w:widowControl/>
              <w:numPr>
                <w:ilvl w:val="0"/>
                <w:numId w:val="0"/>
              </w:numPr>
              <w:suppressLineNumbers w:val="0"/>
              <w:jc w:val="left"/>
              <w:textAlignment w:val="top"/>
              <w:rPr>
                <w:rFonts w:hint="eastAsia" w:ascii="宋体" w:hAnsi="宋体" w:cs="宋体"/>
                <w:i/>
                <w:iCs/>
                <w:color w:val="auto"/>
                <w:kern w:val="0"/>
                <w:sz w:val="21"/>
                <w:szCs w:val="21"/>
                <w:highlight w:val="none"/>
                <w:u w:val="single"/>
                <w:lang w:val="en-US" w:eastAsia="zh-CN" w:bidi="ar"/>
              </w:rPr>
            </w:pPr>
            <w:r>
              <w:rPr>
                <w:rFonts w:hint="eastAsia" w:ascii="宋体" w:hAnsi="宋体" w:cs="宋体"/>
                <w:i/>
                <w:iCs/>
                <w:color w:val="auto"/>
                <w:kern w:val="0"/>
                <w:sz w:val="21"/>
                <w:szCs w:val="21"/>
                <w:highlight w:val="none"/>
                <w:u w:val="single"/>
                <w:lang w:val="en-US" w:eastAsia="zh-CN" w:bidi="ar"/>
              </w:rPr>
              <w:t>9、安全性要求：</w:t>
            </w:r>
          </w:p>
          <w:p w14:paraId="6A3EB0AF">
            <w:pPr>
              <w:keepNext w:val="0"/>
              <w:keepLines w:val="0"/>
              <w:widowControl/>
              <w:numPr>
                <w:ilvl w:val="0"/>
                <w:numId w:val="0"/>
              </w:numPr>
              <w:suppressLineNumbers w:val="0"/>
              <w:jc w:val="left"/>
              <w:textAlignment w:val="top"/>
              <w:rPr>
                <w:rFonts w:hint="eastAsia" w:ascii="宋体" w:hAnsi="宋体" w:cs="宋体"/>
                <w:i/>
                <w:iCs/>
                <w:color w:val="auto"/>
                <w:kern w:val="0"/>
                <w:sz w:val="21"/>
                <w:szCs w:val="21"/>
                <w:highlight w:val="none"/>
                <w:u w:val="single"/>
                <w:lang w:val="en-US" w:eastAsia="zh-CN" w:bidi="ar"/>
              </w:rPr>
            </w:pPr>
            <w:r>
              <w:rPr>
                <w:rFonts w:hint="eastAsia" w:ascii="宋体" w:hAnsi="宋体" w:cs="宋体"/>
                <w:i/>
                <w:iCs/>
                <w:color w:val="auto"/>
                <w:kern w:val="0"/>
                <w:sz w:val="21"/>
                <w:szCs w:val="21"/>
                <w:highlight w:val="none"/>
                <w:u w:val="single"/>
                <w:lang w:val="en-US" w:eastAsia="zh-CN" w:bidi="ar"/>
              </w:rPr>
              <w:t>服务器管理软件已由具备具有合法正规资质的的第三方检测机构完成信息安全评估检测，检测覆盖保密性、完整性、抗抵赖性、可核查性等指标，检测结论合格；同时该软件通过具备合法正规资质的第三方检测机构开展的安全渗透测试，测试内容包含身份认证安全、权限管理安全、会话安全、信息泄露风险、输入输出合法性安全等维度。投标人须提供上述两项检测对应的正式证明材料，</w:t>
            </w:r>
          </w:p>
          <w:p w14:paraId="6D01A0DF">
            <w:pPr>
              <w:keepNext w:val="0"/>
              <w:keepLines w:val="0"/>
              <w:widowControl/>
              <w:numPr>
                <w:ilvl w:val="0"/>
                <w:numId w:val="0"/>
              </w:numPr>
              <w:suppressLineNumbers w:val="0"/>
              <w:jc w:val="left"/>
              <w:textAlignment w:val="top"/>
              <w:rPr>
                <w:rFonts w:hint="eastAsia" w:ascii="宋体" w:hAnsi="宋体" w:cs="宋体"/>
                <w:i/>
                <w:iCs/>
                <w:color w:val="auto"/>
                <w:kern w:val="0"/>
                <w:sz w:val="21"/>
                <w:szCs w:val="21"/>
                <w:highlight w:val="none"/>
                <w:u w:val="single"/>
                <w:lang w:val="en-US" w:eastAsia="zh-CN" w:bidi="ar"/>
              </w:rPr>
            </w:pPr>
            <w:r>
              <w:rPr>
                <w:rFonts w:hint="eastAsia" w:ascii="宋体" w:hAnsi="宋体" w:cs="宋体"/>
                <w:i/>
                <w:iCs/>
                <w:color w:val="auto"/>
                <w:kern w:val="0"/>
                <w:sz w:val="21"/>
                <w:szCs w:val="21"/>
                <w:highlight w:val="none"/>
                <w:u w:val="single"/>
                <w:lang w:val="en-US" w:eastAsia="zh-CN" w:bidi="ar"/>
              </w:rPr>
              <w:t>稳定性要求：服务器制造商具备产品质量检测能力，包含CPU检测、内存检测、硬盘检测、网卡PCIe外设检测、电源功耗管理、BMC故障检测等，需提供制造商对应检测软件著作权证书复印件，并加盖投标人公章。所投服务产品具备合法正规资质的第三方检测机构出具的平均无故障时间（MTBF）≥30万小时、投标人提供加盖投标人公章的MTBF可靠性证明材料</w:t>
            </w:r>
          </w:p>
          <w:p w14:paraId="2E6948BE">
            <w:pPr>
              <w:keepNext w:val="0"/>
              <w:keepLines w:val="0"/>
              <w:widowControl/>
              <w:numPr>
                <w:ilvl w:val="0"/>
                <w:numId w:val="0"/>
              </w:numPr>
              <w:suppressLineNumbers w:val="0"/>
              <w:jc w:val="left"/>
              <w:textAlignment w:val="top"/>
              <w:rPr>
                <w:rFonts w:hint="default" w:ascii="宋体" w:hAnsi="宋体" w:eastAsia="宋体" w:cs="宋体"/>
                <w:i/>
                <w:iCs/>
                <w:color w:val="auto"/>
                <w:kern w:val="0"/>
                <w:sz w:val="21"/>
                <w:szCs w:val="21"/>
                <w:highlight w:val="none"/>
                <w:u w:val="single"/>
                <w:lang w:val="en-US" w:eastAsia="zh-CN" w:bidi="ar"/>
              </w:rPr>
            </w:pPr>
            <w:r>
              <w:rPr>
                <w:rFonts w:hint="eastAsia" w:ascii="宋体" w:hAnsi="宋体" w:cs="宋体"/>
                <w:i/>
                <w:iCs/>
                <w:color w:val="auto"/>
                <w:kern w:val="0"/>
                <w:sz w:val="21"/>
                <w:szCs w:val="21"/>
                <w:highlight w:val="none"/>
                <w:u w:val="single"/>
                <w:lang w:val="en-US" w:eastAsia="zh-CN" w:bidi="ar"/>
              </w:rPr>
              <w:t>中标后验收时提供相关材料</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D1E8C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B5439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9E4CDE">
            <w:pPr>
              <w:rPr>
                <w:rFonts w:hint="eastAsia" w:ascii="宋体" w:hAnsi="宋体" w:eastAsia="宋体" w:cs="宋体"/>
                <w:i w:val="0"/>
                <w:color w:val="auto"/>
                <w:sz w:val="21"/>
                <w:szCs w:val="21"/>
                <w:highlight w:val="none"/>
                <w:u w:val="none"/>
              </w:rPr>
            </w:pPr>
          </w:p>
        </w:tc>
      </w:tr>
      <w:tr w14:paraId="6C5087E9">
        <w:tblPrEx>
          <w:shd w:val="clear" w:color="auto" w:fill="auto"/>
          <w:tblCellMar>
            <w:top w:w="0" w:type="dxa"/>
            <w:left w:w="0" w:type="dxa"/>
            <w:bottom w:w="0" w:type="dxa"/>
            <w:right w:w="0" w:type="dxa"/>
          </w:tblCellMar>
        </w:tblPrEx>
        <w:trPr>
          <w:trHeight w:val="8028"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19EDB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FF2596D">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音频分析模块</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6B85024">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1.不区分性别，语种，方言，种族和年龄；</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2.可以对任何渠道获得的音频进行分析；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3.完全非接触测试测试方式；只分析谈话人的声音，不需要与谈话人有任何身体接触。</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系统自动把语音分割为0.4秒-3秒的语音片段。能够在每一个语音片段中提取并检测声音中的参数同时计算出不低于25种情感信息及数值。每个片段至少应有：情绪认知/紧张/思维/犹豫/抗拒/并行思维/罪疚感/内心冲突/主观谎言/客观谎言/认知压力/情感压力/整体压力/频率压力/预判/思考速率/潜意识认识/潜意识情绪/想象/位阶代码/基源编码/情绪矩阵/认知矩阵/O-链/等参数，结果在同一界面上显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5.系统不低于五种工作方式：网络语音即时通讯分析\麦克风实时分析\远程电话分析\录音分析\录音机。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可自定义问话提纲，问话提纲添加删除功能。每一个问题都有独立的分析参数：计时，计数，平均谎言，平均情感，平均认知，平均整体，高SOS谎言统计，不准确统计，分析结果。系统提供符合用户需求的问话提纲模版数量不低于10版。可根据问话提纲及相关问题，出具有针对性的分析报告同时可手动编辑分析意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7.在实时分析模式中可以一键屏蔽噪音同时也可以一键标记重要相关问题。</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8.分析结果以多种形式展示包括不少于片段参数列表\柱状图\选定组信息\颜色块\文字结论\曲线等，同时可针对特殊风险类型快速筛选查看。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9.在实时分析模式中可直接导出音频资料到录音模式中快速进行深度分析。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10.有用户管理功能，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★12．有数据库管理功能可创建多个数据库对案件进行分类管理，同时数据库中能够导出导入案例可以备份和恢复案例并具备数据案例安全密码功能；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★13.自动过滤噪声的功能，可手动调整背景噪音数值；具有手动标记功能，手动标记无法分析的音频和噪音，能够标记“噪音”“首要”“选项”，至少支持对同一段录音中的两个人的语音并行标记及分析。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★14.系统能够识别至少9种欺骗方式（P）：欺骗模式 P1-意味着受试者在陈述中表现出比预期更高的警觉性和专注力。欺骗模式 P2-意味着受试者同时处于极端逻辑矛盾与高度兴奋状态。欺骗模式 P3-意味着受试者在回答时多次改变主意，且处于高度压力状态。欺骗模式 P4-意味着受试者回答时带有不情愿的态度（可能因尴尬所致）。欺骗模式P5-表明受试者处于 极端警觉状态、低思维水平，可能存在自己已知的证据能揭露他的谎言。受试者试图自发回答-未经思考。（这一模式揭示了说谎者在高压下的认知策略失衡，其核心矛盾在于警觉性与思维深度的背离，常见于需要快速反应的欺骗场景）。欺骗模式 P6-表明受试者处于极低警觉性与是否继续陈述的强烈矛盾状态（S.O.S.）。建议在自由对话中进一步调查该问题。欺骗模式P7-极低警觉性与极高兴奋感-受试者不习惯于说谎或仅为取乐而为之。欺骗模式P8-极低警觉性与极强矛盾感-受试者回答存在逻辑漏洞，或陷入极端自我批判。欺骗模式 P9 -极低警觉性，高度矛盾感与兴奋感并存。</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15.拥有至少5种分析模型:主观模式/宽容模式/客观模式/情绪模式/两极模式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16.内嵌音视频转换工具，可转换WAV，WMA,MP3，AAC等格式。支持DivX、H.264 等视频编码格式.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17.拥有独立的软件著作权确保产品的独立性合法性。</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★18.拥有具有合法正规资质的机构出具的检测报告并加盖投标人公章；</w:t>
            </w:r>
          </w:p>
        </w:tc>
        <w:tc>
          <w:tcPr>
            <w:tcW w:w="6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F19A1D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E6F66E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A3F524">
            <w:pPr>
              <w:rPr>
                <w:rFonts w:hint="eastAsia" w:ascii="宋体" w:hAnsi="宋体" w:eastAsia="宋体" w:cs="宋体"/>
                <w:i w:val="0"/>
                <w:color w:val="auto"/>
                <w:sz w:val="21"/>
                <w:szCs w:val="21"/>
                <w:highlight w:val="none"/>
                <w:u w:val="none"/>
              </w:rPr>
            </w:pPr>
          </w:p>
        </w:tc>
      </w:tr>
      <w:tr w14:paraId="4BC28E49">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4E9D6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BBADC34">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音频分析配套硬件</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DAB7A41">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 xml:space="preserve">1.专业录音设备：内存：16G及以上；录音格式: DSD/线性PCM录音格式；麦克风:15毫米XY方向可调；信噪比: 信噪比：＞100dB支持192kHz/24bit无损压缩线性PCM录音格式；高灵敏度麦克风；最大声压：≈128dbSPL；播放格式：DSD(2.822MHZ),WAV,FLAC,MP3，AAC；输入：MiniMic接口；输出：3.5音频接口，USB2.0以上。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专业麦克风声学特性：内置角色分离算法，可以把嫌疑人与办案人员声音独立隔离出2路独立的音频，分别提供给语音识别系统做语音识别。发言方向指示灯：不同人员发言时，指示灯会变换不同的颜色，可以把不同人员的声音单独录制未经压缩的原始音频，可以直接用于声纹识别、语音情绪分析。内置扬声器。阵列单元：两组麦克风阵列采样率：16KHz采样深度：16位有效频响范围：100Hz-8KHz输出接口：USB输出声道：双声道语音识别有限范围：3米内灵敏度：≥50mV/Pa噪声级：≤30dB信噪比：≥50dB以上</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3.防护箱：外尺寸不小于L559*497*222MM；内尺寸不小于L509*W410*H（上盖43+下盖157） MM；重量：≈3KG；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4.专业耳机：耳塞式频响范围不低于18-22000HZ；阻抗不低于 32欧；灵敏度不低于 122Db；线长不低于1.2米；线性 双边等长线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5.专用电话分析转接器：USB-RJ11接口，支持电脑和电话间连接和数据交换功能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6.14英寸及以上高性能笔记本电脑，处理器采用大小核混合异构设计，共计 16 核 24 线程，包含 8 颗高性能核心与 8 颗能效核心，高性能核心最大睿频不低于 5.4GHz，二级缓存不低于 24MB，三级缓存不低于 30MB，基础功耗 125W，最大睿频功耗 253W，支持双通道 DDR5‑5600、DDR4‑3200 内存，最大内存容量不低于 192GB，处理器直出 PCIe5.0×16、PCIe4.0×4 通道，具备集成图形输出能力，支持硬件线程调度、深度学习加速及神经网络加速功能，内存不低于32G 硬盘不低于1TB，带键鼠</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7.供应商有自主培训能力，能够提供售前、售中、售后技术培训；在质保期内提供四次及以上技术培训(基础培训、中级培训、高级培训、案例指导培训）</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8.软件三年免费升级，硬件三年质保；</w:t>
            </w:r>
          </w:p>
        </w:tc>
        <w:tc>
          <w:tcPr>
            <w:tcW w:w="6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B068B0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18E06B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1FDCD3">
            <w:pPr>
              <w:rPr>
                <w:rFonts w:hint="eastAsia" w:ascii="宋体" w:hAnsi="宋体" w:eastAsia="宋体" w:cs="宋体"/>
                <w:i w:val="0"/>
                <w:color w:val="auto"/>
                <w:sz w:val="21"/>
                <w:szCs w:val="21"/>
                <w:highlight w:val="none"/>
                <w:u w:val="none"/>
              </w:rPr>
            </w:pPr>
          </w:p>
        </w:tc>
      </w:tr>
      <w:tr w14:paraId="14BFE0CB">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6F215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2484B7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语音识别反馈模块</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177ED2D">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场景化语音转写：支持将满意度回访的中文语音流实时转写为中文文字；说话人分离：支持满意度回访电话机器人与被回访人角色分离；智能分句：对转写文本按语义进行子句划分，并在子句之间加注标点；智能标点：根据识别结果给文本内容加上标点符号；热词优化：支持短平快的效果优化方案，对满意度回访领域词汇进行快速的人工干预；实现中文标准普通话的实时识别，声源取自电话信道，识别准确率≥92%。电话渠道下，在外呼类场景中，端点检测正确率≥90%。语音转写能力：语音转写响应时间小于等于100毫秒。</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场景化语音合成：支持将中文文字转化为自然流畅的人声；高质量语音：将输入满意度回访文本实时转换为流畅、清晰、自然和具有表现力的语音数据；多音色服务：提供丰富、风格多样化的音色选择，用户可供根据不同应用业务需要，选择最适合应用场景的语音风格；高精度文本分析技术：保证了对文本中未登录词（如地名）、多音字、特殊符号（如标点、数字）、韵律短语等智能分析和处理；字符集及数据输出格式：支持输出Wav格式语音数据；参数动态调整：开发接口提供了音量、语速、音高（基频）等多种合成参数动态调整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3、场景化NLP：基于基础NLP的算法，结合满意度回访场景化定制场景化NLP算法及模型，通过对文本的分析，获悉被回访人的主要意图，进而电话机器人给出相应的回答。</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满意度回访识别：模型开场白识别，针对满意度回访场景人机对话的开场白询问被回访人问题，收集电话开场白音频及文本预料，进行人工标注后完成模型训练，确保正确识别被回访人意图。满意度识别，针对满意度回访场景下被回访人回答满意度相关问题的意图识别，分析被回访人满意程度，收集电话音频及文本预料，进行人工标注后完成模型训练，确保效果达到生产期望要求。不满意原因识别，针对满意度回访场景下机器人与被回访人的交互内容以及整体交互进行分析，分析被回访人不满意原因，收集电话音频及文本预料，进行人工标注后完成模型训练，确保效果达到生产期望要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满意度回访话术：模板话术类型创建，根据满意度回访应用场景，新建满意度回访的话术类型，包含满意度回访场景下不同节点下应用。普通话术创建，普通话术创建，通过话术编辑器新建满意度回访话术。任意回答话术创建，满意度回访任意回答话术创建，通过创建任意回答话术，电话机器人语音播报之后，实现被回访人问询任意表述均可通过，无需识别被回访人说法，即可进入下一节点话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话术流程管理：节点话术编辑，满意度回访场景下，编辑电话机器人询问问询被回访人的内容，包含对主话术、辅助话术、多次未识别话术、提槽话术等内容进行编辑。主话术编辑，满意度回访电话机器人主话术编辑，在电话机器人与被回访人交互过程中，对每个节点的第一次问法（表述）内容进行编辑；提供可视化话术编辑系统，可做到版本回溯，可持久化保存话术，支持话术快速更新上线。辅助话术编辑，满意度回访电话机器人辅助话术编辑，参考主话术内容，对辅助话术内容进行编辑。当电话机器人通过主话术问询被回访人，其回答电话机器人未识别，可通过用调用辅助话术来实现问询被回访人。多次未识别话术编辑，多次未识别话术编辑，编辑多次未识别话术内容。针对满意度回访电话机器人三次引导都无识别被回访人说法时，可通过多次未识别话术等兜底流程。提槽话术编辑，提槽话术编辑，对需要提槽的要素信息，编辑相应话术内容。当提槽关键要素时，可通过设置提槽话术来收集实现。话术描述，话术描述，通过对话术进行描述和编号，实现交互节点的命名，区别于其他话术节点，以及通过编号判定交互信息和回传信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智能打断设置：录音上传，针对配置的话术，可上传发音人录音、在线录音或上传本地录制好的录音。结束语设置，机器人外呼结束语设置，在满意度回访电话机器人与被回访人交互时，可设置相关话术为结束语时，播报结束语后结束对话流程。主话术打断设置，主话术打断设置，在满意度回访场景下，对于一些非关键信息节点，通过设置主话术打断，被回访人可对当前话术进行打断。智能续播打断，无实意表述的打断后的续播,支持被回访人打断满意度回访电话机器人后自动续播。识别后端点设置，识别后端点设置，在机器人节点交互时，被回访人说法后识别的时长设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8、话术预览设置：话术预览设置，在话术编辑完成之后，可通过话术预览来快速进行测试，查看效果，及时调整修改问题。电话预览话术，电话预览话术，通过拨打测试人员号码进行对话测试。</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9、话术跳转设置：关键词填写 关键词填写，通过对上个节点被回访人有可能回答的所有表述进行分类填写、优化，以便电话机器人识别被回访人说法走到下一个正确流程。节点跳转，针对已建立过的流程，可选择某节点进行跳转，电话机器人执行跳转流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模型管理：行业类别设置，支持设置话术的行业类别，选择公安行业语音模型，通过调用公安语音模型提高识别率。发音人设置，针对不同业务场景，支持选择相应的音色，如满意度回访场景上，发音人可选择柔和端庄的音色。</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11、发音人定制：定制满意度回访电话机器人语音播报发音人。选择满意度回访场景的发音人，根据话术文本完成声音的录制、剪辑等预处理，基于交互数据训练合成满意度回访发音人合成模型。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12、知识问答：标准问答管理，添加标准问答内容进行编辑修改，补充完善满意度回访场景知识问答内容；可对新添加的标准知识问答进行命名，便于搜索、区分；可删除无用的知识点；可对提交的知识问答进行审核；还可对知识内容进行语音体验。扩展问答管理，"对被回访人满意度回访相似回答进行规整，为满意度回访知识问答提供支撑，提高满意度回访电话机器人识别准确率，实现精准问询被回访人。相近词条编辑包含对相似问法、机器人回答等编辑修改。相似问法编辑，对被回访人同一问题的不同说法进行编辑；机器人回答编辑，可设置针对一问法的机器人回答话术，可设置3个回答话术。"槽管理，设置关键要素信息，用于话术编辑调用。当满意度回访话术节点需要提取被回访人说法关键要素时，需先配置槽名称，然后在语义界面进行槽标注，最后在话术编辑界面调取提槽信息和话术配置工作。包含已创建的槽名称信息，可对其进行编辑、删除；可新建槽名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13、话务配置：电话外呼，实现电话机器人外呼话务。电话机器人和被回访人通过自然方式进行沟通，识别被回访人语音内容，按照对应流程询问，完成外呼话务。呼出配置，可设定电话机器人线路，配置话术模版；支持对话术的更换，可修改绑定线路的话术；支持解除线路和话术的绑定。</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14、任务调度：任务调度管理，展示电话机器人外呼的话务，直观展现话务情况，包含任务创建及历史任务展示。任务创建，支持创建新的电话机器人任务，选择相应话术模版、发音人、创建外呼等，创建后，支持展示创建的任务情况。号码拦截策略，针对创建的临时任务，支持临时任务号码拦截策略，实现频繁重复号码的过滤。紧急任务优先外呼，针对创建的紧急任务，支持优先外呼功能，可优先外呼当前紧急任务下的预警数据。黑名单管理： "1、支持创建黑名单，设置黑名单的时效；2、支持对黑名单进行下载、编辑和删除；3、支持对黑名单进行搜索，包含客户号码、有效开始日期、有效结束日期筛选项。"实时任务监控，可查看当前任务，展示当前未结束的任务，包括已完成通话数及通话详细信息、未完成通话及号码，通话详细信息包括呼入号码、呼入时间、通话时长、通话结果及未接通原因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历史任务监控，"展示机器人已完成的任务。1、报表导出，查看历史任务详情，包含呼入号码、呼入时间、节点名称、识别结果、命中节点等内容；2、识别详情查看，可查看电话机器人与被回访人交互流程及转写详细信息；3、录音查看，可对交互的录音下载或在线听取；4、历史任务展示，展示任务名称、任务类型、开始时间、结束时间、总呼叫轮数、号码量、任务量、总呼叫量、接听量、接通量、结束原因等信息，支持对单条历史任务进行报表下载功能；5、支持按任务名称、开始日期、结束日期、结束原因等信息对历史任务进行筛选。"线路运行监控，监控管理电话机器人线路使用情况，包含接入网关信息、线路状态、并发数等信息展示。接入网关信息展示，可查看查看接入的网关ip信息；线路状态查看，监控管理电话机器人状态，分为“使用中”和“空闲中”；并发数展示，可查看电话机器人并发数。坐席授权控制，支持通过管理平台控制线路并发，实现平台级外呼并发控制，实现外呼话务并发路数的管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15、通话分析：数据总览： "1、统计电话机器人外呼数据，包含号码量、呼叫量、接通量、平均通话时长、通话总时长；2、支持按通话时长和对话轮次，对电话机器人外呼数据情况进行分类统计；3、支持按开始日期、结束日期、话术对电话机器人外呼数据情况进行筛选。"通话量趋势，展示特定时间范围下电话机器人外呼数量的趋势变化以及用户量的趋势变化，以折线图的形式进行展示，并支持单个展示。运营统计，统计电话机器人与被回访人通话过程中各节点的识别通过率情况，为后续节点话术优化提供依据。数据报表，支持上传数据报表，上传后，以列表的形式进行展示，包含文件名、上传时间的展示。支持按上传时间进行排序，支持删除数据报表。支持按开始时间和结束时间查询数据报表。数据搜索，提供电话机器人话单、录音、交互的实时检索，为电话机器人的日常业务提供高效率、低延迟的数据服务。</w:t>
            </w:r>
          </w:p>
        </w:tc>
        <w:tc>
          <w:tcPr>
            <w:tcW w:w="6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C9E180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5D0BE4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8ABA4A">
            <w:pPr>
              <w:rPr>
                <w:rFonts w:hint="eastAsia" w:ascii="宋体" w:hAnsi="宋体" w:eastAsia="宋体" w:cs="宋体"/>
                <w:i w:val="0"/>
                <w:color w:val="auto"/>
                <w:sz w:val="21"/>
                <w:szCs w:val="21"/>
                <w:highlight w:val="none"/>
                <w:u w:val="none"/>
              </w:rPr>
            </w:pPr>
          </w:p>
        </w:tc>
      </w:tr>
      <w:tr w14:paraId="623E3B47">
        <w:tblPrEx>
          <w:shd w:val="clear" w:color="auto" w:fill="auto"/>
          <w:tblCellMar>
            <w:top w:w="0" w:type="dxa"/>
            <w:left w:w="0" w:type="dxa"/>
            <w:bottom w:w="0" w:type="dxa"/>
            <w:right w:w="0" w:type="dxa"/>
          </w:tblCellMar>
        </w:tblPrEx>
        <w:trPr>
          <w:trHeight w:val="600" w:hRule="atLeast"/>
        </w:trPr>
        <w:tc>
          <w:tcPr>
            <w:tcW w:w="681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F6B928">
            <w:pPr>
              <w:keepNext w:val="0"/>
              <w:keepLines w:val="0"/>
              <w:widowControl/>
              <w:suppressLineNumbers w:val="0"/>
              <w:jc w:val="left"/>
              <w:textAlignment w:val="center"/>
              <w:rPr>
                <w:rFonts w:hint="eastAsia" w:ascii="宋体" w:hAnsi="宋体" w:eastAsia="宋体" w:cs="宋体"/>
                <w:b/>
                <w:i/>
                <w:iCs/>
                <w:color w:val="auto"/>
                <w:sz w:val="21"/>
                <w:szCs w:val="21"/>
                <w:highlight w:val="none"/>
                <w:u w:val="single"/>
              </w:rPr>
            </w:pPr>
            <w:r>
              <w:rPr>
                <w:rFonts w:hint="eastAsia" w:ascii="宋体" w:hAnsi="宋体" w:eastAsia="宋体" w:cs="宋体"/>
                <w:b/>
                <w:i w:val="0"/>
                <w:iCs w:val="0"/>
                <w:color w:val="auto"/>
                <w:kern w:val="0"/>
                <w:sz w:val="21"/>
                <w:szCs w:val="21"/>
                <w:highlight w:val="none"/>
                <w:u w:val="none"/>
                <w:lang w:val="en-US" w:eastAsia="zh-CN" w:bidi="ar"/>
              </w:rPr>
              <w:t>四、村居地空一体式巡防管控</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20010E">
            <w:pPr>
              <w:jc w:val="center"/>
              <w:rPr>
                <w:rFonts w:hint="eastAsia" w:ascii="宋体" w:hAnsi="宋体" w:eastAsia="宋体" w:cs="宋体"/>
                <w:i w:val="0"/>
                <w:color w:val="auto"/>
                <w:sz w:val="21"/>
                <w:szCs w:val="21"/>
                <w:highlight w:val="none"/>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B53CCD">
            <w:pPr>
              <w:jc w:val="center"/>
              <w:rPr>
                <w:rFonts w:hint="eastAsia" w:ascii="宋体" w:hAnsi="宋体" w:eastAsia="宋体" w:cs="宋体"/>
                <w:i w:val="0"/>
                <w:color w:val="auto"/>
                <w:sz w:val="21"/>
                <w:szCs w:val="21"/>
                <w:highlight w:val="none"/>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D1790B">
            <w:pPr>
              <w:rPr>
                <w:rFonts w:hint="eastAsia" w:ascii="宋体" w:hAnsi="宋体" w:eastAsia="宋体" w:cs="宋体"/>
                <w:i w:val="0"/>
                <w:color w:val="auto"/>
                <w:sz w:val="21"/>
                <w:szCs w:val="21"/>
                <w:highlight w:val="none"/>
                <w:u w:val="none"/>
              </w:rPr>
            </w:pPr>
          </w:p>
        </w:tc>
      </w:tr>
      <w:tr w14:paraId="74B31817">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2A315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92C078F">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无人机便携式车载机场平台</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7A03853">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1.产品尺寸≤600×500×300mm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2.产品重量≤9.5kg</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3.工作温度：-20～60摄氏度</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4.工作湿度：20～90%RH</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5.额定功率≤600W</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6.输入电压：220V</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★7.飞行器电池同时充电数量≥5个（需提具有合法正规资质的供检测报告并加盖投标人公章）</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8.防护等级≥IP67</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9.独立电池供电系统容量≥2000瓦时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10.输出：交流电 220 伏至 240 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11.最大输出功率≥2000瓦</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12.支持车载充电、市电、光伏电</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13.根据车型大小定制部署车载起降精准平台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14.支持定制固定安装支架</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06812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474C3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42B8A7">
            <w:pPr>
              <w:rPr>
                <w:rFonts w:hint="eastAsia" w:ascii="宋体" w:hAnsi="宋体" w:eastAsia="宋体" w:cs="宋体"/>
                <w:i w:val="0"/>
                <w:color w:val="auto"/>
                <w:sz w:val="21"/>
                <w:szCs w:val="21"/>
                <w:highlight w:val="none"/>
                <w:u w:val="none"/>
              </w:rPr>
            </w:pPr>
          </w:p>
        </w:tc>
      </w:tr>
      <w:tr w14:paraId="1E183D80">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6A314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26AEE57">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无人机遥控远程操控模块</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973DE96">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1.设备接入 4G 网络，实现联网、增强图传等多项功能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2.支持 ASDIV（发射天线选择）</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3.电池容量≥4000 毫安时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4.电压≥7 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5.精准起降场模块，尺寸≤60*60cm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6.支持识别图案精准降落</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1DB41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2E844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DB91CF">
            <w:pPr>
              <w:rPr>
                <w:rFonts w:hint="eastAsia" w:ascii="宋体" w:hAnsi="宋体" w:eastAsia="宋体" w:cs="宋体"/>
                <w:i w:val="0"/>
                <w:color w:val="auto"/>
                <w:sz w:val="21"/>
                <w:szCs w:val="21"/>
                <w:highlight w:val="none"/>
                <w:u w:val="none"/>
              </w:rPr>
            </w:pPr>
          </w:p>
        </w:tc>
      </w:tr>
      <w:tr w14:paraId="3B7D63C4">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20B77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D3113BF">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无人机侦测系统</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4A53C14">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 无源侦测：应为无源侦测，在侦测状态下,应不主动发射无线信号。</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 侦测定位结果显示：应能通过协议解析方式对无人机进行定位，定位到无人机后能在侦测列表实时显示无人机品牌型号、SN码、工作频率、信号强度、经纬度坐标（示值精确到小数点后6位）、方位、距离、飞行高度、飞行速度以及遥控器（飞手）经纬度坐标等信息；定位到无人机后，应能在电子地图上显示无人机位置图标和飞行轨迹、遥控器（飞手）位置图标、起航点以及无人机处于不同颜色区域范围时的危险等级。（需提供检测报告并加盖投标人公章）</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 频谱侦测：26MHz～6GHz。</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 重点侦测频段：330MHz、433MHz、800MHz、840MHz～900MHz、915MHz、933MHz、1.1GHz～1.3GHz、1.4GHz、1.5GHz、1.8GHz、2.4GHz～2.5GHz、3.3GHz、3.5GHz、4.9GHz、5.1GHz～5.9GHz。</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 频谱测向：具有频谱测向功能，单站测向模式下侦测到无人机时应能在侦测列表显示大疆、道通及DIY无人机方位信息，并支持在电子地图上通过扇形显示无人机大致方位。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 重点频段测向功能：测向模式下应能侦测识别工作频段为2.4GHz、5.8GHz的无人机信号。</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 测向距离：在无明显雨、雪、雾天气的环境（无明显遮挡、无明显电磁干扰）条件下，通过频谱侦测方式对无人机进行测向的距离应≥5km。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 侦测定位距离：在无明显雨、雪、雾天气的环境（无明显遮挡、无明显电磁干扰）条件下，通过协议解析方式对无人机的定位距离应≥5km。（需提供具有合法正规资质的检测报告并加盖投标人公章）</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 DIY无人机侦测结果显示功能：能侦测工作频段为433MHz、868MHz、915MHz、1.3GHz、5.8GHz的DIY无人机；能通过侦测列表实时显示目标DIY无人机的工作频率、发现时间、图传画面截图等信息。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 RID信号侦测：应能识别Wi-Fibeacon、BT4等协议的RID信号。</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 RID信号接收识别功能：能接收无人机的RID信号，并能显示识别结果，包括无人机SN码、无人机经纬度（示值显示到小数点后6位）、遥控器（飞手）经纬度（示值显示到小数点后6位）、工作频率、高度等信息。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12. RID信号接收识别距离：在无明显遮挡、无明显电磁干扰的条件下，能接收并识别到无人机RID信号的最大距离应≥1km。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13. 精准识别：能侦测、识别并区分多架同品牌、同型号、同频段的无人机，能分别显示各无人机的SN码。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14. 侦测高度：在通视条件下，能侦测到飞行高度为0m-1500m的无人机。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15. 侦测响应时间：无人机与遥控器处于连接状态时，从开启侦测功能至指控软件报警所需时间应≤0.5s。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16. 侦测成功率：在无明显遮挡、无明显电磁干扰条件下，侦测成功率应≥99%，识别成功率应≥99%。</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17. 侦测灵敏度：≤-108dBm。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18. 同时侦测数量：能同时侦测并识别无人机的数量应≥40架，其中非大疆品牌无人机数量应≥10架，品牌数量≥10种；能同时侦测并识别非大疆品牌遥控器的数量应≥15个，型号应≥10种。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19. 多目标轨迹跟踪定位：具备多目标轨迹同时定位、跟踪和显示能力，同时侦测定位到多个目标时应能通过不同颜色区分不同架次无人机的飞行轨迹，并显示遥控器（飞手）位置图标；应能显示无人机飞行轨迹，数量应≥30条；能显示遥控器（飞手）与对应无人机的连线，数量应≥30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20. 同一无人机入侵识别：应能识别同一架无人机的多波次入侵并整合该无人机的入侵信息。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21. 通信方式：应能通过有线网络、4G网络、外接光纤收发器等方式接入管控平台。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22. 报警提示功能：侦测到无人机后应能在管控平台通过声音、预警圈边界颜色变化方式进行报警提示。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23. 黑白名单功能：具有黑白名单功能，能通过管理平台将侦测到的无人机加入白名单，侦测到白名单内的无人机（包括多次开关机/起降）时应不触发报警提示；侦测到无人机多次入侵预警圈内后，应能自动为该无人机标记黑名单标识；能对大疆、道通、3DR等品牌无人机及WiFi无人机、DIY无人机、航模等设置加入或移除黑、白名单；应能通过SN码和机型手动添加黑、白名单内的无人机；能批量导入、导出白名单列表；能设置白名单有效期，超出期限后白名单失效。</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24. 指控平台一体机：集成核心处理模块、显示模块及操控模块，核心处理模块搭载高性能8核运算单元及不低于2000TOPS图形算力的专业图形处理单元，配备8TB高速存储模块，满足系统高效运行及数据存储需求；显示模块采用27英寸高清显示面板，清晰呈现各类探测数据及操作界面；操控模块配备专用输入设备，确保操作便捷、精准，整体一体化设计，无需额外外接核心设备，适配系统全功能运行。</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25. 配套供电模块：容量不低于2度电，最大输出功率3000W，支持市电、太阳能、车充三种充电方式，市电充至80%仅需45分钟，具备BMS智能电池管理系统及多重安全防护，可实现0.01秒极速断电切换，支持扩容至22度电，适配户外、应急等多场景供电需求，可与指控平台一体机无缝适配，保障系统持续稳定运行。</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425CE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D9706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62F242">
            <w:pPr>
              <w:rPr>
                <w:rFonts w:hint="eastAsia" w:ascii="宋体" w:hAnsi="宋体" w:eastAsia="宋体" w:cs="宋体"/>
                <w:i w:val="0"/>
                <w:color w:val="auto"/>
                <w:sz w:val="21"/>
                <w:szCs w:val="21"/>
                <w:highlight w:val="none"/>
                <w:u w:val="none"/>
              </w:rPr>
            </w:pPr>
          </w:p>
        </w:tc>
      </w:tr>
      <w:tr w14:paraId="66807E4C">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B882A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75823FF">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便携式无人机察打设备</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763925D">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 电池热插拔功能：支持不连接外接电源时，应能在正常工作状态（探测/干扰）下进行单块电池更换操作，更换过程中应能正常工作。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 持续工作时间：探测模式下持续工作时间应≥6h；全部工作频段持续发射时间应≥20min。</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 频谱探测范围：应能探测频率范围在100MHz～6GHz内的无线信号。</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 重点频段探测功能：能探测识别工作频段400MHz、433MHz、500MHz、760MHz、800MHz、840MHz～933MHz、1.1GHz～1.8GHz、2.1GHz～2.5GHz、3.2GHz～3.8GHz、4.2GHz～4.9GHz、5.1GHz～5.9GHz的无人机信号。（需提供具有合法正规资质的检测报告并加盖投标人公章）</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 DIY无人机探测结果显示功能：能探测到工作频段为433MHz、868MHz、915MHz、1.1GHz、1.3GHz、3.1GHz、5.8GHz的DIY无人机（数传/图传模块），并能通过管控平台实时显示目标DIY无人机（数传/图传模块）的品牌、工作频率、发现时间、图传画面截图等信息；应能将探测到的图传画面截图并存储到事件列表中，支持对截图画面进行查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 解调功能：应能对GFSK、FM、OFDM等调制方式的信号进行解调。</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 探测灵敏度：应能探测到信号强度≤-112dBm的无人机信号（f=2444.5MHz）。</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 探测高度：在通视条件下，能探测到飞行高度为0m的无人机；在无明显遮挡、无明显电磁干扰的条件下，能探测到无人机的高度应≥1300m。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 13.探测角度：角度固定的条件下，探测角度应满足：水平方向：0°～360°；竖直方向：-90°～+90°。</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 探测定位距离：在无明显雨、雪、雾天气的环境（无明显遮挡、无明显电磁干扰）条件下，通过协议解析方式对无人机的探测定位距离应≥5km。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 位置获取准确度：在无明显雨、雪、雾天气的环境（无明显遮挡、无明显电磁干扰）条件下，通过协议解析方式获取的无人机经纬度坐标与无人机实际经纬度坐标的位置误差应≤5m，控器（飞手）经纬度坐标与遥控器（飞手）实际经纬度坐标的位置误差应≤3m；无人机飞行高度与无人机实际飞行高度的平均误差应≤1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12. TDOA定位准确度：在无明显雨、雪、雾天气的环境（无明显遮挡、无明显电磁干扰）条件下，通过TDOA定位方式获取到的无人机经纬度坐标与无人机实际经纬度坐标的位置误差应≤2.5m。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13. 探测定位跟踪速度：应能通过协议解析方式持续探测并定位到移动速度≥26m/s的无人机，并能在电子地图上显示无人机飞行轨迹。</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14. 精准识别功能：应能探测、识别并区分多架同品牌、同型号、同频段的无人机，能分别显示各无人机的唯一产品识别码（或SN）。</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15. 多目标跳频跟踪功能：具有多目标跳频信号跟踪功能，目标无人机改变工作频段后，系统应能自动跟踪、并识别为同一架次无人机，并在电子地图上显示为同一条轨迹；能同时跟踪跳频目标的数量应≥25架。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★16. 干扰功能：驱离和迫降干扰功能，应能通过信号干扰方式干扰无人机的图传链路、飞控链路及导航信号，驱离无人机或使无人机迫降（需无人机支持迫降或返航功能）至少具有7个发射模块，可以组合同时发射。(无线电发射类产品需提供工信部颁发的对应产品无线电发射设备型号核准证，加盖投标人公章)</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17. 干扰模式：支持手动选择模式和自动选择模式，自动选择模式（AUTO模式）下，探测到目标时按下扳机应能根据探测到的目标工作频段自动选取干扰频段并发射。</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18. 发射频段数量：≥7，至少包含以下频段：433MGz、915MHz、2.4GHz、5.2GHz、5.8GHz。</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19. 干扰距离：在无明显雨、雪、雾天气的环境（无明显遮挡、无明显电磁干扰）条件下，有效干扰距离应≥2.5km。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20. 干通比：对无人机进行有效驱离时，无人机与设备之间的距离和无人机与遥控器之间的距离最大比应≥20：1。</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21. 干扰响应时间：从按下扳机至无人机遥控器显示图传信号丢失所需的时间应≤2.5s。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22. 同时干扰数量：应能同时干扰无人机的数量应≥50架；能同时干扰跳频无人机的数量应≥50架。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23. 诱骗发射频段：GPS：1575.42MHz±1.023MHz；GLONASS：1602.0MHz+N×0.5625MHz±0.511MHz，N取-7～6之间的整数；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24. 诱骗响应时间：在无明显遮挡、无明显电磁干扰的条件下，从启动诱骗至遥控器显示无人机导航卫星数量为0所需的时间应≤3S。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25. 同时诱骗无人机数量：能同时诱骗的无人机数量应≥45架。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26. 接口协议：应能提供接入API协议说明文件。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27. 无人机识别库机型数量：应能查看可支持机型列表，无人机识别库内的无人机型号应≥1000种，其中品牌数量≥250个。</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28. 黑白名单功能：具有黑白名单功能，无需使用无线电信标、识别卡等第三方固件，能通过管控平台将探测到的无人机加入或移出黑、白名单，探测到白名单内的无人机时应不触发报警提示；自定义设置天数内探测到无人机入侵预警圈内的次数达到规定次数时，应能自动为该无人机标记黑名单标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29. 外壳防护等级：IP65。</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76BB7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3CFE0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8996D4">
            <w:pPr>
              <w:rPr>
                <w:rFonts w:hint="eastAsia" w:ascii="宋体" w:hAnsi="宋体" w:eastAsia="宋体" w:cs="宋体"/>
                <w:i w:val="0"/>
                <w:color w:val="auto"/>
                <w:sz w:val="21"/>
                <w:szCs w:val="21"/>
                <w:highlight w:val="none"/>
                <w:u w:val="none"/>
              </w:rPr>
            </w:pPr>
          </w:p>
        </w:tc>
      </w:tr>
      <w:tr w14:paraId="2BB7C912">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0D07D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0DC3D95">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无人安防巡逻无人车</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5D9AEAB">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1.机器人基础配置：主控模块、运动模块、电源管理、L4自动驾驶模块、避障模块；</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2.整体尺寸：不少于3724*1424*2180mm，货箱体积:不小于 5.3立方，防护等级IP55；</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3.电池容量：不少于28.3KWh</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4.运动能力：最小转弯半径4.5m,最大涉水深度300mm，最大爬坡度11.3°，最大速度40km/h；</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5.续航能力：空载续航里程260km，城市综合续航里程180km；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6.载重能力：载重不少于740kg；</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★7.硬件配套：220V快充32A，6.6kw充电枪2个，需定制插座、改6A以上电线，手持式摄影装备*3</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★8.含五年FSD系统、质保、保险</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9.全景巡视填系统主机：前端系统主机R300A，不含100G/月物联网卡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★10.一体化云台：一路400W可见光高清摄像机、4路全景、1路256W高精度热成像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11.SOS对讲套件：四麦、SOS按钮、摄像头、铝合金面板</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12.低功耗大模型主机：4G+32G</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13.高亮显示屏：不小于49寸，2000cd亮度，HDMI接口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14.传感器套件：含温湿度传感器、PM2.5、噪声传感器、铝合金面板</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15.继电器组：8继电器组/配保险片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16.小警灯：电压12伏 /红色、蓝色各6个</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17.LED灯：12V双排高亮50CM乳白罩款1个</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18.有源音箱：300V功放+90W防水单柱*2</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19.变压器：48V-120V转12V/40A</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20.UPS电源：12V10Ah-三元锂电池</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21.风扇：白色-205侧装换气扇全套-12V强风款2个</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22.钣金件：百叶窗盖板、顶部固定座、盖板A、气体探头固定座、云台支柱、云台转接座、配电箱体、配电箱盖、箱内钣金等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23.安装配件及辅料：电气连接器、电线、704硅胶、螺钉，定制化车身份LOGO等"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24.对机器人实现整体管理和控制、告警管理、数据信息存储、数据报表等功能。实现机器人实时音视频监控、录像查看、告警查看、远程控制、巡逻路线绘制、报表查询等功能。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25.机器人可设置发现人体及时告警，支持红外热成像仪进行夜间识别人体。支持人脸车牌抓拍、夜间人体检测、人脸识别、车辆识别、热源火焰识别、吸烟识别</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★26.警用巡逻机器人高清视频、抓拍人脸图片、车牌图片，通过国标协议对接至公安视频网业务平台</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F0CA8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54786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CCB0DE">
            <w:pPr>
              <w:rPr>
                <w:rFonts w:hint="eastAsia" w:ascii="宋体" w:hAnsi="宋体" w:eastAsia="宋体" w:cs="宋体"/>
                <w:i w:val="0"/>
                <w:color w:val="auto"/>
                <w:sz w:val="21"/>
                <w:szCs w:val="21"/>
                <w:highlight w:val="none"/>
                <w:u w:val="none"/>
              </w:rPr>
            </w:pPr>
          </w:p>
        </w:tc>
      </w:tr>
      <w:tr w14:paraId="486FA219">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D11A8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D7336F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自动机场1</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75D9741">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1.整机重量≤200千克（不包含飞行器）。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2.舱盖开启尺寸（长×宽 ×高）≤长2000毫米，宽900毫米，高800毫米。</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3.基建部署：防水淹、防雷、设置缓冲区和安全护栏、备降点及标识牌</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4.防护等级≥IP54。</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5.可收纳飞行器数量：1台。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6.自动机场定位模块：单北斗</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7.输入电压：100~240V AC。</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8.无人机供电方式:自动无人机充电。</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9.充电时间:≤60分钟</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10.机场监控：自带外置摄像头。</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11.空调系统：自带空调系统。</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12.传感器：风速传感器、雨量传感器：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13.小型备用电池：自带备用电源（ups），待机≥2.5小时。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14.停机坪尺寸≤1平方米</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15.无人机尺寸≤长400毫米，宽500毫米，高250毫米（不含桨叶）。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16.（无人机＋负载）起飞重量≥1500克。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17.降落保护触发方式：姿态/失重/落速/遥控、最大保护重量≤2kg</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18.飞行时间:≥45 分钟</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19.飞行海拔高度:≥4000米</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★20.侦测范围：≥1km（需提供具有合法正规资质的检测报告并加盖投标人公章）</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21.飞行器自带RTK模块</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22.飞行器定位模块：单北斗</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★23.机臂灯光颜色：红蓝（需提供</w:t>
            </w:r>
            <w:r>
              <w:rPr>
                <w:rFonts w:hint="eastAsia" w:ascii="宋体" w:hAnsi="宋体" w:eastAsia="宋体" w:cs="宋体"/>
                <w:i w:val="0"/>
                <w:iCs w:val="0"/>
                <w:color w:val="auto"/>
                <w:kern w:val="0"/>
                <w:sz w:val="21"/>
                <w:szCs w:val="21"/>
                <w:highlight w:val="none"/>
                <w:u w:val="none"/>
                <w:lang w:val="en-US" w:eastAsia="zh-CN" w:bidi="ar"/>
              </w:rPr>
              <w:t>具有合法正规资质的</w:t>
            </w:r>
            <w:r>
              <w:rPr>
                <w:rFonts w:hint="eastAsia" w:ascii="宋体" w:hAnsi="宋体" w:eastAsia="宋体" w:cs="宋体"/>
                <w:b w:val="0"/>
                <w:bCs w:val="0"/>
                <w:i w:val="0"/>
                <w:iCs w:val="0"/>
                <w:color w:val="auto"/>
                <w:kern w:val="0"/>
                <w:sz w:val="21"/>
                <w:szCs w:val="21"/>
                <w:highlight w:val="none"/>
                <w:u w:val="none"/>
                <w:lang w:val="en-US" w:eastAsia="zh-CN" w:bidi="ar"/>
              </w:rPr>
              <w:t>检测报告并加盖投标人公章）</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24.照明方式：常亮、爆闪、有效照明面积≥500平方米</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25.设备接入 4G 网络，可实现控制与画面传输</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26.负载镜头：可见光有效像素：1200万及以上，自带变焦相机、红外相机、激光测距</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27.航天无人机IP防护等级：≥IP55</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28.支持4G通讯链路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29.有效广播距离≥300米、支持支持实时喊话、录音喊话、媒体导入、文字转语音</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30.保障服务：服务期内每年无人机及无人机自动机场不限次数的免费维修额度≥8万</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84106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F6771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EED949">
            <w:pPr>
              <w:rPr>
                <w:rFonts w:hint="eastAsia" w:ascii="宋体" w:hAnsi="宋体" w:eastAsia="宋体" w:cs="宋体"/>
                <w:i w:val="0"/>
                <w:color w:val="auto"/>
                <w:sz w:val="21"/>
                <w:szCs w:val="21"/>
                <w:highlight w:val="none"/>
                <w:u w:val="none"/>
              </w:rPr>
            </w:pPr>
          </w:p>
        </w:tc>
      </w:tr>
      <w:tr w14:paraId="64B24B6C">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AB580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DD4A52B">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自动机场2</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E3279A3">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无人值守鹰巢</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1、整机重量≤56kg。</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2、外形尺寸≤长 666 毫米，宽 750 毫米，高 800 毫米。</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3、工作环境温度：-30至50℃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4、最大允许降落风速不低于：12m/s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5、最大运行海拔高度不低于：4500m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6、单北斗定位：支持单北斗定位模式。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7、4G接入：支持增强图传模块。</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8、需要内置风速传感器，内置雨量传感器，内置环境温度传感器，内置水浸传感器，内置舱内温度传感器，内置舱内湿度传感器。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9、★下达任务后，需要14秒内起飞。（需提供具有合法正规资质的检测报告加盖投标人公章证明）</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10、机场集成标识灯，可以用于夜间返航。</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无人机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1、起飞重量（含电池、普通桨叶和 microSD 卡、无配件）≤1855g，最大起飞重量≥2005g。</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2、折叠后尺寸（长×宽×高）≤381×420×220mm，对角线轴距≤500 mm。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3、最长飞行时间≥53.5分钟。</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4、最大可抗风速≥12m/s，防护等级不低于：IP55。</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5、★单北斗定位：支持单北斗定位模式，支持执行航点航线、面状航线等各类航线任务。（需提供具有合法正规资质的检测报告复印件加盖投标人公章证明）</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6、GNSS定位悬停精度：垂直≤0.5 m，水平≤0.5 m，RTK定位悬停精度：垂直≤0.1 m，水平≤0.1 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7、最大起飞海拔高度：≥6500 米。</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8、最大上升速度不低于：10 m/s（运动挡），最大下降速度不低于：8m/s（运动挡）。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9、RTK：RTK集成在无人机上。</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10、具有长焦可见光、中长焦可见光、广角可见光和红外热成像相机，参数要求：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广角相机CMOS：1/1.3英寸，广角相机像素：有效像素：≥4800万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中长焦相机CMOS： 1/1.3英寸，中长焦相机像素：有效像素：≥4800万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长焦相机CMOS：1/1.5英寸，长焦相机像素：像素数：≥4800万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可见光相机变焦倍数：≥112倍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红外传感器分辨率：≥640*512，超分模式≥1280*1024，红外传感器帧率：30 Hz</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11、变焦方式：支持可见光与红外热成像联动变焦，最大28倍。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12、可见光相机视频：可见光相机支持4k30p视频录制，支持可见光照片中记录激光测距获取的距离和地理位置坐标，可见光支持人车船目标的AI识别。</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13、含6块电池、4G增强图传模块、流量卡、喊话器、红蓝爆闪灯、智能应急伞降、落水漂浮装置、第三方责任险、机身保险、含5年机场网络专用链路</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990C6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33F98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1C853D">
            <w:pPr>
              <w:rPr>
                <w:rFonts w:hint="eastAsia" w:ascii="宋体" w:hAnsi="宋体" w:eastAsia="宋体" w:cs="宋体"/>
                <w:i w:val="0"/>
                <w:color w:val="auto"/>
                <w:sz w:val="21"/>
                <w:szCs w:val="21"/>
                <w:highlight w:val="none"/>
                <w:u w:val="none"/>
              </w:rPr>
            </w:pPr>
          </w:p>
        </w:tc>
      </w:tr>
      <w:tr w14:paraId="3EE0CE6D">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2D839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134E26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音频接口</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2D1C90E">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1、18进8出的USB2.0音频接口，精度为24bit/96kHz</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2、产品同时支持PC、Mac和iPad</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3、产品具有XLR/TRS混合输入接口，四话放，可录制线路信号和高阻乐器，带48V幻象供电</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4、产品具有2个线路输出接口，4个线路输入接口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5、产品具有立体声S/PDIF数字同轴输入和输出接口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6、产品具有一个ADAT数字光纤输入</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7、产品具有双耳机输出，带独立的耳机音量旋钮</w:t>
            </w:r>
            <w:r>
              <w:rPr>
                <w:rFonts w:hint="eastAsia" w:ascii="宋体" w:hAnsi="宋体" w:eastAsia="宋体" w:cs="宋体"/>
                <w:i/>
                <w:iCs/>
                <w:color w:val="auto"/>
                <w:kern w:val="0"/>
                <w:sz w:val="21"/>
                <w:szCs w:val="21"/>
                <w:highlight w:val="none"/>
                <w:u w:val="single"/>
                <w:lang w:val="en-US" w:eastAsia="zh-CN" w:bidi="ar"/>
              </w:rPr>
              <w:br w:type="textWrapping"/>
            </w:r>
            <w:bookmarkStart w:id="211" w:name="OLE_LINK5"/>
            <w:r>
              <w:rPr>
                <w:rFonts w:hint="eastAsia" w:ascii="宋体" w:hAnsi="宋体" w:eastAsia="宋体" w:cs="宋体"/>
                <w:i/>
                <w:iCs/>
                <w:color w:val="auto"/>
                <w:kern w:val="0"/>
                <w:sz w:val="21"/>
                <w:szCs w:val="21"/>
                <w:highlight w:val="none"/>
                <w:u w:val="single"/>
                <w:lang w:val="en-US" w:eastAsia="zh-CN" w:bidi="ar"/>
              </w:rPr>
              <w:t>8、产品具有超低延迟DSP调音台软件</w:t>
            </w:r>
            <w:bookmarkEnd w:id="211"/>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C7DDA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92FB4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DCA8BD">
            <w:pPr>
              <w:rPr>
                <w:rFonts w:hint="eastAsia" w:ascii="宋体" w:hAnsi="宋体" w:eastAsia="宋体" w:cs="宋体"/>
                <w:i w:val="0"/>
                <w:color w:val="auto"/>
                <w:sz w:val="21"/>
                <w:szCs w:val="21"/>
                <w:highlight w:val="none"/>
                <w:u w:val="none"/>
              </w:rPr>
            </w:pPr>
          </w:p>
        </w:tc>
      </w:tr>
      <w:tr w14:paraId="65FC3792">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84CC2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1B270C7">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有源监听音箱</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1CDC919">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 xml:space="preserve">功率消耗：空闲：25 W / 最大：200 W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放大器功率：高音扬声器: 100 W / 低音扬声器: 100 W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谐振频率：49 Hz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箱体内部容积：9,5 升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低音原理：低频倒相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分频频率：2200 Hz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分频斜率：24 dB每八度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高音扬声器：Esotec 28 mm 软穹形, 后舱式, 磁性流体. 4 mm印模压铸铝制前板,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低音扬声器：17 cm, 75 mm 纯铝线音圈, 一体成型聚丙烯锥体 </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B4811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DAFB1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33C54F">
            <w:pPr>
              <w:rPr>
                <w:rFonts w:hint="eastAsia" w:ascii="宋体" w:hAnsi="宋体" w:eastAsia="宋体" w:cs="宋体"/>
                <w:i w:val="0"/>
                <w:color w:val="auto"/>
                <w:sz w:val="21"/>
                <w:szCs w:val="21"/>
                <w:highlight w:val="none"/>
                <w:u w:val="none"/>
              </w:rPr>
            </w:pPr>
          </w:p>
        </w:tc>
      </w:tr>
      <w:tr w14:paraId="1FFF56AC">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45583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5739328">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监听耳机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78F0EDD">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1、封闭式动圈耳机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2、头戴护耳式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3、单元直径：40mm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4、频响范围为：10-25000Hz</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5、灵敏度为：96dB</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6、阻抗为：32Ω插头类型：I直型</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C4138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A5FC6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4A4C0E">
            <w:pPr>
              <w:rPr>
                <w:rFonts w:hint="eastAsia" w:ascii="宋体" w:hAnsi="宋体" w:eastAsia="宋体" w:cs="宋体"/>
                <w:i w:val="0"/>
                <w:color w:val="auto"/>
                <w:sz w:val="21"/>
                <w:szCs w:val="21"/>
                <w:highlight w:val="none"/>
                <w:u w:val="none"/>
              </w:rPr>
            </w:pPr>
          </w:p>
        </w:tc>
      </w:tr>
      <w:tr w14:paraId="24A3A71F">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5589E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08639F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视频数据处理系统</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33B4AE9">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一软件功能要求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1、重采样系统应支持改变数字语音信号的采样率。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多格式音频文件处理1）系统应支持多种格式音频文件导入，支持单次导入多种不同的格式文件，并输出采样精度为16bit的wav音频格式；2）系统应支持导入的音频格式：wav、m4a、mp3、mp2、amr、wma、adu、silk、aiff、pcm、vox、aac、 3ga、ape、flac、m4r、mmf、ogg、VYF；3）系统应支持将立体声音频文件进行左右声道分离，并输出左声道和右声道音频文件；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3、多格式视频文件处理1）系统应支持多种格式视频文件导入，并从视频文件中提取音频，输出采样精度为16bit的wav音频格式；2）系统应支持导入的视频格式： flv、mkv、mov、vob、3gp、wmv、avi、mp4、rmvb；3）系统应支持输出为左声道、右声道和混合声道音频文件；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案件管理1）系统应支持对待处理的案件进行管理，包括本地新建案件和声纹库案件的拉取、打开、重命名、删除等操作；2）系统应支持当案件较多时，支持通过关键字在案件列表中快速搜索案件；3）系统支持获取案件详情和涉案语音文件属性；</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5、录音1）系统应支持新建空白文件，并可选择8kHz、16 kHz、32 kHz、44.1 kHz的采样率进行录音，生成wav文件。2）系统应支持接入麦克风进行录音。</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6、大文件处理系统应支持导入大小为1GB的音频文件和4GB的视频文件。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7、查看文件属性详情系统应支持查看源文件属性，包括：文件大小与时长、采样率与采样精度、声道、编码格式、文件格式、CRC32编码、SHA1编码、MD5编码属性；</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8、文件及语音编辑1）系统应支持对文件及语音的剪切、复制、粘贴、删除、切片、撤销和恢复操作；2）系统应支持在语谱图上进行横选、竖选、框选等操作；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9、语音播放系统应支持对语音或选区进行播放、暂停、停止、循环、倍速播放（倍速播放的调节范围0.5-2.0），同时支持对多个文件的选区轮循播放；并支持鼠标左键暂定播放；</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10、滚屏方式系统应支持在语音播放时采用匀速移动、翻屏移动、光标不滚动、光标固定在左边、光标固定在右边等 5 种播放滚屏方式；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11、语谱图展示系统应支持以波形图、宽带图等语音信号多窗口展示方式；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12、语谱图缩放1）系统应支持对语谱图按时间维度进行横向缩放和按频率维度进行纵向缩放；2）系统应支持对选区放大和还原，并一键还原至缩放前状态；3）系统应支持对语音按百分比缩放，可以通过鼠标滚轮进行缩放；</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13、语谱图可视化分析1）系统应支持多个窗口平铺展示，并支持将语音文件拖至相应窗口进行相互比对和分析；2）系统应支持在语音文件比对模式下，支持对文件放大后的局部位置进行对齐查看，并可独立切换或联动切换不同的语谱图进行比对，窗口数量可以自定义增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14、自适应降噪系统应支持分析语音中的噪声，通过噪声处理引擎进行一键式滤波降噪，噪音抑制深度设置范围在（-36~-3）dB之间；</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15、语音增益系统应支持对微弱的语音进行放大同时抑制背景噪音，可选择对一段语音或整条语音文件做增强或衰减，增益可调整范围在（-96~48）dB之间；</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16、语音拼接系统应支持将相同采样率的多条语音片段进行拼接，合成一条新的语音。</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17、与声纹库对接1）系统应支持默认读取声纹数据库最新的10个案件（默认读取数量可后台配置）在客户端进行展示，超过默认数量的案件不做展示，可通过搜索框输入案件名称或案件编号进行搜索，实现数据在线拉取。2）系统应支持将本地录入的案件信息及音频注册至声纹数据库系统中，实现数据的在线传输3）系统应支持将处理后的检材推送到声纹数据库系统中进行声纹比对；</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18、一键处理系统应支持将未明确角色数量的批量语音数据，通过一键处理功能，实现角色分类，并形成单人单条的语音文件。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19、声纹聚类系统应支持对批量语音中的特征向量进行聚类，将相同类别的特征聚为一类，不同类别的特征分为不同类。在1万条电话同信道语音，平均时长1分钟，效果达到平均说话人纯度应≥90%、平均类纯度＞≥90%多源数据处理系统主机要求，数量：一台5380（16C 2.5GHz）*1/32G DDR4*2/480G SSD*1/4T SATA*1/双口千兆/GT710-2G*1/800W*2/原厂三年质保，点距：0.23mm，亮度：300cd/m²，曲面屏，分辨率:3440*1440，曲率:1500R,HDR：HDR10，面板：VA，屏幕比例：21:9，对比度：3000:1</w:t>
            </w:r>
          </w:p>
        </w:tc>
        <w:tc>
          <w:tcPr>
            <w:tcW w:w="61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154B96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3BA9C1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8EFDDF">
            <w:pPr>
              <w:rPr>
                <w:rFonts w:hint="eastAsia" w:ascii="宋体" w:hAnsi="宋体" w:eastAsia="宋体" w:cs="宋体"/>
                <w:i w:val="0"/>
                <w:color w:val="auto"/>
                <w:sz w:val="21"/>
                <w:szCs w:val="21"/>
                <w:highlight w:val="none"/>
                <w:u w:val="none"/>
              </w:rPr>
            </w:pPr>
          </w:p>
        </w:tc>
      </w:tr>
      <w:tr w14:paraId="6F255EA4">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4279E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540635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音频对录仪</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9D414EC">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功能要求：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 有线转录方式：设备支持通过标准音频接口有线传输方式从音频设备中获取有效语音信息的功能。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 实时通话转录：具有对微信、QQ等通讯APP实时通话语音进行转录。</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 平台对接：对接涉案语音处理平台、鉴定工作站等进行语音转录。</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 设备内置电池，支持便携式采集。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技术指标：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 采集语音格式：PCM WAV，单声道，16位量化精度；</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 采样率：16kHz采样率；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 设备接口：设备转录接口兼容TYPE-C、Lightning、CTIA3.5mm、OMTP3.5mm等标准接口；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 兼容平台：系统兼容Android、windows7、windows10等系统平台。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 设备免驱：设备免驱，即插即用。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 稳定性要求：产品能支持连续8小时进行稳定地语音转录工作。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 转写准确率：用于从音频设备中获取有效语音信息，可实现目标语音无损翻录、目标语音导出等功能，转录后的语音与原始语音比对，准确率≥90%。</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 高温贮存：温度60±2℃，持续时间2h，样机处于非工作章台，试验后样机应能正常工作。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 低温贮存：温度-10±3℃，持续时间2h，样机处于非工作章台，试验后样机应能正常工作。</w:t>
            </w:r>
          </w:p>
        </w:tc>
        <w:tc>
          <w:tcPr>
            <w:tcW w:w="6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3B44B5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2AAA2B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3B12AB">
            <w:pPr>
              <w:rPr>
                <w:rFonts w:hint="eastAsia" w:ascii="宋体" w:hAnsi="宋体" w:eastAsia="宋体" w:cs="宋体"/>
                <w:i w:val="0"/>
                <w:color w:val="auto"/>
                <w:sz w:val="21"/>
                <w:szCs w:val="21"/>
                <w:highlight w:val="none"/>
                <w:u w:val="none"/>
              </w:rPr>
            </w:pPr>
          </w:p>
        </w:tc>
      </w:tr>
      <w:tr w14:paraId="57B1686A">
        <w:tblPrEx>
          <w:shd w:val="clear" w:color="auto" w:fill="auto"/>
          <w:tblCellMar>
            <w:top w:w="0" w:type="dxa"/>
            <w:left w:w="0" w:type="dxa"/>
            <w:bottom w:w="0" w:type="dxa"/>
            <w:right w:w="0" w:type="dxa"/>
          </w:tblCellMar>
        </w:tblPrEx>
        <w:trPr>
          <w:trHeight w:val="600" w:hRule="atLeast"/>
        </w:trPr>
        <w:tc>
          <w:tcPr>
            <w:tcW w:w="681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56D834">
            <w:pPr>
              <w:keepNext w:val="0"/>
              <w:keepLines w:val="0"/>
              <w:widowControl/>
              <w:suppressLineNumbers w:val="0"/>
              <w:jc w:val="left"/>
              <w:textAlignment w:val="center"/>
              <w:rPr>
                <w:rFonts w:hint="eastAsia" w:ascii="宋体" w:hAnsi="宋体" w:eastAsia="宋体" w:cs="宋体"/>
                <w:b/>
                <w:i/>
                <w:iCs/>
                <w:color w:val="auto"/>
                <w:sz w:val="21"/>
                <w:szCs w:val="21"/>
                <w:highlight w:val="none"/>
                <w:u w:val="single"/>
              </w:rPr>
            </w:pPr>
            <w:r>
              <w:rPr>
                <w:rFonts w:hint="eastAsia" w:ascii="宋体" w:hAnsi="宋体" w:eastAsia="宋体" w:cs="宋体"/>
                <w:b/>
                <w:i w:val="0"/>
                <w:iCs w:val="0"/>
                <w:color w:val="auto"/>
                <w:kern w:val="0"/>
                <w:sz w:val="21"/>
                <w:szCs w:val="21"/>
                <w:highlight w:val="none"/>
                <w:u w:val="none"/>
                <w:lang w:val="en-US" w:eastAsia="zh-CN" w:bidi="ar"/>
              </w:rPr>
              <w:t>五、数据网络安全加固</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900A31">
            <w:pPr>
              <w:jc w:val="center"/>
              <w:rPr>
                <w:rFonts w:hint="eastAsia" w:ascii="宋体" w:hAnsi="宋体" w:eastAsia="宋体" w:cs="宋体"/>
                <w:i w:val="0"/>
                <w:color w:val="auto"/>
                <w:sz w:val="21"/>
                <w:szCs w:val="21"/>
                <w:highlight w:val="none"/>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DB2F02">
            <w:pPr>
              <w:jc w:val="center"/>
              <w:rPr>
                <w:rFonts w:hint="eastAsia" w:ascii="宋体" w:hAnsi="宋体" w:eastAsia="宋体" w:cs="宋体"/>
                <w:i w:val="0"/>
                <w:color w:val="auto"/>
                <w:sz w:val="21"/>
                <w:szCs w:val="21"/>
                <w:highlight w:val="none"/>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44766C">
            <w:pPr>
              <w:rPr>
                <w:rFonts w:hint="eastAsia" w:ascii="宋体" w:hAnsi="宋体" w:eastAsia="宋体" w:cs="宋体"/>
                <w:i w:val="0"/>
                <w:color w:val="auto"/>
                <w:sz w:val="21"/>
                <w:szCs w:val="21"/>
                <w:highlight w:val="none"/>
                <w:u w:val="none"/>
              </w:rPr>
            </w:pPr>
          </w:p>
        </w:tc>
      </w:tr>
      <w:tr w14:paraId="36A6C539">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09823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7AA656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防火墙病毒库升级</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8703E5F">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设备型号：Power V6000-F36DW-Y；设备编号为NT00467602，续费一年防病毒规则库升级、一年IPS规则库升级</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BB411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年</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BE053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F05CA8">
            <w:pPr>
              <w:rPr>
                <w:rFonts w:hint="eastAsia" w:ascii="宋体" w:hAnsi="宋体" w:eastAsia="宋体" w:cs="宋体"/>
                <w:i w:val="0"/>
                <w:color w:val="auto"/>
                <w:sz w:val="21"/>
                <w:szCs w:val="21"/>
                <w:highlight w:val="none"/>
                <w:u w:val="none"/>
              </w:rPr>
            </w:pPr>
          </w:p>
        </w:tc>
      </w:tr>
      <w:tr w14:paraId="6D4B89A0">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49727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611902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WEB应用防护系统（WAF）</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BBC18BF">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设备型号：Leadsec-6000WAF-50ST-M；设备编号为2216112101259999，续费一年特征库升级服务。</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5016F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年</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1C91E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96AA54">
            <w:pPr>
              <w:rPr>
                <w:rFonts w:hint="eastAsia" w:ascii="宋体" w:hAnsi="宋体" w:eastAsia="宋体" w:cs="宋体"/>
                <w:i w:val="0"/>
                <w:color w:val="auto"/>
                <w:sz w:val="21"/>
                <w:szCs w:val="21"/>
                <w:highlight w:val="none"/>
                <w:u w:val="none"/>
              </w:rPr>
            </w:pPr>
          </w:p>
        </w:tc>
      </w:tr>
      <w:tr w14:paraId="2A18A1E9">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874BA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71BB1E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防火墙病毒库升级</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B64E225">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设备型号：Power V6000-F38TH-Y；设备编号为NT00467597，续费一年防病毒规则库升级、一年IPS规则库升级</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C6A80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年</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E78F4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E5369C">
            <w:pPr>
              <w:rPr>
                <w:rFonts w:hint="eastAsia" w:ascii="宋体" w:hAnsi="宋体" w:eastAsia="宋体" w:cs="宋体"/>
                <w:i w:val="0"/>
                <w:color w:val="auto"/>
                <w:sz w:val="21"/>
                <w:szCs w:val="21"/>
                <w:highlight w:val="none"/>
                <w:u w:val="none"/>
              </w:rPr>
            </w:pPr>
          </w:p>
        </w:tc>
      </w:tr>
      <w:tr w14:paraId="2C138371">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0A036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0711B7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入侵防护系统病毒库升级</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DC39AF1">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设备型号：Power V6000-P3510E；设备编号为NT00709013，续费一年防病毒规则库升级、一年IPS规则库升级</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398BC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年</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1F1A6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1107F8">
            <w:pPr>
              <w:rPr>
                <w:rFonts w:hint="eastAsia" w:ascii="宋体" w:hAnsi="宋体" w:eastAsia="宋体" w:cs="宋体"/>
                <w:i w:val="0"/>
                <w:color w:val="auto"/>
                <w:sz w:val="21"/>
                <w:szCs w:val="21"/>
                <w:highlight w:val="none"/>
                <w:u w:val="none"/>
              </w:rPr>
            </w:pPr>
          </w:p>
        </w:tc>
      </w:tr>
      <w:tr w14:paraId="262370B0">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D8086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D9580B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公共电子屏智能防护终端设备（终端安全）</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9C4E019">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Style w:val="228"/>
                <w:rFonts w:hint="eastAsia" w:ascii="宋体" w:hAnsi="宋体" w:eastAsia="宋体" w:cs="宋体"/>
                <w:i/>
                <w:iCs/>
                <w:color w:val="auto"/>
                <w:sz w:val="21"/>
                <w:szCs w:val="21"/>
                <w:highlight w:val="none"/>
                <w:u w:val="single"/>
                <w:lang w:val="en-US" w:eastAsia="zh-CN" w:bidi="ar"/>
              </w:rPr>
              <w:t>1.终端采用ARM架构，硬件核心芯片采用国产化芯片，CPU：八核（4核A76+4核A55) 2.4GHz，内存：4G，存储：32G。</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2.终端应具备AI智能检测审核能力，提供6TOPS算力，能对视频源中所包含的各类型媒体内容，在传输至公共显示屏呈现前，对内容安全进行智能审核。</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3.支持对</w:t>
            </w:r>
            <w:r>
              <w:rPr>
                <w:rFonts w:hint="eastAsia" w:ascii="宋体" w:hAnsi="宋体" w:eastAsia="宋体" w:cs="宋体"/>
                <w:i/>
                <w:iCs/>
                <w:color w:val="auto"/>
                <w:kern w:val="0"/>
                <w:sz w:val="21"/>
                <w:szCs w:val="21"/>
                <w:highlight w:val="none"/>
                <w:u w:val="single"/>
                <w:lang w:val="en-US" w:eastAsia="zh-CN" w:bidi="ar"/>
              </w:rPr>
              <w:t>主流操作系统所输出的播放内容（包含：画中画、弹窗、弹幕等内容）进行检测审核。</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4.终端具备防篡改能力，输入画面为合法合规时，经过终端检测审核后的输出画面应与输入画面保持一致。</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终端支持对视频源内容进行AI智能检测审核，若检测视频源内容中包含违法违规内容（违法违规内容包含：涉黄、涉暴恐、涉政旗帜、敏感人脸、敏感词、涉毒、涉赌等），终端将会自动拦截视频源，将播出画面替换成预置画面（合法合规的自定义预设图片），阻断违法违规内容播放；待检测视频源内容为合法合规时，可自动恢复原视频源内容播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终端支持自定义告警（阻截）持续时间，即信号源内容恢复成合法合规画面时，从拦截状态恢复成正常播放状态的持续时间；当告警（阻截）持续时间设置为0时，检测出信号源内容包含违法违规内容，画面处于持续告警（阻截）状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画面正常后也不会自动恢复，需管理员处置后才可恢复正常播放。</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终端支持将检测到的违法违规内容信息报送至平台，报送信息包含：告警类型、设备名称、位置、告警画面图片等信息，形成完善的告警统计、告警查询、告警详情等审计溯源日志，并可将溯源日志导出生成报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8.终端具备防入侵能力，采用嵌入式Linux系统，与加密通讯，确保终端不易中毒与被入侵；且能够稳定运行，满足24小时不间断检测审核运行需求。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9.终端具备系统运行状态自检测与系统自动恢复运行能力，终端支持实时对系统运行状态进行检测，若终端出现系统宕机，会自动触发重启系统功能，终端将会在1分钟内完成系统重启，恢复成正常运行检测状态。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10.终端内置多套检测模型，模型包含：暴恐模型、色情模型、旗帜模型、人脸模型、文字模型，支持对模型调优，提高检测识别准确率。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终端支持对录制内容进行查看功能，通过可视化界面直接对录制内容进行回放查看，支持调整回放播放速度，支持通过选择起始时间、结束时间筛选已录制内容；支持下载录制画面内容功能，实现对播控事件过程中所播出的完整内容进行溯源与取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12.终端支持无网络检测模式，终端拥有边缘计算能力，无网络情况下，C123终端支持实时对视频源内容进行检测，若出现违法违规内容，终端能够阻断违法违规内容播放。</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终端支持通过有线网络连接或无线WIFI网络连接两种上网模式，实现与管理平台进行通讯，支持通过标准API接口协议与管理平台完成数据交换，完成设备配置功能；支持有线网络连接类型：static和dhcp，支持对WIFI信号进行连接/移除连接操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14.为满足不同网络环境使用需求，终端支持多种网络环境运行：支持有线网络环境，提供≥2*LAN口；支持无线网络环境，提供≥2*Wifi天线接口；支持SIM卡网络环境，提供≥1*SIM CARD 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15.终端支持串口协议对接，若检测出违法违规内容时，终端发送串口协议至播控设备/电源时序器等设备，下达停止播放/设备断电等指令，实现对违法违规内容进行阻截的多重防护，提供≥1*RS485、≥1*RS232接口。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16.终端支持对输入的音视频信号进行视频信号与音频信号分离输出，当检测出违法违规内容时，终端能够同时阻断视频信号与音频信号，提供≥1*AUDIO 接口，≥1*HDMI输入接口，≥1*HDMI输出接口，≥1*DP接口。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17.终端支持通过指示灯查看运行状态，指示灯配置：≥1*WIFI信号灯，≥1*LAN信号灯，≥1*PWR信号灯，≥1*4G信号灯。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18.终端支持通过接口方式对终端进行调试、维护和注册，提供≥1*TYPE-C接口。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19.终端具备毫秒级视频源内容同步能力，支持设置低延迟播放，设置延迟范围为：0-10秒，可应用在会议室、讲座等场景；延迟播放时间设置为0.5秒时，若检测出违法违内容时，阻截反应时间应小于延迟播放时间，实现毫秒级阻断，避免违法违规画面播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20.终端支持对特定场景画面进行放行/阻截，当检测出特定场景放行图像时，此时终端对该画面进行正常放行播放；当检测出特定场景阻截画面时，此时终端对该画面进行拦截阻止播放。</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21.终端支持OCR识别检测不良文本内容，检测能力不受字体、字号、旋转、畸变、下划+C73线、加粗、特殊符号、换行等因素的影响，均能检测出文本内容中的不良内容。</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22.终端最大支持4K@60内标准与非标准分辨率信号源输入检测，支持横屏与竖屏模式输入检测，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识别分辨率包含但不限于3840x2160、2560x1600、1920x1080、1600x900、1024x768、2160x3840、1600x2560、1080x1920、900x1600、768x1024等分辨率的信号源内容，支持显示输入信号源分辨率。"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23.终端支持横屏与竖屏模式检测输出，输出分辨率最大支持4K@60，终端HDMI 输出支持自定义分辨率与刷新率，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自定义分辨率包含但不限于3840x2160、2560x1600、1920x1080、1600x900、1024x768、2160x3840、1600x2560、1080x1920、900x1600、768x1024等，支持修改输出填充模式。"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24.终端支持查看输入信号源内容，通过登录后端管理页面，可远程查看当前信号源所显示内容。</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25.终端支持设置告警时间间隔，同类型的违法违规内容在告警时间间隔内，终端仅上报一次告警信息，避免告警信息重复上报。</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26.设备支持停止检测服务，需通过拥有操作权限账号执行停止检测服务，停止检测服务后，设备将不会对播放内容进行检测与屏蔽，满足用户特殊场景使用需求。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27.终端的文字检测敏感词库应支持20000条以上，每个敏感词字数最高可支持20字；</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28.终端应能满足在不低于20000次识别敏感词、敏感人脸、涉黄、涉政旗帜、暴恐视频或图像或文本测试中，识别准确率≥99.99%；</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29.终端应能满足在不低于20000次正常图像测试中，图像中均无敏感词、敏感人脸、涉黄、涉政旗帜、暴恐视频或图像或文本信息，误识别率≤0.01%；</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30.终端应能满足在不低于20000次识别敏感人脸视频或图像测试中，识别准确率≥99.99%；</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★31.保障电子显示屏数据统一汇总并接入公安指定平台，支持与盐城市公安局网安支队现有分类分级管控平台无缝对接，并支持拓展升级，实现电子显示屏数据接入与查询</w:t>
            </w:r>
            <w:r>
              <w:rPr>
                <w:rFonts w:hint="eastAsia" w:ascii="宋体" w:hAnsi="宋体" w:eastAsia="宋体" w:cs="宋体"/>
                <w:b/>
                <w:bCs/>
                <w:i w:val="0"/>
                <w:iCs w:val="0"/>
                <w:color w:val="auto"/>
                <w:kern w:val="0"/>
                <w:sz w:val="21"/>
                <w:szCs w:val="21"/>
                <w:highlight w:val="none"/>
                <w:u w:val="none"/>
                <w:lang w:val="en-US" w:eastAsia="zh-CN" w:bidi="ar"/>
              </w:rPr>
              <w:t>（投标时需提供承诺对接函）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32.专用网络服务，提供3年物联网卡数据流量，保障数据安全。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33.安装调试运维服务，提供设备安装调试服务确保设备按需到位并正常运行。</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10716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8D8EA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D03F88">
            <w:pPr>
              <w:rPr>
                <w:rFonts w:hint="eastAsia" w:ascii="宋体" w:hAnsi="宋体" w:eastAsia="宋体" w:cs="宋体"/>
                <w:i w:val="0"/>
                <w:color w:val="auto"/>
                <w:sz w:val="21"/>
                <w:szCs w:val="21"/>
                <w:highlight w:val="none"/>
                <w:u w:val="none"/>
              </w:rPr>
            </w:pPr>
          </w:p>
        </w:tc>
      </w:tr>
      <w:tr w14:paraId="56013D1F">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D91E6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458D62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 xml:space="preserve">视频云端数据取证防护系统 </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3272215">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需支持案件受理功能；支持登记送检人信息、送检人签字、送检人拍照等；支持对接定制签批高拍一体机，实现签字数据接入系统，需支持预检管理功能；支持预检审核；支持拆封前拍照、拆封后拍照、上传拆封录像、检材拍照、打印检材标签、检材退回等，需支持分配管理功能；支持受理审核；支持对受理的委托分配取证员，需支持取证管理功能；支持手动同步检材取证数据信息，包含不限于检材取证报告信息、案情相关文件信息、镜像文件信息、报告总览截图、取证屏幕录像信息等；支持上传重新封装照片、重新封装录像等；支持重新分配取证员功能；支持自动生成设备退还登记表，支持对设备登记表进行预览、编辑和打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2、需支持解析主流取证厂商（包含不限于弘连、平航、美亚、龙信、云帆等）的检材数据html格式报告功能；支持自动获取检材基础信息，通讯录数据，短信数据，QQ数据，微信以及其它检材内数据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需支持领取管理功能；支持登记领取人信息、领取人签字、领取人拍照、领取物品信息、领取时间等；支持分批次领取；支持生成检材移交单、检材取件码，需支持批量领取功能；可选择委托单位后批量选择该单位的委托进行领取登记，需支持登记成效说明、证明材料、是否新型案件、满意度等，需支持委托书自动生成功能；支持委托书预览、打印和下载；支持配置委托书格式，包含仅word、仅PDF、word和PDF等，需支持检材二维码内容自定义设置功能，需支持批量导入案件功能，需支持根据搜索条件对委托进行筛选功能；支持搜索条件包含委托单位、委托人姓名、案件名称、案件类型、委托状态、委托时间等，需支持通过台账模板批量补充检材字段；需支持根据搜索条件对检材进行筛选功能；支持搜索条件包含检材编号、检材名称、检材类型、委托单位、案件名称、检材持有人、委托时间等，包含维护台账目录、文档以及下载文档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4、需支持案件管理台账导出功能；支持案件管理台账模板自定义配置；支持的字段包含不限于案件名称、案件类型、委托编号、委托单位、委托时间、检材总数、笔录数量、委托人1、委托人2、委托状态、委托附件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需支持检材管理台账导出功能；支持检材管理台账模板自定义配置；支持的字段包含不限于案件名称、案件类型、委托编号、委托单位、委托时间、检材名称、检材类型、取证软件、受理员、预检时间、取证员、领取人、领取时间等，需支持信息记录台账导入导出功能；支持信息记录台账模板下载，需支持添加、修改、删除实验室装备信息功能，需支持维护实验室装备的软件信息功能，包含不限于杀毒软件、截屏软件、录屏软件、取证软件等，需支持查看实验室装备软件信息历史记录功能，需支持根据搜索条件对装备进行筛选功能；支持搜索条件包含装备编号、装备名称、装备类型等，需支持导出设备一览表功能，需支持系统用户管理功能，包含新增、编辑、删除用户；支持用户角色权限配置；支持用户密码重置，需支持根据用户单位对用户进行筛选功能；根据搜索条件对用户进行筛选功能；支持搜索条件包含姓名、警号、手机号、角色等，需支持对取证流程所有资源文件集中存储与可视化展示功能，包括在线预览、下载与批量下载，需支持自动记录取证流程所有资源文件的大小、操作时间、哈希值等，需支持取证流程不规范提醒功能；支持自动生成电子数据取证规范性预警报告；支持在线预览、下载和打印功能，需支持统计案件资源总量、检材资源总量以及每个案件BCP数据量功能。需支持实验室设备分类管理功能；支持设备基础信息登记；支持设备信息批量上传，需支持设备状态维护功能；包含不限于完好、配件不全、损坏等，需支持设备有效期管理、设备借还登记、设备存放位置登记等，需支持设备标签打印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需支持设备状态异常提醒功能；包含设备过期、状态不完好等，需支持委托编号、检材编号生成规则自定义配置功能，需支持取证单位个性化功能配置，包含实验室基础配置、取证相关配置、实验室配置、笔录配置、智能柜配置、证书配置、水印配置等，需支持案件资源、检材资源规范性必填配置功能；配置必填的资源如缺失将出现取证不规范提醒智能笔录，需支持笔录模板配置功能，可对笔录中出现的人员信息、过程方法、使用的模板、发文配置等预填信息进行配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需支持导入定制文书模板；支持同时设置多个文书模板，需支持按照定制模板生成文书（word版）功能；包含不限于以下内容：送检单位信息、相关人员信息、案件检材信息、拆封照片、检材照片、技术标准、使用设备（含硬件和软件），取证过程描述，所有检材镜像、数据报告、录像信息（自动获取哈希校验值），需支持多条件搜索查看历史笔录文书功能，需支持自定义大屏标题、实验室经典案例设置、实验室人员信息设置功能，需支持系统展示大屏功能；覆盖经典案例、实验室月工作动态、送检单位统计、案件类型统计、检材类型统计、案件受理趋势等数据可视化，需支持系统业务大屏功能；覆盖在检、待检和归档案件、实验室设备状态、智能物证柜存储状态、案件受理动态、工作量统计等数据可视化。需支持对接电子物证保全模块功能，实现后台数据联动；支持获取检材存储情况并可视化展示(1)需支持对接智能实验室管理模块功能；实现后台数据自动流转，包含实验室案件信息，检材信息，所有实验室人员用户权限，可操作案件检材权限等，需支持自动记录检材存取操作日志功能，需支持智能检材柜按需便捷扩容功能，需支持管理员应急开柜功能；避免因断电、断网或其它不可抗力因素造成的检材柜系统故障而无法开柜的情况，需支持通过触控屏直接操作储物空间进行检材的存检功能，同时系统自动记录存检日志，同步至智能实验室管理模块，需支持通过存检案件列表直接进行触控取检功能，无须人工记录检材存放位置。需支持以灯光标识检材柜使用情况功能，存检的储物门亮蓝色灯光，方便管理人员直观获取柜子使用情况，需支持可视化展示存检案件情况功能，存检的空间为蓝色，同时鼠标移入可以显示当前储物空间存放检材的案件名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7、授权期2年</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8317B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439AC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334AB9">
            <w:pPr>
              <w:rPr>
                <w:rFonts w:hint="eastAsia" w:ascii="宋体" w:hAnsi="宋体" w:eastAsia="宋体" w:cs="宋体"/>
                <w:i w:val="0"/>
                <w:color w:val="auto"/>
                <w:sz w:val="21"/>
                <w:szCs w:val="21"/>
                <w:highlight w:val="none"/>
                <w:u w:val="none"/>
              </w:rPr>
            </w:pPr>
          </w:p>
        </w:tc>
      </w:tr>
      <w:tr w14:paraId="7442C9C7">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8252F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655884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多介质视频取证系统</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80E1C51">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 xml:space="preserve">  支持自动取证，接入存储介质后一键完成介质预检、数据固定、取证分析、系统仿真等取证工作，并自动完成工作报告</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提供语音交互功能，支持知识问题和语音操作取证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集成身份证、银行卡采集模块，支持身份和银行卡采集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支持语音识别，可将语音文件自动识别成文字内容，且识别结果支持列表展示与会话展示，解决人工听取语音耗时长的问题。</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涉案分析，专业定位淹没在海量数据中的关键涉案信息，利用基于机器学习的智能分析，快速聚焦黄、赌、毒、诈骗、涉贷等会话数据，攻克海量数据查找分析难题。</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维汉翻译，支持普通维文、拉丁维文-汉语机器翻译功能，冲破语言障碍，实现跨语言办案，从而降低破案门槛。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群聊分析，基于语义分析快速去伪存真，从大量繁杂的聊天内容中总结群聊话题、群亲密关系、群发言活跃度以及群发言分析。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系统必须与蛛网平台无缝对接。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授权期1年</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3737F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390FA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939B93">
            <w:pPr>
              <w:rPr>
                <w:rFonts w:hint="eastAsia" w:ascii="宋体" w:hAnsi="宋体" w:eastAsia="宋体" w:cs="宋体"/>
                <w:i w:val="0"/>
                <w:color w:val="auto"/>
                <w:sz w:val="21"/>
                <w:szCs w:val="21"/>
                <w:highlight w:val="none"/>
                <w:u w:val="none"/>
              </w:rPr>
            </w:pPr>
          </w:p>
        </w:tc>
      </w:tr>
      <w:tr w14:paraId="0E8CCA35">
        <w:tblPrEx>
          <w:shd w:val="clear" w:color="auto" w:fill="auto"/>
          <w:tblCellMar>
            <w:top w:w="0" w:type="dxa"/>
            <w:left w:w="0" w:type="dxa"/>
            <w:bottom w:w="0" w:type="dxa"/>
            <w:right w:w="0" w:type="dxa"/>
          </w:tblCellMar>
        </w:tblPrEx>
        <w:trPr>
          <w:trHeight w:val="267"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CCD95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9CB60E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视频恢复软件</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EB5687E">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val="0"/>
                <w:iCs w:val="0"/>
                <w:color w:val="auto"/>
                <w:kern w:val="0"/>
                <w:sz w:val="21"/>
                <w:szCs w:val="21"/>
                <w:highlight w:val="none"/>
                <w:u w:val="none"/>
                <w:lang w:val="en-US" w:eastAsia="zh-CN" w:bidi="ar"/>
              </w:rPr>
              <w:t>★  支持海康威视、浙江大华、中维世纪、德加拉、天视达、大唐讯士等80多家监控视频厂商（这80多家厂商市场占有率90%以上）；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支持支持MySQL、SQLServer、SQLite、Access数据库的数据提取及恢复。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支持行车记录仪、执法记录仪删除视频文件恢复及残留碎片帧提取</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支持修复MP4、AVI、MOV、3GP、M4V等格式的损坏视频</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支持修复OGG、MP3、WAV、ACC、AM、M4A等格式的损坏音频</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支持修复JPG格式的损坏图片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支持Windows、Mac、Linux系统下删除文件及即时通讯、邮件、上网记录等数据恢复；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支持Android、iOS系统下删除文件及短信、通话记录、通讯录、QQ、微信等数据恢复；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支持Office、WPS、PDF及压缩文档等文件受损的修复。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软件必须与蛛网平台无缝对接。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授权期1年</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DC751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797D8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CF528A">
            <w:pPr>
              <w:rPr>
                <w:rFonts w:hint="eastAsia" w:ascii="宋体" w:hAnsi="宋体" w:eastAsia="宋体" w:cs="宋体"/>
                <w:i w:val="0"/>
                <w:color w:val="auto"/>
                <w:sz w:val="21"/>
                <w:szCs w:val="21"/>
                <w:highlight w:val="none"/>
                <w:u w:val="none"/>
              </w:rPr>
            </w:pPr>
          </w:p>
        </w:tc>
      </w:tr>
      <w:tr w14:paraId="67835074">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323FF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2086ACA">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视频数据提取及声纹鉴定工作站</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5C9DA3D">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一、数据提取硬件配置要求：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1、产品尺寸：不大于250mm ×215mm ×25 mm（长×宽×高）；内存容量≥12GB，存储容量≥256GB；分辨率≥2560*1600像素；显示屏尺寸≥8英寸。2、支持六路并行采集：即三路USB手机采集、一路SIM卡采集、一路蓝牙采集、一路银行卡采集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二、数据提取软件要求：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一）1、产品具有核心技术，具有数据采集、网络阻隔、多路提取等至少3项相关技术专利。2、支持一键式完成手机采集和数据加密上传到后台蛛网系统，确保数据的安全性；支持前后端数据联动，支持后端布控前后端同时预警。3、一体化采集仪设备，设备集成网络阻隔器，有效规避一机两用，并已通过三所检测。4、支持和实验室管理系统无缝对接。5、支持可与彩云系统对接。</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二）1、内置人像采集模块，支持采集人员人像，有效像素≥1300W。2、内置声纹采集模块，采集被采集人使用母语和惯用方言的录音信息，并传输至主控单元，录音信息符合公安部声纹数据项的要求。3、内置身份证识别模块，能够采集姓名性别、民族、出生日期、公民身份号码、户籍地址，居民身份证阅读器符合GA450的要求。4、内置活体指纹采集模块，支持采集人员十指指纹（滚动和平面），支持四联指采集。1）采集窗口尺寸≥78mm*85mm；2）图像像素：单指640 × 640；四联指1600×1500；3）采样分辨率500dpi；4）单指滚动指纹采集速度≥10 帧/秒，四联指采集速度≥3帧/秒。5、内置虹膜采集模块，自动采集嫌疑人虹膜信息； （1）分辨率≥500W像素；（2）虹膜工作距离35cm~50cm；6、设备可在正常工作条件下连续工作不少于150小时，不出现电、设备、操作系统的故障； 7、支持访问权限授权；8、支持对采集数据的增、删、改、查；9、支持各生物特征数据的一键导出，文件格式均为公安部标准格式；10、支持离线采集，离线采集数据在接入公安网后可上传至后台数据库。</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一、声纹鉴定系统功能要求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 重采样系统应支持改变数字语音信号的采样率。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2、多格式语音处理 1）系统应支持导入多种格式音频文件，单次导入多种不同格式文件，输出采样精度为16bit的wav格式。2）系统应支持导入的音频文件格式为：wav、m4a、mp3、mp2、amr、wma、adu、silk、aiff、pcm、vox、aac、 3ga、ape、flac、m4r、mmf、ogg、VYF。3）系统应支持将立体声音频文件进行左右声道分离，并输出左声道和右声道音频文件。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3、多格式视频处理 1）系统应支持导入多种格式视频文件，并从视频文件中提取音频，输出采样精度为16bit的wav格式。2）系统应支持导入的视频格式为：flv、mkv、mov、vob、3gp、wmv、avi、mp4、rmvb。3）系统应支持输出为左声道、右声道和混合声道音频文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4、图片格式处理 1）系统应支持导入的图片格式为：jpg、tga、bmp、png、tiff。2）系统应支持对图片进行预览，导出，标注操作。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截图1）系统应支持对当前展示的谱图区域进行截图，并可以调整截图窗口的大小。2）系统应支持对截图内容进行框选、添加文字、箭头指向，打马赛克、撤销和保存操作。3）系统应支持截图可以存储在当前案件下，并支持导出。4）系统应支持对当前截图定位到原语音所在位置，一键查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6、音视频联动 1）系统应支持将导入的视频进行音视频分离。2）系统应支持音频播放时可联动视频画面，支持选择任意位置进行播放并联动画面，播放过程中可调整音量大小。3）系统应支持对时长1h的视频进行音视频分离，分离时间应≤3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7、录音 1）系统应支持新建空白文件，并可选择8kHz、16kHz、32kHz、44.1kHz的采样率进行录音，生成wav文件。2）系统应支持接入麦克风进行录音。</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8、大文件处理 1）系统应支持时长1h的音频文件导入工作站的时间≤3s。2）系统应支持导入大小为 1GB 的音频文件和 4GB 的视频文件。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9、文件操作 1）系统应支持对语音文件导出和标记导出。2）系统应支持对检材或样本复制为新文件，含标记和音素信息。3）系统应支持对高采样率文件进行降采样处理。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10、查看文件属性详情 系统应支持查看源文件的属性，包括：文件大小与时长、采样率与采样精度、声道、编码格式、文件格式、CRC32编码、SHA1编码、MD5编码属性。</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11、语音质量检测 系统应支持展示语音的有效时长，截幅比，平均能量，信噪比，说话人个数，MOS分，P.563分值，丢帧数量，削波数量等9种语音质量评价参数。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12、文件及语音编辑 1）系统应支持对文件及语音进行剪切、复制、粘贴、删除、切片、撤销和恢复操作。2）系统应支持在语谱图上进行横选、竖选、框选操作。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13、语音播放 1）系统应支持对语音或选区进行播放、暂停、停止、循环、倍速播放（倍速播放的调节范围 0.5～2.0），同时支持对多个文件的选区轮循播放。2）系统应支持鼠标左键暂停播放。</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14、播放滚屏方式 系统应支持在语音播放时采用匀速移动、翻屏移动、光标不滚动、光标固定在左边、光标固定在右边等 5 种播放滚屏方式。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15、语谱图展示功能 系统应支持音频文件以多种语谱图方式展示：波形图、宽带图、窄带图、共振峰、基频、能量曲线、过零率曲线等 7 种特征图谱，并支持叠加展示。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16、语谱图可视化分析 1）系统应支持多个窗口平铺展示，并支持将语音文件拖至相应窗口中进行比对和分析。2）系统应支持在语音文件比对模式下，应支持对文件放大后的局部位置进行对齐查看，并可独立切换或联动切换不同的语谱图进行比对，窗口数量可以自定义增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17、等高线联动 在语音文件比对模式下，系统应支持等高线联动展示，可以查看同一时刻不同文件的能量值差异，支持语音同时放大或缩小查看。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18、语谱图参数设置 系统应支持对语谱图颜色、带宽、帧长、帧移、加窗类型、FFT点数、高频提升系数、动态范围，亮度、对比度、渲染幅度范围等语谱图参数进行设置，设置后参数应能随文件保存。</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19、共振峰参数设置 系统应支持共振峰参数设置：可对共振峰颜色、共振峰个数、能量门限、提取范围、LPC阶数进行调整。</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20、加窗类型分析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系统应支持多种加窗类型的窗口分析：Rectangular、Gaussian、Hanning、Hamming、Triangular、Bartlett、Blackman-harris等7种加窗类型进行窗口分析。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21、共振峰提取 1）系统应支持对检材和样本中音节的特征数值进行定量检测，实时测定共振峰的中心频率、带宽、强度等特征。2）系统应支持通过设置阶数、能量门限等参数，过滤假峰和无效的高频共振峰。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22、LPC曲线绘制 1）系统应支持LPC线性谱的放大与缩小查看。2）系统应支持对检材和样本中的选区添加5个不同颜色快照进行叠加分析，计算共振峰的频率、带宽和强度，快照应能删除。3）系统应支持选择两个快照生成音素比对结果进行分析和查看和复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23、LPC谱计算 1）系统应支持FFT、LPC、FFT+LPC三种谱分析类型计算，并在谱图窗口中展示。2）系统应支持对语音进行短时或长时FFT谱/LPC谱计算和FFT+LPC谱叠加分析功能，并测量和绘制出对应的频谱曲线和LPC数值，多条记录用不同颜色叠加展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24、标记 1）系统应支持在语谱图上选择区域添加标记，标记内容支持拼音、音素、汉字、国际音标等内容的输入，并支持单层或多层展示。2）系统应支持双击标记定位到对应语谱图上，进行播放或放大查看，支持在语谱图上调整标记的范围。3）系统应支持标记和语音一并导出，同时支持单独将标记文件导入到系统中选定的文件下。4）系统应支持所有添加的标记均支持通过标记面板进行管理，支持标记的修改、删除等操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25、多层标记展示 1）系统应支持将人工添加的标记、系统自动转写的结果和音素识别出来的结果展示在图谱下方；2）系统应支持标记能四层同时展示，应能设置分层组合展示。应能设置显示的层级，对人工标记的第一层和第二层的显示分类类型；3）系统应支持标记内容能在图谱区域通过快捷图标进行隐藏或显示； 4）系统应支持标记层级设置能通过标记面板的设置入口快捷操作； 5）系统应支持支持同时对 5 个文件的多层标记加载展示，每个文件窗口单独操作不应受影响。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26、语音增益 1）系统应支持对微弱的语音进行放大同时抑制背景噪音。2）系统应支持对对一段语音或整条语音文件做增强或衰减。3）系统应支持语音增益设置范围:（-96~48）dB。</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27、背景噪声分析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系统应支持选择检材时段进行背景环境噪音分析，通过分析语音的背景噪音能量谱图，判断语音是否存在频域的能量突变点，支持显示拼接或编辑的位置。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28、语音分离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系统应支持针对检材/样本中出现的多人对话语音，通过声纹识别技术，提取音频中每个说话人的声纹特征，实现至少2人以上对话语音的分离，根据预设说话人数量，分离出不同说话人的音频，帮助办案人员提升人工分离的效率。两人分离错误率应≤3%，多人分离错误率应≤6%。</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29、音素测量比对 1）系统应支持将检材和样本中的相同音素的图谱进行测量比对分析。2）系统应支持长时平均法和DTW动态规整法两种音素比对方法。3）系统应支持测量比对分析结果包括：语图谱、LPC线性谱及对应的共振峰中心频率、带宽、强度数值，俩个相同音素的均值和偏差比例。4）系统应支持比对结果保存、截图或导出为 word 文档，生成鉴定报告。</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30、音素自动标注 系统应支持检索检材或样本中的音素及音素位置，形成标记列表。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31、同音快寻 系统应支持对选取的音节片段在单条或多条语音中进行快速查询，匹配检材和样本中的相同音节。同音快寻准确率应≥90%。</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32、语音转写识别 系统应支持对导入的中文普通话音频一键转写成文字，并通过关键字快速检索和定位。针对近场录音文件，语音转文字识别准确率应≥90%。</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33、维汉翻译 系统应支持对维语音频内容翻译成中文，针对近场录音文件，中维语互译准确率应≥80%。</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34、语音合并 系统应支持将两条同采样率同采样精度的单声道语音合并成一条单声道的语音。</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35、语音拼接 系统应支持相同采样率的多条语音片段进行拼接，合成一条新的语音。</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36、声纹比对 1）系统应支持对案件中检材与检材、样本与样本、检材与样本之间的比对分析。2）系统应支持检材和样本具有 1:1、1：N、N:N 三种比对模式，比对结果以声纹相似程度进行由高到低的排名展示。3）系统应支持比对最短语音时长为3s的语音，并通过声纹比对算法给出数值为0～1000的相似度值。</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37、鉴定意见书 系统应支持鉴定书的一键导出，支持在鉴定意见书的标准模板基础上，由鉴定人员进行编辑和确认</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38、案件日志管理 系统应支持对案件及文件的操作过程、操作时间进行记录，并可以按操作步骤进行展示，将日志导出查看。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39、自适应降噪 1）系统应支持分析语音中的噪声，通过噪声处理引擎进行滤波降噪. 2）噪音抑制深度设置范围为(-36～-3)dB。</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40、变声还原 系统应支持对语音进行语速和音调调节。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41、与声纹库双向传输 1）系统应支持从声纹库数据库系统中发起待鉴定的案件推送给声纹鉴定工作站，接收并进行鉴定，鉴定完毕后，将鉴定结果反馈至声纹库系统中。2）系统应支持在声纹鉴定工作站系统中，将检材推送给声纹库系统中进行声纹比对，并将比对结果和得分反馈至声纹鉴定工作站系统中。3）系统应支持在声纹鉴定工作站系统中，将样本注册至声纹库系统中.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42、转写文本分析 1）系统应支持具有语音转写文本功能，转写结果应能按句子进行展示。2）系统应支持通过转写后的句子精准定位到对应的语音位置并进行播放。3）系统应支持对转写后句子内容进行人工修正功能，并将转写的文本导出为 word 格式。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43、相同特征音段分析 1）系统应支持对相同的特征音段，进行自动匹配，通过上下窗口比对分析相同发音的稳定性。2）系统应支持对相同字、相同词或短语进行分析，并将所有发音相同的字词均展示。3）系统应支持对任意词快速检索，可同时对两个以上文件进行检索分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44、相邻词和同音字检索 1）系统支持在对检材和样本中的标记（含自动标记和手动标记） 信息进行检索时，能关联检索相邻的字和词。2）系统应支持在对检材和样本中的标记（含自动标记和手动标记）信息进行检索时，支持按拼音智能检索出所有发音相同的同音异形字，并能匹配多个文件的查询结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45、听觉分析 1）系统应支持对检材和样本进行听辨分析，包括音量、语速、流畅度、清晰度、鼻音、儿化音、方言、噪音听感、伪装音等13种听觉特征方面进行记录，并自动保存。2）系统应支持手动添加和删除自定义特征，并导出听觉量化分析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46、韵律特征谱图 1）系统应支持对语音的韵律谱图叠加分析，可以联动查看多个文件同一时间点的基频、能量和过零率的详细值。2）系统应支持对语音的韵律谱图叠加分析，分开查看单文件的基频、能量和过零率的详值。</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47、图谱渲染速度 图谱基于GPU渲染模式开发，4G内存配置下，单条 3 分钟音频语谱图渲染速率应≥25 次/s。。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48、图谱参数自定义调节 1）系统应支持对单文件进行谱图参数的自定义快捷调整，具备对亮度、对比度、高频提升系数、动态范围等参数进行快捷设置功能。2）系统支持同时提供两套不同的图谱预设方案进行切换设置。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49、图谱纵向锁定 1）系统应支持在 4K 语谱图和 8K 语谱图模式下，语谱图纵轴支持自动锁定，取消该模式后，图谱图纵轴能自由缩放。2）语谱图纵向缩放时，应能自由缩放和锁定缩放；</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声纹鉴定主机，数量：一台(16C 2.5GHz)*1/32G DDR4*2/480G SSD*1/4T SATA*1/双口千兆/GT710-2G*1/800W*2/原厂三年质保，34英寸，点距：0.23mm，亮度：300cd/m²，曲面屏，分辨率:3440*1440，曲率:1500R,HDR：HDR10，面板：VA，屏幕比例：21:9，对比度：3000:1声纹鉴定移动端，数量：一台（36MB 缓存， 24 核， 2.1 至 5.4 GHz P-Core）NVIDIA® GeForce RTX™ 5060， 8 GB GDDR716英寸， WQXGA， 240Hz， 100% DCI-P3， ComfortView Plus， G-SYNC32GB， 2x16GB， DDR5， 5600 MT/s1 TB, M.2, PCIe NVMe, 固态硬盘Alienware Care 含硬件和软件1-2 工作日上门服务 远程诊断后-三包, 24 个月键盘 1-Zone AlienFX RGB 键盘， 英文 US端口包含项2 个第一代 USB Type-A 3.2 端口1 个Type-C® 端口（包含雷电技术 4.0、第二代 USB 3.2、DisplayPort™ 2.1，支持功率传输）(iGPU)1 个Type-C® 端口（第二代 USB 3.2、DisplayPort™ 2.0）(dGPU)1 个 HDMI 2.1 端口 (dGPU)1 个电源输入端口1 个 RJ-45 以太网端口1 个通用耳机插孔触控板  支持多点触控手势的高精度触控板，带集成的滚轮功能摄像头选项  1080p (30 fps)，FHD RGB-IR HDR 摄像头，双阵列麦克风音频和扬声器选项  立体声扬声器，Realtek AL3204 音频控制器，2 个 2 W，总计 4 W网络适配器（NIC） MediaTek Wi-Fi 7 MT7925， 2x2， 802.11be， MU-MIMO， 蓝牙® 无线网卡</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DF176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B391D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BB2B27">
            <w:pPr>
              <w:rPr>
                <w:rFonts w:hint="eastAsia" w:ascii="宋体" w:hAnsi="宋体" w:eastAsia="宋体" w:cs="宋体"/>
                <w:i w:val="0"/>
                <w:color w:val="auto"/>
                <w:sz w:val="21"/>
                <w:szCs w:val="21"/>
                <w:highlight w:val="none"/>
                <w:u w:val="none"/>
              </w:rPr>
            </w:pPr>
          </w:p>
        </w:tc>
      </w:tr>
      <w:tr w14:paraId="63FFFB84">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2D98C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1E3E07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安全检测费用</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5431E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本项目涉及的所有软件测试、</w:t>
            </w:r>
            <w:r>
              <w:rPr>
                <w:rFonts w:hint="eastAsia" w:ascii="宋体" w:hAnsi="宋体" w:cs="宋体"/>
                <w:i/>
                <w:iCs/>
                <w:color w:val="auto"/>
                <w:kern w:val="0"/>
                <w:sz w:val="21"/>
                <w:szCs w:val="21"/>
                <w:highlight w:val="none"/>
                <w:u w:val="single"/>
                <w:lang w:val="en-US" w:eastAsia="zh-CN" w:bidi="ar"/>
              </w:rPr>
              <w:t>三级</w:t>
            </w:r>
            <w:r>
              <w:rPr>
                <w:rFonts w:hint="eastAsia" w:ascii="宋体" w:hAnsi="宋体" w:eastAsia="宋体" w:cs="宋体"/>
                <w:i/>
                <w:iCs/>
                <w:color w:val="auto"/>
                <w:kern w:val="0"/>
                <w:sz w:val="21"/>
                <w:szCs w:val="21"/>
                <w:highlight w:val="none"/>
                <w:u w:val="single"/>
                <w:lang w:val="en-US" w:eastAsia="zh-CN" w:bidi="ar"/>
              </w:rPr>
              <w:t>等保、</w:t>
            </w:r>
            <w:r>
              <w:rPr>
                <w:rFonts w:hint="eastAsia" w:ascii="宋体" w:hAnsi="宋体" w:cs="宋体"/>
                <w:i/>
                <w:iCs/>
                <w:color w:val="auto"/>
                <w:kern w:val="0"/>
                <w:sz w:val="21"/>
                <w:szCs w:val="21"/>
                <w:highlight w:val="none"/>
                <w:u w:val="single"/>
                <w:lang w:val="en-US" w:eastAsia="zh-CN" w:bidi="ar"/>
              </w:rPr>
              <w:t>三级</w:t>
            </w:r>
            <w:r>
              <w:rPr>
                <w:rFonts w:hint="eastAsia" w:ascii="宋体" w:hAnsi="宋体" w:eastAsia="宋体" w:cs="宋体"/>
                <w:i/>
                <w:iCs/>
                <w:color w:val="auto"/>
                <w:kern w:val="0"/>
                <w:sz w:val="21"/>
                <w:szCs w:val="21"/>
                <w:highlight w:val="none"/>
                <w:u w:val="single"/>
                <w:lang w:val="en-US" w:eastAsia="zh-CN" w:bidi="ar"/>
              </w:rPr>
              <w:t>密评</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D5499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A6E91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83E0E5">
            <w:pPr>
              <w:rPr>
                <w:rFonts w:hint="eastAsia" w:ascii="宋体" w:hAnsi="宋体" w:eastAsia="宋体" w:cs="宋体"/>
                <w:i w:val="0"/>
                <w:color w:val="auto"/>
                <w:sz w:val="21"/>
                <w:szCs w:val="21"/>
                <w:highlight w:val="none"/>
                <w:u w:val="none"/>
              </w:rPr>
            </w:pPr>
          </w:p>
        </w:tc>
      </w:tr>
      <w:tr w14:paraId="47F6C51D">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FB25D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6651F1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服务器密码机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435837">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2U标准机架设备，冗余电源，国产化软硬件平台，设备配置8个千兆自适应电口，4千兆SFP光口，2个USB接口，1个RJ45Console口，2个接口扩展槽位；配置16G内存、64G硬盘、液晶屏、内置加密卡；SM4算法加解密速度不小于7500Mbps；支持生产、存储对称密钥和非对称密钥；非对称密码运算：支持基于SM2、RSA、DSA、SM9等算法的签名/验签、加密/解密、密钥协商等功能；对称密码运算：支持基于SM1、SM4、SM7、DES/3DES、AES等算法的加解密功能；杂凑密码运算：支持基于SM3、SHA1/SHA2、MD5等算法的杂凑运算功能；此次提供三年软硬件质保服务。</w:t>
            </w:r>
          </w:p>
          <w:p w14:paraId="1134DC53">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1.支持满足商用密码安全性评估要求的密码算法，如 SM1、SM2、SM3、SM4、SM7、SM9、ZUC等：为满足兼容性还必须支持常见的国际对称和非对称算法：如AES、RSA等；支持杂凑算法；如SHA-1、SHA-2等：</w:t>
            </w:r>
          </w:p>
          <w:p w14:paraId="499E1E13">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2.支持基于SM2、SM9、RSA、DSA、EdDSA等算法的签名/验签、加密/解密、密钥协商等功能，支持椭圆曲线算法，至少支持ECDSA</w:t>
            </w:r>
          </w:p>
          <w:p w14:paraId="5DE1361F">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3.支持GM/T0018《密码设备应用接口规范》，同时为了提高兼容性还需要满足GB/T36322《信息安全技术密码设备应用接口规范》；支持JAVA、C、HTTP等标准接口：</w:t>
            </w:r>
          </w:p>
          <w:p w14:paraId="7D331B47">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4. 支持通过配置将设备日志保存在不同的硬件介质中，主机应至少支持三种硬件介质存储方式；</w:t>
            </w:r>
          </w:p>
          <w:p w14:paraId="6197BF22">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5.支持设备监测功能，可通过WEB界面配置主机检测预警阀值，发现设备负载超过阀值即可给管理员发送邮件告警，可设置阀值包括CPU报警阀值、内存报警阈值、磁盘报警阈值、上行流量报警阈值、下行流量报警阈值等：</w:t>
            </w:r>
          </w:p>
          <w:p w14:paraId="5F5D4B36">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6. 支持密码算力实时监控，可通过web界面配置流量监测策略，流量超过设置时，可进行告警，并可发送告警邮件给管理员；</w:t>
            </w:r>
          </w:p>
          <w:p w14:paraId="14A5228C">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7.可通过密码机管理界面展示应用调用密码服务统计，可展示应用调用密码接口运算的服务总量统，排名统计，趋势统计数据：</w:t>
            </w:r>
          </w:p>
          <w:p w14:paraId="6DF35DC7">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8.产品具有国家密码管理局颁发的商用密码产品认证证书、具有网络安全专用产品安全检测证书</w:t>
            </w:r>
          </w:p>
          <w:p w14:paraId="0B14F8B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i/>
                <w:iCs/>
                <w:color w:val="auto"/>
                <w:kern w:val="0"/>
                <w:sz w:val="21"/>
                <w:szCs w:val="21"/>
                <w:highlight w:val="none"/>
                <w:u w:val="none"/>
                <w:lang w:val="en-US" w:eastAsia="zh-CN" w:bidi="ar"/>
              </w:rPr>
              <w:t>9</w:t>
            </w:r>
            <w:r>
              <w:rPr>
                <w:rFonts w:hint="eastAsia" w:ascii="宋体" w:hAnsi="宋体" w:eastAsia="宋体" w:cs="宋体"/>
                <w:i w:val="0"/>
                <w:iCs w:val="0"/>
                <w:color w:val="auto"/>
                <w:kern w:val="0"/>
                <w:sz w:val="21"/>
                <w:szCs w:val="21"/>
                <w:highlight w:val="none"/>
                <w:u w:val="none"/>
                <w:lang w:val="en-US" w:eastAsia="zh-CN" w:bidi="ar"/>
              </w:rPr>
              <w:t>.产品安全可靠，无已知中高风险漏洞，</w:t>
            </w:r>
            <w:r>
              <w:rPr>
                <w:rFonts w:hint="eastAsia" w:ascii="宋体" w:hAnsi="宋体" w:cs="宋体"/>
                <w:i w:val="0"/>
                <w:iCs w:val="0"/>
                <w:color w:val="auto"/>
                <w:kern w:val="0"/>
                <w:sz w:val="21"/>
                <w:szCs w:val="21"/>
                <w:highlight w:val="none"/>
                <w:u w:val="none"/>
                <w:lang w:val="en-US" w:eastAsia="zh-CN" w:bidi="ar"/>
              </w:rPr>
              <w:t>具有第三方检测</w:t>
            </w:r>
            <w:r>
              <w:rPr>
                <w:rFonts w:hint="eastAsia" w:ascii="宋体" w:hAnsi="宋体" w:eastAsia="宋体" w:cs="宋体"/>
                <w:i w:val="0"/>
                <w:iCs w:val="0"/>
                <w:color w:val="auto"/>
                <w:kern w:val="0"/>
                <w:sz w:val="21"/>
                <w:szCs w:val="21"/>
                <w:highlight w:val="none"/>
                <w:u w:val="none"/>
                <w:lang w:val="en-US" w:eastAsia="zh-CN" w:bidi="ar"/>
              </w:rPr>
              <w:t>机构颁发的已通过漏洞覆盖测试的证明证书</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D123A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C30F3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4C5584">
            <w:pPr>
              <w:rPr>
                <w:rFonts w:hint="eastAsia" w:ascii="宋体" w:hAnsi="宋体" w:eastAsia="宋体" w:cs="宋体"/>
                <w:i w:val="0"/>
                <w:color w:val="auto"/>
                <w:sz w:val="21"/>
                <w:szCs w:val="21"/>
                <w:highlight w:val="none"/>
                <w:u w:val="none"/>
              </w:rPr>
            </w:pPr>
          </w:p>
        </w:tc>
      </w:tr>
      <w:tr w14:paraId="1D14A70D">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E58BD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F4E6F9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签名验签与时间戳二合一服务器</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ABA370">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2U标准机架设备，冗余电源，国产化软硬件平台，设备配置8个千兆自适应电口，4个千兆SFP光口，2个接口扩展槽位，2个USB接口，1个RJ45Console口；配置16G内存、64G硬盘、液晶屏、内置加密卡；SM2PKCS1签名/验签速率（TPS）不小于43000/32000，最大并发连接数不小于2000，支持验证多家CA用户证书：支持国产SM1/SM2/SM3/SM4及国际密码算法：支持CRL无差别匹配；支持PKCS#1、KCS#7Attach、PKCS#7 Detach、XML 等格式的数据签名、签名验证功能：支持证书链、CRL、OCSP等多种方式证书有效性验证。SM2申请与验证时间戳不小于11000/19000，RSA1024申请与验证时间戳不小于13000/26000；此次提供三年软硬件质保服务。</w:t>
            </w:r>
          </w:p>
          <w:p w14:paraId="461074B8">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1.产品支持SM2、SM3等国密算法以及RSA（2048/4096）等国际算法算法；</w:t>
            </w:r>
          </w:p>
          <w:p w14:paraId="0E11FED6">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2.支持PKCS#1和PKCS#7签名/验签；符合GM/T0019-2012《通用密码服务接口规范》数字信封和带签名的数字信封封装解封：产品同时支持GM/T0029-2012《签名验签服务器检测规范》；</w:t>
            </w:r>
          </w:p>
          <w:p w14:paraId="2552AF1D">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3.支持基于SM2、RSA等算法的PKCS#1签名/验证、PKCS#7Attached签名/验证、PKCS#Detached签名/验证功能；签名格式符合 PKCS#7、GM/T 0010 等标准中定义的数据类型；</w:t>
            </w:r>
          </w:p>
          <w:p w14:paraId="304BA757">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4.支持物理防撬密钥保护机制，具有密钥自毁功能和预警功能，能够有效保护设备内部密钥安全；</w:t>
            </w:r>
          </w:p>
          <w:p w14:paraId="5E5CA364">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5.支持基于SM2、RSA等算法的数字信封加密、解密功能，数字信封格式符合PKCS#7、GM/T0010等标准中定义的数据类型；</w:t>
            </w:r>
          </w:p>
          <w:p w14:paraId="34571E82">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6.提供通过HTTP协议方式申请和颁发时间戳。支持对时间戳进行有效性验证和解析等基本密码服务，产品支持常用的STF接口，支持签发/验证时间戳，且支持多种时间戳格式；</w:t>
            </w:r>
          </w:p>
          <w:p w14:paraId="199899C2">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支持高性能抗攻击：产品在开启抗DoS攻击、抗Queso攻击等安全防护功能的前提下，SM2签名/验签速率至少可达12000次/秒，时间戳签发/验证至少可达5000TPS（提供具有合法正规资质的第三方检测机构出具的有效检测报告，加盖投标人公章）；</w:t>
            </w:r>
          </w:p>
          <w:p w14:paraId="1DD324D7">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8.证书链配置管理：支持证书链管理功能，包括证书链的添加和删除。支持多证书链配置管理功能；</w:t>
            </w:r>
          </w:p>
          <w:p w14:paraId="6B74C826">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9.维护子系统，方便管理员通过web页面进行当前系统资源包括（CPU、内存、存储空间、应用运行状态等）监控；</w:t>
            </w:r>
          </w:p>
          <w:p w14:paraId="0691341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val="0"/>
                <w:iCs w:val="0"/>
                <w:color w:val="auto"/>
                <w:kern w:val="0"/>
                <w:sz w:val="21"/>
                <w:szCs w:val="21"/>
                <w:highlight w:val="none"/>
                <w:u w:val="none"/>
                <w:lang w:val="en-US" w:eastAsia="zh-CN" w:bidi="ar"/>
              </w:rPr>
              <w:t>★10.产品具有国家密码管理局颁发的商用密码产品认证证书、网络安全专用产品安全检测证书；</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595C5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24E7B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62A12D">
            <w:pPr>
              <w:rPr>
                <w:rFonts w:hint="eastAsia" w:ascii="宋体" w:hAnsi="宋体" w:eastAsia="宋体" w:cs="宋体"/>
                <w:i w:val="0"/>
                <w:color w:val="auto"/>
                <w:sz w:val="21"/>
                <w:szCs w:val="21"/>
                <w:highlight w:val="none"/>
                <w:u w:val="none"/>
              </w:rPr>
            </w:pPr>
          </w:p>
        </w:tc>
      </w:tr>
      <w:tr w14:paraId="0D89199E">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26FA5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30D081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安全网关</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06BBDF">
            <w:pPr>
              <w:keepNext w:val="0"/>
              <w:keepLines w:val="0"/>
              <w:widowControl/>
              <w:suppressLineNumbers w:val="0"/>
              <w:jc w:val="left"/>
              <w:textAlignment w:val="center"/>
              <w:rPr>
                <w:rStyle w:val="228"/>
                <w:rFonts w:hint="eastAsia" w:ascii="宋体" w:hAnsi="宋体" w:eastAsia="宋体" w:cs="宋体"/>
                <w:i/>
                <w:iCs/>
                <w:color w:val="auto"/>
                <w:sz w:val="21"/>
                <w:szCs w:val="21"/>
                <w:highlight w:val="none"/>
                <w:u w:val="single"/>
                <w:lang w:val="en-US" w:eastAsia="zh-CN" w:bidi="ar"/>
              </w:rPr>
            </w:pPr>
            <w:r>
              <w:rPr>
                <w:rStyle w:val="228"/>
                <w:rFonts w:hint="eastAsia" w:ascii="宋体" w:hAnsi="宋体" w:eastAsia="宋体" w:cs="宋体"/>
                <w:i/>
                <w:iCs/>
                <w:color w:val="auto"/>
                <w:sz w:val="21"/>
                <w:szCs w:val="21"/>
                <w:highlight w:val="none"/>
                <w:u w:val="single"/>
                <w:lang w:val="en-US" w:eastAsia="zh-CN" w:bidi="ar"/>
              </w:rPr>
              <w:t>1U标准机架设备，单电源，国产化软硬件平台；设备配置8个千兆自适应电口，4个千兆SFP光口，2个接口扩展槽位，2个USB接口，1个RJ45Console口，配置加密卡；整机吞吐能力不小于5Gbps，SSLVPN加密速度不小于30OMbps，SSLVPN最大并发用户数不小于1000；此次提供50个SSLVPN并发用户授权，三年软硬件质保服务。</w:t>
            </w:r>
          </w:p>
          <w:p w14:paraId="46941471">
            <w:pPr>
              <w:keepNext w:val="0"/>
              <w:keepLines w:val="0"/>
              <w:widowControl/>
              <w:suppressLineNumbers w:val="0"/>
              <w:jc w:val="left"/>
              <w:textAlignment w:val="center"/>
              <w:rPr>
                <w:rStyle w:val="228"/>
                <w:rFonts w:hint="eastAsia" w:ascii="宋体" w:hAnsi="宋体" w:eastAsia="宋体" w:cs="宋体"/>
                <w:i/>
                <w:iCs/>
                <w:color w:val="auto"/>
                <w:sz w:val="21"/>
                <w:szCs w:val="21"/>
                <w:highlight w:val="none"/>
                <w:u w:val="single"/>
                <w:lang w:val="en-US" w:eastAsia="zh-CN" w:bidi="ar"/>
              </w:rPr>
            </w:pPr>
            <w:r>
              <w:rPr>
                <w:rStyle w:val="228"/>
                <w:rFonts w:hint="eastAsia" w:ascii="宋体" w:hAnsi="宋体" w:eastAsia="宋体" w:cs="宋体"/>
                <w:i/>
                <w:iCs/>
                <w:color w:val="auto"/>
                <w:sz w:val="21"/>
                <w:szCs w:val="21"/>
                <w:highlight w:val="none"/>
                <w:u w:val="single"/>
                <w:lang w:val="en-US" w:eastAsia="zh-CN" w:bidi="ar"/>
              </w:rPr>
              <w:t>1. 支持AES、DES、3DES、DH、RSA、RC4、MD5、SHA1SHA2 等多种国际密码算法；</w:t>
            </w:r>
          </w:p>
          <w:p w14:paraId="0F61D46B">
            <w:pPr>
              <w:keepNext w:val="0"/>
              <w:keepLines w:val="0"/>
              <w:widowControl/>
              <w:suppressLineNumbers w:val="0"/>
              <w:jc w:val="left"/>
              <w:textAlignment w:val="center"/>
              <w:rPr>
                <w:rStyle w:val="228"/>
                <w:rFonts w:hint="eastAsia" w:ascii="宋体" w:hAnsi="宋体" w:eastAsia="宋体" w:cs="宋体"/>
                <w:i/>
                <w:iCs/>
                <w:color w:val="auto"/>
                <w:sz w:val="21"/>
                <w:szCs w:val="21"/>
                <w:highlight w:val="none"/>
                <w:u w:val="single"/>
                <w:lang w:val="en-US" w:eastAsia="zh-CN" w:bidi="ar"/>
              </w:rPr>
            </w:pPr>
            <w:r>
              <w:rPr>
                <w:rStyle w:val="228"/>
                <w:rFonts w:hint="eastAsia" w:ascii="宋体" w:hAnsi="宋体" w:eastAsia="宋体" w:cs="宋体"/>
                <w:i/>
                <w:iCs/>
                <w:color w:val="auto"/>
                <w:sz w:val="21"/>
                <w:szCs w:val="21"/>
                <w:highlight w:val="none"/>
                <w:u w:val="single"/>
                <w:lang w:val="en-US" w:eastAsia="zh-CN" w:bidi="ar"/>
              </w:rPr>
              <w:t>2.支持国家商用密码算法包括:SM1/SM2/SM3/SM4；</w:t>
            </w:r>
          </w:p>
          <w:p w14:paraId="51E58266">
            <w:pPr>
              <w:keepNext w:val="0"/>
              <w:keepLines w:val="0"/>
              <w:widowControl/>
              <w:suppressLineNumbers w:val="0"/>
              <w:jc w:val="left"/>
              <w:textAlignment w:val="center"/>
              <w:rPr>
                <w:rStyle w:val="228"/>
                <w:rFonts w:hint="eastAsia" w:ascii="宋体" w:hAnsi="宋体" w:eastAsia="宋体" w:cs="宋体"/>
                <w:i/>
                <w:iCs/>
                <w:color w:val="auto"/>
                <w:sz w:val="21"/>
                <w:szCs w:val="21"/>
                <w:highlight w:val="none"/>
                <w:u w:val="single"/>
                <w:lang w:val="en-US" w:eastAsia="zh-CN" w:bidi="ar"/>
              </w:rPr>
            </w:pPr>
            <w:r>
              <w:rPr>
                <w:rStyle w:val="228"/>
                <w:rFonts w:hint="eastAsia" w:ascii="宋体" w:hAnsi="宋体" w:eastAsia="宋体" w:cs="宋体"/>
                <w:i/>
                <w:iCs/>
                <w:color w:val="auto"/>
                <w:sz w:val="21"/>
                <w:szCs w:val="21"/>
                <w:highlight w:val="none"/>
                <w:u w:val="single"/>
                <w:lang w:val="en-US" w:eastAsia="zh-CN" w:bidi="ar"/>
              </w:rPr>
              <w:t>3.虚拟门户支持安全协议版本选择，TLS1.2/1.1/1.0、SSL3.0/2.0 及国密协议，可自定义网关证书和网关证书链；</w:t>
            </w:r>
          </w:p>
          <w:p w14:paraId="4ACFBC1E">
            <w:pPr>
              <w:keepNext w:val="0"/>
              <w:keepLines w:val="0"/>
              <w:widowControl/>
              <w:suppressLineNumbers w:val="0"/>
              <w:jc w:val="left"/>
              <w:textAlignment w:val="center"/>
              <w:rPr>
                <w:rStyle w:val="228"/>
                <w:rFonts w:hint="eastAsia" w:ascii="宋体" w:hAnsi="宋体" w:eastAsia="宋体" w:cs="宋体"/>
                <w:i/>
                <w:iCs/>
                <w:color w:val="auto"/>
                <w:sz w:val="21"/>
                <w:szCs w:val="21"/>
                <w:highlight w:val="none"/>
                <w:u w:val="single"/>
                <w:lang w:val="en-US" w:eastAsia="zh-CN" w:bidi="ar"/>
              </w:rPr>
            </w:pPr>
            <w:r>
              <w:rPr>
                <w:rStyle w:val="228"/>
                <w:rFonts w:hint="eastAsia" w:ascii="宋体" w:hAnsi="宋体" w:eastAsia="宋体" w:cs="宋体"/>
                <w:i/>
                <w:iCs/>
                <w:color w:val="auto"/>
                <w:sz w:val="21"/>
                <w:szCs w:val="21"/>
                <w:highlight w:val="none"/>
                <w:u w:val="single"/>
                <w:lang w:val="en-US" w:eastAsia="zh-CN" w:bidi="ar"/>
              </w:rPr>
              <w:t>4.支持SM2/RSA双证书自适应部署模式，解决国密HTTPS站点浏览器兼容性问题；</w:t>
            </w:r>
          </w:p>
          <w:p w14:paraId="6F7AE834">
            <w:pPr>
              <w:keepNext w:val="0"/>
              <w:keepLines w:val="0"/>
              <w:widowControl/>
              <w:suppressLineNumbers w:val="0"/>
              <w:jc w:val="left"/>
              <w:textAlignment w:val="center"/>
              <w:rPr>
                <w:rStyle w:val="228"/>
                <w:rFonts w:hint="eastAsia" w:ascii="宋体" w:hAnsi="宋体" w:eastAsia="宋体" w:cs="宋体"/>
                <w:i/>
                <w:iCs/>
                <w:color w:val="auto"/>
                <w:sz w:val="21"/>
                <w:szCs w:val="21"/>
                <w:highlight w:val="none"/>
                <w:u w:val="single"/>
                <w:lang w:val="en-US" w:eastAsia="zh-CN" w:bidi="ar"/>
              </w:rPr>
            </w:pPr>
            <w:r>
              <w:rPr>
                <w:rStyle w:val="228"/>
                <w:rFonts w:hint="eastAsia" w:ascii="宋体" w:hAnsi="宋体" w:eastAsia="宋体" w:cs="宋体"/>
                <w:i/>
                <w:iCs/>
                <w:color w:val="auto"/>
                <w:sz w:val="21"/>
                <w:szCs w:val="21"/>
                <w:highlight w:val="none"/>
                <w:u w:val="single"/>
                <w:lang w:val="en-US" w:eastAsia="zh-CN" w:bidi="ar"/>
              </w:rPr>
              <w:t>5.支持密码自助找回功能，当用户的密码忘记时，可自行通过短信验证码方式找回密码，减轻管理员维护压力；</w:t>
            </w:r>
          </w:p>
          <w:p w14:paraId="3DDDD4FB">
            <w:pPr>
              <w:keepNext w:val="0"/>
              <w:keepLines w:val="0"/>
              <w:widowControl/>
              <w:suppressLineNumbers w:val="0"/>
              <w:jc w:val="left"/>
              <w:textAlignment w:val="center"/>
              <w:rPr>
                <w:rStyle w:val="228"/>
                <w:rFonts w:hint="eastAsia" w:ascii="宋体" w:hAnsi="宋体" w:eastAsia="宋体" w:cs="宋体"/>
                <w:i/>
                <w:iCs/>
                <w:color w:val="auto"/>
                <w:sz w:val="21"/>
                <w:szCs w:val="21"/>
                <w:highlight w:val="none"/>
                <w:u w:val="single"/>
                <w:lang w:val="en-US" w:eastAsia="zh-CN" w:bidi="ar"/>
              </w:rPr>
            </w:pPr>
            <w:r>
              <w:rPr>
                <w:rStyle w:val="228"/>
                <w:rFonts w:hint="eastAsia" w:ascii="宋体" w:hAnsi="宋体" w:eastAsia="宋体" w:cs="宋体"/>
                <w:i/>
                <w:iCs/>
                <w:color w:val="auto"/>
                <w:sz w:val="21"/>
                <w:szCs w:val="21"/>
                <w:highlight w:val="none"/>
                <w:u w:val="single"/>
                <w:lang w:val="en-US" w:eastAsia="zh-CN" w:bidi="ar"/>
              </w:rPr>
              <w:t>6.支持专线功能，可设定使用时仅能访问内网资源，支持登录超时限制时间功能；</w:t>
            </w:r>
          </w:p>
          <w:p w14:paraId="2F02904B">
            <w:pPr>
              <w:keepNext w:val="0"/>
              <w:keepLines w:val="0"/>
              <w:widowControl/>
              <w:suppressLineNumbers w:val="0"/>
              <w:jc w:val="left"/>
              <w:textAlignment w:val="center"/>
              <w:rPr>
                <w:rStyle w:val="228"/>
                <w:rFonts w:hint="eastAsia" w:ascii="宋体" w:hAnsi="宋体" w:eastAsia="宋体" w:cs="宋体"/>
                <w:i/>
                <w:iCs/>
                <w:color w:val="auto"/>
                <w:sz w:val="21"/>
                <w:szCs w:val="21"/>
                <w:highlight w:val="none"/>
                <w:u w:val="single"/>
                <w:lang w:val="en-US" w:eastAsia="zh-CN" w:bidi="ar"/>
              </w:rPr>
            </w:pPr>
            <w:r>
              <w:rPr>
                <w:rStyle w:val="228"/>
                <w:rFonts w:hint="eastAsia" w:ascii="宋体" w:hAnsi="宋体" w:eastAsia="宋体" w:cs="宋体"/>
                <w:i/>
                <w:iCs/>
                <w:color w:val="auto"/>
                <w:sz w:val="21"/>
                <w:szCs w:val="21"/>
                <w:highlight w:val="none"/>
                <w:u w:val="single"/>
                <w:lang w:val="en-US" w:eastAsia="zh-CN" w:bidi="ar"/>
              </w:rPr>
              <w:t>7.具备SPA单包授权功能，服务端关闭防火墙，不暴露端口，保障服务不受非法攻击，限制用户只能通过安全认证网关客户端访问认证服务；</w:t>
            </w:r>
          </w:p>
          <w:p w14:paraId="0AE47255">
            <w:pPr>
              <w:keepNext w:val="0"/>
              <w:keepLines w:val="0"/>
              <w:widowControl/>
              <w:suppressLineNumbers w:val="0"/>
              <w:jc w:val="left"/>
              <w:textAlignment w:val="center"/>
              <w:rPr>
                <w:rStyle w:val="228"/>
                <w:rFonts w:hint="eastAsia" w:ascii="宋体" w:hAnsi="宋体" w:eastAsia="宋体" w:cs="宋体"/>
                <w:i/>
                <w:iCs/>
                <w:color w:val="auto"/>
                <w:sz w:val="21"/>
                <w:szCs w:val="21"/>
                <w:highlight w:val="none"/>
                <w:u w:val="single"/>
                <w:lang w:val="en-US" w:eastAsia="zh-CN" w:bidi="ar"/>
              </w:rPr>
            </w:pPr>
            <w:r>
              <w:rPr>
                <w:rFonts w:hint="eastAsia" w:ascii="宋体" w:hAnsi="宋体" w:eastAsia="宋体" w:cs="宋体"/>
                <w:i w:val="0"/>
                <w:iCs w:val="0"/>
                <w:color w:val="auto"/>
                <w:kern w:val="0"/>
                <w:sz w:val="21"/>
                <w:szCs w:val="21"/>
                <w:highlight w:val="none"/>
                <w:u w:val="none"/>
                <w:lang w:val="en-US" w:eastAsia="zh-CN" w:bidi="ar"/>
              </w:rPr>
              <w:t>★</w:t>
            </w:r>
            <w:r>
              <w:rPr>
                <w:rStyle w:val="228"/>
                <w:rFonts w:hint="eastAsia" w:ascii="宋体" w:hAnsi="宋体" w:eastAsia="宋体" w:cs="宋体"/>
                <w:i w:val="0"/>
                <w:iCs w:val="0"/>
                <w:color w:val="auto"/>
                <w:sz w:val="21"/>
                <w:szCs w:val="21"/>
                <w:highlight w:val="none"/>
                <w:u w:val="none"/>
                <w:lang w:val="en-US" w:eastAsia="zh-CN" w:bidi="ar"/>
              </w:rPr>
              <w:t>8.产品客户端支持国产化操作系统客户端；</w:t>
            </w:r>
          </w:p>
          <w:p w14:paraId="49A7EA7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val="0"/>
                <w:iCs w:val="0"/>
                <w:color w:val="auto"/>
                <w:kern w:val="0"/>
                <w:sz w:val="21"/>
                <w:szCs w:val="21"/>
                <w:highlight w:val="none"/>
                <w:u w:val="none"/>
                <w:lang w:val="en-US" w:eastAsia="zh-CN" w:bidi="ar"/>
              </w:rPr>
              <w:t>★</w:t>
            </w:r>
            <w:r>
              <w:rPr>
                <w:rStyle w:val="228"/>
                <w:rFonts w:hint="eastAsia" w:ascii="宋体" w:hAnsi="宋体" w:eastAsia="宋体" w:cs="宋体"/>
                <w:i w:val="0"/>
                <w:iCs w:val="0"/>
                <w:color w:val="auto"/>
                <w:sz w:val="21"/>
                <w:szCs w:val="21"/>
                <w:highlight w:val="none"/>
                <w:u w:val="none"/>
                <w:lang w:val="en-US" w:eastAsia="zh-CN" w:bidi="ar"/>
              </w:rPr>
              <w:t>9.产品具有网络安全专用产品安全检测证书</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A0D1D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7BADC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0BDF3E">
            <w:pPr>
              <w:rPr>
                <w:rFonts w:hint="eastAsia" w:ascii="宋体" w:hAnsi="宋体" w:eastAsia="宋体" w:cs="宋体"/>
                <w:i w:val="0"/>
                <w:color w:val="auto"/>
                <w:sz w:val="21"/>
                <w:szCs w:val="21"/>
                <w:highlight w:val="none"/>
                <w:u w:val="none"/>
              </w:rPr>
            </w:pPr>
          </w:p>
        </w:tc>
      </w:tr>
      <w:tr w14:paraId="3F0BFAFC">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71E9E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DBE142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SSL证书</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F779E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支持国密浏览器的SM2算法SSL证书 SSL证书是指验证网站所有单位的真实身份的标准型。</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1B940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个</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19E07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E76B93">
            <w:pPr>
              <w:rPr>
                <w:rFonts w:hint="eastAsia" w:ascii="宋体" w:hAnsi="宋体" w:eastAsia="宋体" w:cs="宋体"/>
                <w:i w:val="0"/>
                <w:color w:val="auto"/>
                <w:sz w:val="21"/>
                <w:szCs w:val="21"/>
                <w:highlight w:val="none"/>
                <w:u w:val="none"/>
              </w:rPr>
            </w:pPr>
          </w:p>
        </w:tc>
      </w:tr>
      <w:tr w14:paraId="07BCB479">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E8F21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C9552A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数字证书</w:t>
            </w:r>
            <w:r>
              <w:rPr>
                <w:rFonts w:hint="eastAsia" w:ascii="宋体" w:hAnsi="宋体" w:eastAsia="宋体" w:cs="宋体"/>
                <w:i w:val="0"/>
                <w:color w:val="auto"/>
                <w:kern w:val="0"/>
                <w:sz w:val="21"/>
                <w:szCs w:val="21"/>
                <w:highlight w:val="none"/>
                <w:u w:val="none"/>
                <w:lang w:val="en-US" w:eastAsia="zh-CN" w:bidi="ar"/>
              </w:rPr>
              <w:br w:type="textWrapping"/>
            </w:r>
            <w:r>
              <w:rPr>
                <w:rFonts w:hint="eastAsia" w:ascii="宋体" w:hAnsi="宋体" w:eastAsia="宋体" w:cs="宋体"/>
                <w:i w:val="0"/>
                <w:color w:val="auto"/>
                <w:kern w:val="0"/>
                <w:sz w:val="21"/>
                <w:szCs w:val="21"/>
                <w:highlight w:val="none"/>
                <w:u w:val="none"/>
                <w:lang w:val="en-US" w:eastAsia="zh-CN" w:bidi="ar"/>
              </w:rPr>
              <w:t>密码钥匙</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68709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用于用户私钥、数字证书存储，及密码运算。含CA个人证书一张，有效期3年</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04604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61CE0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44EC68">
            <w:pPr>
              <w:rPr>
                <w:rFonts w:hint="eastAsia" w:ascii="宋体" w:hAnsi="宋体" w:eastAsia="宋体" w:cs="宋体"/>
                <w:i w:val="0"/>
                <w:color w:val="auto"/>
                <w:sz w:val="21"/>
                <w:szCs w:val="21"/>
                <w:highlight w:val="none"/>
                <w:u w:val="none"/>
              </w:rPr>
            </w:pPr>
          </w:p>
        </w:tc>
      </w:tr>
    </w:tbl>
    <w:p w14:paraId="64C98463">
      <w:pPr>
        <w:pStyle w:val="38"/>
        <w:ind w:left="0" w:leftChars="0" w:firstLine="0" w:firstLineChars="0"/>
        <w:rPr>
          <w:rFonts w:hint="eastAsia"/>
          <w:b/>
          <w:bCs w:val="0"/>
          <w:color w:val="auto"/>
          <w:highlight w:val="none"/>
          <w:lang w:val="zh-CN" w:eastAsia="zh-CN"/>
        </w:rPr>
      </w:pPr>
      <w:r>
        <w:rPr>
          <w:rFonts w:hint="eastAsia" w:ascii="宋体" w:hAnsi="宋体" w:eastAsia="宋体" w:cs="宋体"/>
          <w:b/>
          <w:bCs w:val="0"/>
          <w:color w:val="auto"/>
          <w:sz w:val="21"/>
          <w:szCs w:val="21"/>
          <w:highlight w:val="none"/>
          <w:lang w:val="zh-CN" w:eastAsia="zh-CN" w:bidi="ar-SA"/>
        </w:rPr>
        <w:t>视觉多模态大模型功能点清单视觉通用大模型：</w:t>
      </w:r>
    </w:p>
    <w:tbl>
      <w:tblPr>
        <w:tblStyle w:val="31"/>
        <w:tblW w:w="8665" w:type="dxa"/>
        <w:tblInd w:w="0" w:type="dxa"/>
        <w:shd w:val="clear" w:color="auto" w:fill="auto"/>
        <w:tblLayout w:type="fixed"/>
        <w:tblCellMar>
          <w:top w:w="0" w:type="dxa"/>
          <w:left w:w="0" w:type="dxa"/>
          <w:bottom w:w="0" w:type="dxa"/>
          <w:right w:w="0" w:type="dxa"/>
        </w:tblCellMar>
      </w:tblPr>
      <w:tblGrid>
        <w:gridCol w:w="588"/>
        <w:gridCol w:w="865"/>
        <w:gridCol w:w="958"/>
        <w:gridCol w:w="1119"/>
        <w:gridCol w:w="4442"/>
        <w:gridCol w:w="693"/>
      </w:tblGrid>
      <w:tr w14:paraId="17A87685">
        <w:tblPrEx>
          <w:tblCellMar>
            <w:top w:w="0" w:type="dxa"/>
            <w:left w:w="0" w:type="dxa"/>
            <w:bottom w:w="0" w:type="dxa"/>
            <w:right w:w="0" w:type="dxa"/>
          </w:tblCellMar>
        </w:tblPrEx>
        <w:trPr>
          <w:trHeight w:val="285" w:hRule="atLeast"/>
        </w:trPr>
        <w:tc>
          <w:tcPr>
            <w:tcW w:w="588" w:type="dxa"/>
            <w:tcBorders>
              <w:top w:val="single" w:color="000000" w:sz="4" w:space="0"/>
              <w:left w:val="single" w:color="000000" w:sz="4" w:space="0"/>
              <w:bottom w:val="single" w:color="000000" w:sz="4" w:space="0"/>
              <w:right w:val="single" w:color="000000" w:sz="4" w:space="0"/>
            </w:tcBorders>
            <w:shd w:val="clear" w:color="auto" w:fill="A6A6A6"/>
            <w:tcMar>
              <w:top w:w="15" w:type="dxa"/>
              <w:left w:w="15" w:type="dxa"/>
              <w:right w:w="15" w:type="dxa"/>
            </w:tcMar>
            <w:vAlign w:val="center"/>
          </w:tcPr>
          <w:p w14:paraId="3C0316A0">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编号</w:t>
            </w:r>
          </w:p>
        </w:tc>
        <w:tc>
          <w:tcPr>
            <w:tcW w:w="865" w:type="dxa"/>
            <w:tcBorders>
              <w:top w:val="single" w:color="000000" w:sz="4" w:space="0"/>
              <w:left w:val="single" w:color="000000" w:sz="4" w:space="0"/>
              <w:bottom w:val="single" w:color="000000" w:sz="4" w:space="0"/>
              <w:right w:val="single" w:color="000000" w:sz="4" w:space="0"/>
            </w:tcBorders>
            <w:shd w:val="clear" w:color="auto" w:fill="A6A6A6"/>
            <w:tcMar>
              <w:top w:w="15" w:type="dxa"/>
              <w:left w:w="15" w:type="dxa"/>
              <w:right w:w="15" w:type="dxa"/>
            </w:tcMar>
            <w:vAlign w:val="center"/>
          </w:tcPr>
          <w:p w14:paraId="22264015">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子系统</w:t>
            </w:r>
          </w:p>
        </w:tc>
        <w:tc>
          <w:tcPr>
            <w:tcW w:w="958" w:type="dxa"/>
            <w:tcBorders>
              <w:top w:val="single" w:color="000000" w:sz="4" w:space="0"/>
              <w:left w:val="single" w:color="000000" w:sz="4" w:space="0"/>
              <w:bottom w:val="single" w:color="000000" w:sz="4" w:space="0"/>
              <w:right w:val="single" w:color="000000" w:sz="4" w:space="0"/>
            </w:tcBorders>
            <w:shd w:val="clear" w:color="auto" w:fill="A6A6A6"/>
            <w:tcMar>
              <w:top w:w="15" w:type="dxa"/>
              <w:left w:w="15" w:type="dxa"/>
              <w:right w:w="15" w:type="dxa"/>
            </w:tcMar>
            <w:vAlign w:val="center"/>
          </w:tcPr>
          <w:p w14:paraId="43CA8420">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一级模块</w:t>
            </w:r>
          </w:p>
        </w:tc>
        <w:tc>
          <w:tcPr>
            <w:tcW w:w="1119" w:type="dxa"/>
            <w:tcBorders>
              <w:top w:val="single" w:color="000000" w:sz="4" w:space="0"/>
              <w:left w:val="single" w:color="000000" w:sz="4" w:space="0"/>
              <w:bottom w:val="single" w:color="000000" w:sz="4" w:space="0"/>
              <w:right w:val="single" w:color="000000" w:sz="4" w:space="0"/>
            </w:tcBorders>
            <w:shd w:val="clear" w:color="auto" w:fill="A6A6A6"/>
            <w:tcMar>
              <w:top w:w="15" w:type="dxa"/>
              <w:left w:w="15" w:type="dxa"/>
              <w:right w:w="15" w:type="dxa"/>
            </w:tcMar>
            <w:vAlign w:val="center"/>
          </w:tcPr>
          <w:p w14:paraId="3E46D8F7">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二级模块</w:t>
            </w:r>
          </w:p>
        </w:tc>
        <w:tc>
          <w:tcPr>
            <w:tcW w:w="4442" w:type="dxa"/>
            <w:tcBorders>
              <w:top w:val="single" w:color="000000" w:sz="4" w:space="0"/>
              <w:left w:val="nil"/>
              <w:bottom w:val="single" w:color="000000" w:sz="4" w:space="0"/>
              <w:right w:val="single" w:color="000000" w:sz="4" w:space="0"/>
            </w:tcBorders>
            <w:shd w:val="clear" w:color="auto" w:fill="A6A6A6"/>
            <w:tcMar>
              <w:top w:w="15" w:type="dxa"/>
              <w:left w:w="15" w:type="dxa"/>
              <w:right w:w="15" w:type="dxa"/>
            </w:tcMar>
            <w:vAlign w:val="center"/>
          </w:tcPr>
          <w:p w14:paraId="54FB902F">
            <w:pPr>
              <w:keepNext w:val="0"/>
              <w:keepLines w:val="0"/>
              <w:widowControl/>
              <w:suppressLineNumbers w:val="0"/>
              <w:jc w:val="left"/>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功能项描述</w:t>
            </w:r>
          </w:p>
        </w:tc>
        <w:tc>
          <w:tcPr>
            <w:tcW w:w="693" w:type="dxa"/>
            <w:tcBorders>
              <w:top w:val="single" w:color="000000" w:sz="4" w:space="0"/>
              <w:left w:val="single" w:color="000000" w:sz="4" w:space="0"/>
              <w:bottom w:val="single" w:color="000000" w:sz="4" w:space="0"/>
              <w:right w:val="single" w:color="000000" w:sz="4" w:space="0"/>
            </w:tcBorders>
            <w:shd w:val="clear" w:color="auto" w:fill="A6A6A6"/>
            <w:tcMar>
              <w:top w:w="15" w:type="dxa"/>
              <w:left w:w="15" w:type="dxa"/>
              <w:right w:w="15" w:type="dxa"/>
            </w:tcMar>
            <w:vAlign w:val="center"/>
          </w:tcPr>
          <w:p w14:paraId="1C6BCA87">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备注</w:t>
            </w:r>
          </w:p>
        </w:tc>
      </w:tr>
      <w:tr w14:paraId="3655347B">
        <w:tblPrEx>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4D6A2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818A9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视觉通用大模型</w:t>
            </w: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02FE0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平台综合门户</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1689F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811C4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集中展示平台的实时预警和语音调度功能，方便用户全面、及时地掌握平台各类关键信息与实现高效调度操作。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A66378">
            <w:pPr>
              <w:jc w:val="center"/>
              <w:rPr>
                <w:rFonts w:hint="eastAsia" w:ascii="宋体" w:hAnsi="宋体" w:eastAsia="宋体" w:cs="宋体"/>
                <w:i w:val="0"/>
                <w:color w:val="auto"/>
                <w:sz w:val="21"/>
                <w:szCs w:val="21"/>
                <w:highlight w:val="none"/>
                <w:u w:val="none"/>
              </w:rPr>
            </w:pPr>
          </w:p>
        </w:tc>
      </w:tr>
      <w:tr w14:paraId="199456CE">
        <w:tblPrEx>
          <w:shd w:val="clear" w:color="auto" w:fill="auto"/>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FEB59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C2F88F">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6A875B">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5E580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身份认证管理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8F1BB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对用户登录和登出的统一管理。登录管理是提供用户输入验证信息后登录系统的验证。退出是注销当前登录信息的管理。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62D831">
            <w:pPr>
              <w:jc w:val="center"/>
              <w:rPr>
                <w:rFonts w:hint="eastAsia" w:ascii="宋体" w:hAnsi="宋体" w:eastAsia="宋体" w:cs="宋体"/>
                <w:i w:val="0"/>
                <w:color w:val="auto"/>
                <w:sz w:val="21"/>
                <w:szCs w:val="21"/>
                <w:highlight w:val="none"/>
                <w:u w:val="none"/>
              </w:rPr>
            </w:pPr>
          </w:p>
        </w:tc>
      </w:tr>
      <w:tr w14:paraId="1E0905C3">
        <w:tblPrEx>
          <w:shd w:val="clear" w:color="auto" w:fill="auto"/>
          <w:tblCellMar>
            <w:top w:w="0" w:type="dxa"/>
            <w:left w:w="0" w:type="dxa"/>
            <w:bottom w:w="0" w:type="dxa"/>
            <w:right w:w="0" w:type="dxa"/>
          </w:tblCellMar>
        </w:tblPrEx>
        <w:trPr>
          <w:trHeight w:val="162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74234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2721BC">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C49EE6">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D01DC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实时预警</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37538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对预警信息的实时展示，动态获取算法运行后产生的预警信息，并通过页面进行展示。包括任务统计信息、七日预警信息、今日预警信息、任务今日预警排名信息、设备今日预警排名信息、实时算力分析信息等。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2F6D6E">
            <w:pPr>
              <w:jc w:val="center"/>
              <w:rPr>
                <w:rFonts w:hint="eastAsia" w:ascii="宋体" w:hAnsi="宋体" w:eastAsia="宋体" w:cs="宋体"/>
                <w:i w:val="0"/>
                <w:color w:val="auto"/>
                <w:sz w:val="21"/>
                <w:szCs w:val="21"/>
                <w:highlight w:val="none"/>
                <w:u w:val="none"/>
              </w:rPr>
            </w:pPr>
          </w:p>
        </w:tc>
      </w:tr>
      <w:tr w14:paraId="34B969EC">
        <w:tblPrEx>
          <w:shd w:val="clear" w:color="auto" w:fill="auto"/>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77203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9A57F9">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C9B96E">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FBCD8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语音调度</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6E027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可通过语音进行设备算法的调度，通过语音的方式动态创建一个算法，并在指定设备中运行解析</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3285F3">
            <w:pPr>
              <w:jc w:val="center"/>
              <w:rPr>
                <w:rFonts w:hint="eastAsia" w:ascii="宋体" w:hAnsi="宋体" w:eastAsia="宋体" w:cs="宋体"/>
                <w:i w:val="0"/>
                <w:color w:val="auto"/>
                <w:sz w:val="21"/>
                <w:szCs w:val="21"/>
                <w:highlight w:val="none"/>
                <w:u w:val="none"/>
              </w:rPr>
            </w:pPr>
          </w:p>
        </w:tc>
      </w:tr>
      <w:tr w14:paraId="5FF95E96">
        <w:tblPrEx>
          <w:shd w:val="clear" w:color="auto" w:fill="auto"/>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83585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7E0FC8">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6C263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平台视频窗口界面</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F36FE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B1439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不少于四分屏主题解析图片窗口显示。包含模块导航按钮以列表形式显示已定义分析场景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82E0C3">
            <w:pPr>
              <w:jc w:val="center"/>
              <w:rPr>
                <w:rFonts w:hint="eastAsia" w:ascii="宋体" w:hAnsi="宋体" w:eastAsia="宋体" w:cs="宋体"/>
                <w:i w:val="0"/>
                <w:color w:val="auto"/>
                <w:sz w:val="21"/>
                <w:szCs w:val="21"/>
                <w:highlight w:val="none"/>
                <w:u w:val="none"/>
              </w:rPr>
            </w:pPr>
          </w:p>
        </w:tc>
      </w:tr>
      <w:tr w14:paraId="11C784C9">
        <w:tblPrEx>
          <w:shd w:val="clear" w:color="auto" w:fill="auto"/>
          <w:tblCellMar>
            <w:top w:w="0" w:type="dxa"/>
            <w:left w:w="0" w:type="dxa"/>
            <w:bottom w:w="0" w:type="dxa"/>
            <w:right w:w="0" w:type="dxa"/>
          </w:tblCellMar>
        </w:tblPrEx>
        <w:trPr>
          <w:trHeight w:val="135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56F83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25BB80">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5AE77A">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37F60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卡口显示</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26C13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能够实现主题及算法列表树、解析流水及报警列表，能够实现按所有主题和选中主题显示报警信息。展示全部的解析流水和预警流水信息，能够实现主题事件进行检索。</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4E721A">
            <w:pPr>
              <w:jc w:val="center"/>
              <w:rPr>
                <w:rFonts w:hint="eastAsia" w:ascii="宋体" w:hAnsi="宋体" w:eastAsia="宋体" w:cs="宋体"/>
                <w:i w:val="0"/>
                <w:color w:val="auto"/>
                <w:sz w:val="21"/>
                <w:szCs w:val="21"/>
                <w:highlight w:val="none"/>
                <w:u w:val="none"/>
              </w:rPr>
            </w:pPr>
          </w:p>
        </w:tc>
      </w:tr>
      <w:tr w14:paraId="3D47BFC6">
        <w:tblPrEx>
          <w:shd w:val="clear" w:color="auto" w:fill="auto"/>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2624C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E9F29D">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9BE91A">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4A6A0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预警详情</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3D87F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能够实现预警信息显示详细信息，包括目标图片、预警级别、任务、主题、算法、来源、来源时间、预警时间、视频时长、截图时间信息。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62E6A2">
            <w:pPr>
              <w:jc w:val="center"/>
              <w:rPr>
                <w:rFonts w:hint="eastAsia" w:ascii="宋体" w:hAnsi="宋体" w:eastAsia="宋体" w:cs="宋体"/>
                <w:i w:val="0"/>
                <w:color w:val="auto"/>
                <w:sz w:val="21"/>
                <w:szCs w:val="21"/>
                <w:highlight w:val="none"/>
                <w:u w:val="none"/>
              </w:rPr>
            </w:pPr>
          </w:p>
        </w:tc>
      </w:tr>
      <w:tr w14:paraId="11097F59">
        <w:tblPrEx>
          <w:shd w:val="clear" w:color="auto" w:fill="auto"/>
          <w:tblCellMar>
            <w:top w:w="0" w:type="dxa"/>
            <w:left w:w="0" w:type="dxa"/>
            <w:bottom w:w="0" w:type="dxa"/>
            <w:right w:w="0" w:type="dxa"/>
          </w:tblCellMar>
        </w:tblPrEx>
        <w:trPr>
          <w:trHeight w:val="135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F2EBB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EBD634">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0B4F41">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4BF05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解析详情</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A76E9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能够实现查看解析流水解析详情查看，包括目标图片、任务、主题、算法、来源、所属场景、来源时间、开始时间、完成时间，其中所属场景可以进行选取已定义场景对来源进行分类标注。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A2301C">
            <w:pPr>
              <w:jc w:val="center"/>
              <w:rPr>
                <w:rFonts w:hint="eastAsia" w:ascii="宋体" w:hAnsi="宋体" w:eastAsia="宋体" w:cs="宋体"/>
                <w:i w:val="0"/>
                <w:color w:val="auto"/>
                <w:sz w:val="21"/>
                <w:szCs w:val="21"/>
                <w:highlight w:val="none"/>
                <w:u w:val="none"/>
              </w:rPr>
            </w:pPr>
          </w:p>
        </w:tc>
      </w:tr>
      <w:tr w14:paraId="094AB493">
        <w:tblPrEx>
          <w:shd w:val="clear" w:color="auto" w:fill="auto"/>
          <w:tblCellMar>
            <w:top w:w="0" w:type="dxa"/>
            <w:left w:w="0" w:type="dxa"/>
            <w:bottom w:w="0" w:type="dxa"/>
            <w:right w:w="0" w:type="dxa"/>
          </w:tblCellMar>
        </w:tblPrEx>
        <w:trPr>
          <w:trHeight w:val="216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419F8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763F4B">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A9DCE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平台预警和告警中心</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15BF6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00006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通过主题分类检索主题，查看主题报警列表，能够实现列表显示和排列显示两种模式，可以输入任务名称查看对应任务产生的所有预警信息。点击报警卡片可查询报警详细信息，包含预警等级、预警任务、主题、算法、来源、来源时间、预警时间、标签、描述、OCR文字等内容。</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1B6126">
            <w:pPr>
              <w:jc w:val="center"/>
              <w:rPr>
                <w:rFonts w:hint="eastAsia" w:ascii="宋体" w:hAnsi="宋体" w:eastAsia="宋体" w:cs="宋体"/>
                <w:i w:val="0"/>
                <w:color w:val="auto"/>
                <w:sz w:val="21"/>
                <w:szCs w:val="21"/>
                <w:highlight w:val="none"/>
                <w:u w:val="none"/>
              </w:rPr>
            </w:pPr>
          </w:p>
        </w:tc>
      </w:tr>
      <w:tr w14:paraId="6306C49C">
        <w:tblPrEx>
          <w:shd w:val="clear" w:color="auto" w:fill="auto"/>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FCEA4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613C7A">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6CB54B">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D7784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主题分类检索主题</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4B050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可通过主题分类检索主题，查看主题报警列表，能够实现列表显示和排列显示两种模式，可以输入任务名称查看对应任务产生的所有预警信息。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BA6E44">
            <w:pPr>
              <w:jc w:val="center"/>
              <w:rPr>
                <w:rFonts w:hint="eastAsia" w:ascii="宋体" w:hAnsi="宋体" w:eastAsia="宋体" w:cs="宋体"/>
                <w:i w:val="0"/>
                <w:color w:val="auto"/>
                <w:sz w:val="21"/>
                <w:szCs w:val="21"/>
                <w:highlight w:val="none"/>
                <w:u w:val="none"/>
              </w:rPr>
            </w:pPr>
          </w:p>
        </w:tc>
      </w:tr>
      <w:tr w14:paraId="3C02E5BD">
        <w:tblPrEx>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79738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110637">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DACB56">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62F4E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报警卡片可查询报警详</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3ADC3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点击报警卡片可查询报警详细信息，包含预警等级、预警任务、主题、算法、来源、来源时间、预警时间、标签、描述、OCR文字等内容。</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2B5C5B">
            <w:pPr>
              <w:jc w:val="center"/>
              <w:rPr>
                <w:rFonts w:hint="eastAsia" w:ascii="宋体" w:hAnsi="宋体" w:eastAsia="宋体" w:cs="宋体"/>
                <w:i w:val="0"/>
                <w:color w:val="auto"/>
                <w:sz w:val="21"/>
                <w:szCs w:val="21"/>
                <w:highlight w:val="none"/>
                <w:u w:val="none"/>
              </w:rPr>
            </w:pPr>
          </w:p>
        </w:tc>
      </w:tr>
      <w:tr w14:paraId="39D7AA06">
        <w:tblPrEx>
          <w:shd w:val="clear" w:color="auto" w:fill="auto"/>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BD471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93B067">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E2208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任务分析解析中心</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76AEE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BB819C">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能够实现实时解析、离线解析、回溯解析三类任务的新增、删除与检索，涵盖任务全流程操作;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A9BE72">
            <w:pPr>
              <w:jc w:val="center"/>
              <w:rPr>
                <w:rFonts w:hint="eastAsia" w:ascii="宋体" w:hAnsi="宋体" w:eastAsia="宋体" w:cs="宋体"/>
                <w:i w:val="0"/>
                <w:color w:val="auto"/>
                <w:sz w:val="21"/>
                <w:szCs w:val="21"/>
                <w:highlight w:val="none"/>
                <w:u w:val="none"/>
              </w:rPr>
            </w:pPr>
          </w:p>
        </w:tc>
      </w:tr>
      <w:tr w14:paraId="0C1B7622">
        <w:tblPrEx>
          <w:shd w:val="clear" w:color="auto" w:fill="auto"/>
          <w:tblCellMar>
            <w:top w:w="0" w:type="dxa"/>
            <w:left w:w="0" w:type="dxa"/>
            <w:bottom w:w="0" w:type="dxa"/>
            <w:right w:w="0" w:type="dxa"/>
          </w:tblCellMar>
        </w:tblPrEx>
        <w:trPr>
          <w:trHeight w:val="3618"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32106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5C878D">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1C0AA5">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B4962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实时解析</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D9796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能够实现对实时任务的新增、删除以及任务名称、主题事件的检索；能够实现查看任务的解析流水和实时预警信息；能够实现查看任务的设备信息、解析流水和实时预警；</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★能够实现全量解析、文字理解结构化、自定义描述（提示词的方式在解析过程中可以添加自定义条件）增强解析方式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能够实现持续拉流、持续轮询以及单次轮询三种调度方式，并可对运行周期、解析间隔、每日持续时间段、轮询并发设备数以及轮询超时时间进行配置，能够实现控制任务的启停操作。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E3845F">
            <w:pPr>
              <w:jc w:val="center"/>
              <w:rPr>
                <w:rFonts w:hint="eastAsia" w:ascii="宋体" w:hAnsi="宋体" w:eastAsia="宋体" w:cs="宋体"/>
                <w:i w:val="0"/>
                <w:color w:val="auto"/>
                <w:sz w:val="21"/>
                <w:szCs w:val="21"/>
                <w:highlight w:val="none"/>
                <w:u w:val="none"/>
              </w:rPr>
            </w:pPr>
          </w:p>
        </w:tc>
      </w:tr>
      <w:tr w14:paraId="49458E8C">
        <w:tblPrEx>
          <w:tblCellMar>
            <w:top w:w="0" w:type="dxa"/>
            <w:left w:w="0" w:type="dxa"/>
            <w:bottom w:w="0" w:type="dxa"/>
            <w:right w:w="0" w:type="dxa"/>
          </w:tblCellMar>
        </w:tblPrEx>
        <w:trPr>
          <w:trHeight w:val="3198"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42F72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B95B7F">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59FA59">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A53B5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离线解析</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038CFC">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可以显示任务名称、主题、算法、创建时间信息；能够实现对离线任务的新增、删除以及任务名称主题事件的检索；；</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能够实现全量解析、文字理解结构化、自定义描述（提示词的方式在解析过程中可以添加自定义条件）增强解析方式，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能够实现查看任务的解析流水和实时预警信息；能够实现查看任务的附件信息解析流水和实时预警；能够实现上传附件收藏和取消收藏功能；能够实现离线视频压缩比配置。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2D06C2">
            <w:pPr>
              <w:jc w:val="center"/>
              <w:rPr>
                <w:rFonts w:hint="eastAsia" w:ascii="宋体" w:hAnsi="宋体" w:eastAsia="宋体" w:cs="宋体"/>
                <w:i w:val="0"/>
                <w:color w:val="auto"/>
                <w:sz w:val="21"/>
                <w:szCs w:val="21"/>
                <w:highlight w:val="none"/>
                <w:u w:val="none"/>
              </w:rPr>
            </w:pPr>
          </w:p>
        </w:tc>
      </w:tr>
      <w:tr w14:paraId="16DAD1A2">
        <w:tblPrEx>
          <w:shd w:val="clear" w:color="auto" w:fill="auto"/>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1B03C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AA5F4C">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2C1488">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77B77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回溯解析</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28245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可以显示任务名称、算法、设备、时间段信息；能够实现对回溯任务的新增、删除以及任务名称、主题事件的检索；</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D017B7">
            <w:pPr>
              <w:jc w:val="center"/>
              <w:rPr>
                <w:rFonts w:hint="eastAsia" w:ascii="宋体" w:hAnsi="宋体" w:eastAsia="宋体" w:cs="宋体"/>
                <w:i w:val="0"/>
                <w:color w:val="auto"/>
                <w:sz w:val="21"/>
                <w:szCs w:val="21"/>
                <w:highlight w:val="none"/>
                <w:u w:val="none"/>
              </w:rPr>
            </w:pPr>
          </w:p>
        </w:tc>
      </w:tr>
      <w:tr w14:paraId="2E68A101">
        <w:tblPrEx>
          <w:tblCellMar>
            <w:top w:w="0" w:type="dxa"/>
            <w:left w:w="0" w:type="dxa"/>
            <w:bottom w:w="0" w:type="dxa"/>
            <w:right w:w="0" w:type="dxa"/>
          </w:tblCellMar>
        </w:tblPrEx>
        <w:trPr>
          <w:trHeight w:val="405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2DB0E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564D15">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B7630B">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8BBF0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在线跟踪</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CA68E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能够实现对在线跟踪任务新增、修改、删除和查询操作；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能够实现灵活设置新增任务，添加在线设备、算法、区域编码、解析类型、模型类型、目标类型等；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支持实时解析，可以根据算法选择接入设备比如摄像头，可以先择全量解析、文字理解结构化、自定义描述来进行解析任务，还可以设之三种调度方式，比如说持续拉流，持续轮询或这单次轮询，然后对运行周期进行配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能够实现在解析类型为滞留预警中设置滞留时间（秒）能够实现在任务详情中查看解析流水和预警信息；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B60E01">
            <w:pPr>
              <w:jc w:val="center"/>
              <w:rPr>
                <w:rFonts w:hint="eastAsia" w:ascii="宋体" w:hAnsi="宋体" w:eastAsia="宋体" w:cs="宋体"/>
                <w:i w:val="0"/>
                <w:color w:val="auto"/>
                <w:sz w:val="21"/>
                <w:szCs w:val="21"/>
                <w:highlight w:val="none"/>
                <w:u w:val="none"/>
              </w:rPr>
            </w:pPr>
          </w:p>
        </w:tc>
      </w:tr>
      <w:tr w14:paraId="4A9C4DED">
        <w:tblPrEx>
          <w:tblCellMar>
            <w:top w:w="0" w:type="dxa"/>
            <w:left w:w="0" w:type="dxa"/>
            <w:bottom w:w="0" w:type="dxa"/>
            <w:right w:w="0" w:type="dxa"/>
          </w:tblCellMar>
        </w:tblPrEx>
        <w:trPr>
          <w:trHeight w:val="1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637D2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1A97E7">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4BACF2">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8E9D2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离线跟踪</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22CEA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能够实现对离线跟踪任务新增、删除和查询操作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离线解析视频上传能够实现如下格式：AVI、MP4、MKV、WMV、MOV、FLV等；能够实现在任务详情中查看离线分析视频、解析流水和预警信息；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419A9D">
            <w:pPr>
              <w:jc w:val="center"/>
              <w:rPr>
                <w:rFonts w:hint="eastAsia" w:ascii="宋体" w:hAnsi="宋体" w:eastAsia="宋体" w:cs="宋体"/>
                <w:i w:val="0"/>
                <w:color w:val="auto"/>
                <w:sz w:val="21"/>
                <w:szCs w:val="21"/>
                <w:highlight w:val="none"/>
                <w:u w:val="none"/>
              </w:rPr>
            </w:pPr>
          </w:p>
        </w:tc>
      </w:tr>
      <w:tr w14:paraId="6571DDAA">
        <w:tblPrEx>
          <w:shd w:val="clear" w:color="auto" w:fill="auto"/>
          <w:tblCellMar>
            <w:top w:w="0" w:type="dxa"/>
            <w:left w:w="0" w:type="dxa"/>
            <w:bottom w:w="0" w:type="dxa"/>
            <w:right w:w="0" w:type="dxa"/>
          </w:tblCellMar>
        </w:tblPrEx>
        <w:trPr>
          <w:trHeight w:val="2745"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033E5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7F5CDC">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2F93F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任务管理中心</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9D50F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FD9CC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能够实现创建、管理应用分类。应用分类下可自由创建应用，应用可以捆绑多个场景算法及在线设备。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能够实现全量解析、标签解析、OCR结构化、自定义描述、轮巡解析等解析方式；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能够实现通过运行周期、解析间隔、每日持续时间段等功能灵活设置应用运行时间及周期</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应用市集中每个应用均能够实现结构化检索</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AB595F">
            <w:pPr>
              <w:jc w:val="center"/>
              <w:rPr>
                <w:rFonts w:hint="eastAsia" w:ascii="宋体" w:hAnsi="宋体" w:eastAsia="宋体" w:cs="宋体"/>
                <w:i w:val="0"/>
                <w:color w:val="auto"/>
                <w:sz w:val="21"/>
                <w:szCs w:val="21"/>
                <w:highlight w:val="none"/>
                <w:u w:val="none"/>
              </w:rPr>
            </w:pPr>
          </w:p>
        </w:tc>
      </w:tr>
      <w:tr w14:paraId="2036A0F1">
        <w:tblPrEx>
          <w:shd w:val="clear" w:color="auto" w:fill="auto"/>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D669B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FE1069">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AEC956">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F32C2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应用分类维护</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DE946C">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能够实现对应用分类的新增、查询、修改、删除、批量删除等操作能够实现查看今日预警数</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2BB8C7">
            <w:pPr>
              <w:jc w:val="center"/>
              <w:rPr>
                <w:rFonts w:hint="eastAsia" w:ascii="宋体" w:hAnsi="宋体" w:eastAsia="宋体" w:cs="宋体"/>
                <w:i w:val="0"/>
                <w:color w:val="auto"/>
                <w:sz w:val="21"/>
                <w:szCs w:val="21"/>
                <w:highlight w:val="none"/>
                <w:u w:val="none"/>
              </w:rPr>
            </w:pPr>
          </w:p>
        </w:tc>
      </w:tr>
      <w:tr w14:paraId="569EB0B4">
        <w:tblPrEx>
          <w:shd w:val="clear" w:color="auto" w:fill="auto"/>
          <w:tblCellMar>
            <w:top w:w="0" w:type="dxa"/>
            <w:left w:w="0" w:type="dxa"/>
            <w:bottom w:w="0" w:type="dxa"/>
            <w:right w:w="0" w:type="dxa"/>
          </w:tblCellMar>
        </w:tblPrEx>
        <w:trPr>
          <w:trHeight w:val="216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71A02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2C1A29">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EED619">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F8BC1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应用信息管理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CB9E7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选取应用分类、选取主题事件、选取设备、可配置全量解析、标签解析、自定义描述、OCR结构化、轮训解析。能够实现运行周期配置长期或定时规则、可配置解析间隔（时、分、秒），每日持续时间段配置。能够实现应用的启停操作能够实现应用排序能够实现海量设备的设备树节点和节点下设备选取</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4FD4A0">
            <w:pPr>
              <w:jc w:val="center"/>
              <w:rPr>
                <w:rFonts w:hint="eastAsia" w:ascii="宋体" w:hAnsi="宋体" w:eastAsia="宋体" w:cs="宋体"/>
                <w:i w:val="0"/>
                <w:color w:val="auto"/>
                <w:sz w:val="21"/>
                <w:szCs w:val="21"/>
                <w:highlight w:val="none"/>
                <w:u w:val="none"/>
              </w:rPr>
            </w:pPr>
          </w:p>
        </w:tc>
      </w:tr>
      <w:tr w14:paraId="2F10A16F">
        <w:tblPrEx>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D88AC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370A97">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BD8A90">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D1B95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应用卡口</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0620B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能够实现查看对应用名称的解析数据以及实时预警能够实现查看今日解析数、今日预警数、流水设备信息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830AD9">
            <w:pPr>
              <w:jc w:val="center"/>
              <w:rPr>
                <w:rFonts w:hint="eastAsia" w:ascii="宋体" w:hAnsi="宋体" w:eastAsia="宋体" w:cs="宋体"/>
                <w:i w:val="0"/>
                <w:color w:val="auto"/>
                <w:sz w:val="21"/>
                <w:szCs w:val="21"/>
                <w:highlight w:val="none"/>
                <w:u w:val="none"/>
              </w:rPr>
            </w:pPr>
          </w:p>
        </w:tc>
      </w:tr>
      <w:tr w14:paraId="6F3B7D7E">
        <w:tblPrEx>
          <w:shd w:val="clear" w:color="auto" w:fill="auto"/>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E9529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9B0718">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A875D1">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B329D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离线解析</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47BA6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能够实现配置视频解析间隔和视频压缩比能够实现上传离线视频和离线图片，能够实现选取收藏夹视频和图片的上传</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B24D05">
            <w:pPr>
              <w:jc w:val="center"/>
              <w:rPr>
                <w:rFonts w:hint="eastAsia" w:ascii="宋体" w:hAnsi="宋体" w:eastAsia="宋体" w:cs="宋体"/>
                <w:i w:val="0"/>
                <w:color w:val="auto"/>
                <w:sz w:val="21"/>
                <w:szCs w:val="21"/>
                <w:highlight w:val="none"/>
                <w:u w:val="none"/>
              </w:rPr>
            </w:pPr>
          </w:p>
        </w:tc>
      </w:tr>
      <w:tr w14:paraId="5DC665F9">
        <w:tblPrEx>
          <w:shd w:val="clear" w:color="auto" w:fill="auto"/>
          <w:tblCellMar>
            <w:top w:w="0" w:type="dxa"/>
            <w:left w:w="0" w:type="dxa"/>
            <w:bottom w:w="0" w:type="dxa"/>
            <w:right w:w="0" w:type="dxa"/>
          </w:tblCellMar>
        </w:tblPrEx>
        <w:trPr>
          <w:trHeight w:val="189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9459C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F40BA6">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50D63C">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EAFF4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应用详情</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5F284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查看设备的预警占比、24小时预警趋势、7天的预警趋势，事件的预警占比、24小时预警趋势、7天的预警趋势能够实现查看对应应用的预警信息能够实现查看对应应用的解析流水，图片可放大缩小能够实现查看对应用的设备列表，以及对应设备的解析流水</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CFAC8E">
            <w:pPr>
              <w:jc w:val="center"/>
              <w:rPr>
                <w:rFonts w:hint="eastAsia" w:ascii="宋体" w:hAnsi="宋体" w:eastAsia="宋体" w:cs="宋体"/>
                <w:i w:val="0"/>
                <w:color w:val="auto"/>
                <w:sz w:val="21"/>
                <w:szCs w:val="21"/>
                <w:highlight w:val="none"/>
                <w:u w:val="none"/>
              </w:rPr>
            </w:pPr>
          </w:p>
        </w:tc>
      </w:tr>
      <w:tr w14:paraId="706382A2">
        <w:tblPrEx>
          <w:shd w:val="clear" w:color="auto" w:fill="auto"/>
          <w:tblCellMar>
            <w:top w:w="0" w:type="dxa"/>
            <w:left w:w="0" w:type="dxa"/>
            <w:bottom w:w="0" w:type="dxa"/>
            <w:right w:w="0" w:type="dxa"/>
          </w:tblCellMar>
        </w:tblPrEx>
        <w:trPr>
          <w:trHeight w:val="135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6DCD0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A8193D">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07011F">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38776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应用编辑</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0638E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能够实现编辑应用分类、主题事件、设备、全量解析、标签解析、自定义描述、备注。能够实现编辑运行周期配置长期或定时规则、解析间隔（时、分、秒），每日持续时间段。</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157EEC">
            <w:pPr>
              <w:jc w:val="center"/>
              <w:rPr>
                <w:rFonts w:hint="eastAsia" w:ascii="宋体" w:hAnsi="宋体" w:eastAsia="宋体" w:cs="宋体"/>
                <w:i w:val="0"/>
                <w:color w:val="auto"/>
                <w:sz w:val="21"/>
                <w:szCs w:val="21"/>
                <w:highlight w:val="none"/>
                <w:u w:val="none"/>
              </w:rPr>
            </w:pPr>
          </w:p>
        </w:tc>
      </w:tr>
      <w:tr w14:paraId="5A40172F">
        <w:tblPrEx>
          <w:shd w:val="clear" w:color="auto" w:fill="auto"/>
          <w:tblCellMar>
            <w:top w:w="0" w:type="dxa"/>
            <w:left w:w="0" w:type="dxa"/>
            <w:bottom w:w="0" w:type="dxa"/>
            <w:right w:w="0" w:type="dxa"/>
          </w:tblCellMar>
        </w:tblPrEx>
        <w:trPr>
          <w:trHeight w:val="285"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E2AF3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3B21E1">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010D7E">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8B4A9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应用删除</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B2733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能够实现删除应用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B82402">
            <w:pPr>
              <w:jc w:val="center"/>
              <w:rPr>
                <w:rFonts w:hint="eastAsia" w:ascii="宋体" w:hAnsi="宋体" w:eastAsia="宋体" w:cs="宋体"/>
                <w:i w:val="0"/>
                <w:color w:val="auto"/>
                <w:sz w:val="21"/>
                <w:szCs w:val="21"/>
                <w:highlight w:val="none"/>
                <w:u w:val="none"/>
              </w:rPr>
            </w:pPr>
          </w:p>
        </w:tc>
      </w:tr>
      <w:tr w14:paraId="368C50E6">
        <w:tblPrEx>
          <w:shd w:val="clear" w:color="auto" w:fill="auto"/>
          <w:tblCellMar>
            <w:top w:w="0" w:type="dxa"/>
            <w:left w:w="0" w:type="dxa"/>
            <w:bottom w:w="0" w:type="dxa"/>
            <w:right w:w="0" w:type="dxa"/>
          </w:tblCellMar>
        </w:tblPrEx>
        <w:trPr>
          <w:trHeight w:val="189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3F1B3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26</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7B215F">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57D7A9">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7B5C5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设备轮询</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13F3E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根据应用选取的设备进行轮询，可查看轮询进度、并发数量、超时时间、设备数量、完成数量、超时数量、等待数量以及超时、已完成、处理中、排队中的占比。能够实现所有显示信息为实时动态展示，轮询进度动态展示已完成进度。</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1C6379">
            <w:pPr>
              <w:jc w:val="center"/>
              <w:rPr>
                <w:rFonts w:hint="eastAsia" w:ascii="宋体" w:hAnsi="宋体" w:eastAsia="宋体" w:cs="宋体"/>
                <w:i w:val="0"/>
                <w:color w:val="auto"/>
                <w:sz w:val="21"/>
                <w:szCs w:val="21"/>
                <w:highlight w:val="none"/>
                <w:u w:val="none"/>
              </w:rPr>
            </w:pPr>
          </w:p>
        </w:tc>
      </w:tr>
      <w:tr w14:paraId="3F407C49">
        <w:tblPrEx>
          <w:tblCellMar>
            <w:top w:w="0" w:type="dxa"/>
            <w:left w:w="0" w:type="dxa"/>
            <w:bottom w:w="0" w:type="dxa"/>
            <w:right w:w="0" w:type="dxa"/>
          </w:tblCellMar>
        </w:tblPrEx>
        <w:trPr>
          <w:trHeight w:val="162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07979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27</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FA5F8B">
            <w:pPr>
              <w:jc w:val="center"/>
              <w:rPr>
                <w:rFonts w:hint="eastAsia" w:ascii="宋体" w:hAnsi="宋体" w:eastAsia="宋体" w:cs="宋体"/>
                <w:i w:val="0"/>
                <w:color w:val="auto"/>
                <w:sz w:val="21"/>
                <w:szCs w:val="21"/>
                <w:highlight w:val="none"/>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E0BA0D">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34E5E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对外接入平台管理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96055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可以显示上下级对接平台的平台名称、接入类型、协议、IP地址、端口、规则、备注信息。能够实现与多个平台对接同时接入设备功能。可以能够实现对上下级对接平台的查询、新增、修改、删除操作。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DC825D">
            <w:pPr>
              <w:jc w:val="center"/>
              <w:rPr>
                <w:rFonts w:hint="eastAsia" w:ascii="宋体" w:hAnsi="宋体" w:eastAsia="宋体" w:cs="宋体"/>
                <w:i w:val="0"/>
                <w:color w:val="auto"/>
                <w:sz w:val="21"/>
                <w:szCs w:val="21"/>
                <w:highlight w:val="none"/>
                <w:u w:val="none"/>
              </w:rPr>
            </w:pPr>
          </w:p>
        </w:tc>
      </w:tr>
      <w:tr w14:paraId="380B0318">
        <w:tblPrEx>
          <w:shd w:val="clear" w:color="auto" w:fill="auto"/>
          <w:tblCellMar>
            <w:top w:w="0" w:type="dxa"/>
            <w:left w:w="0" w:type="dxa"/>
            <w:bottom w:w="0" w:type="dxa"/>
            <w:right w:w="0" w:type="dxa"/>
          </w:tblCellMar>
        </w:tblPrEx>
        <w:trPr>
          <w:trHeight w:val="4372"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C2937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28</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29620F">
            <w:pPr>
              <w:jc w:val="center"/>
              <w:rPr>
                <w:rFonts w:hint="eastAsia" w:ascii="宋体" w:hAnsi="宋体" w:eastAsia="宋体" w:cs="宋体"/>
                <w:i w:val="0"/>
                <w:color w:val="auto"/>
                <w:sz w:val="21"/>
                <w:szCs w:val="21"/>
                <w:highlight w:val="none"/>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7B085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设备对接窗口</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4B2B9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E6378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按区域/场景两个维度显示接入设备，可以显示设备名称、接入类型、接入地址、状态、所属区域等信息；可以能够实现对接入设备进行查询、新增、修改、删除操作。可以对设备启用设备、禁用设备设置。可以对设备进行场景配置、查看解析流水操作。系统可以进行视频描绘区域操作，可以绘制分析区域、输入绘制点位，可以对视频画面的分析识别区域进行绘制，绘制完成后，后端可以按照指定绘制区域进行分析，绘制区域以外的区域不进行分析。可以能够实现ftp和rtsp协议设备接入,能够实现多ftp解析程序，可独立运行。可以能够实现国标编码、经纬度、图片质量、分辨率、解析间隔的配置。可以能够实现设备配置场景标签功能，可以在解析流水中对所属场景进行人工选取定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4DE092">
            <w:pPr>
              <w:jc w:val="center"/>
              <w:rPr>
                <w:rFonts w:hint="eastAsia" w:ascii="宋体" w:hAnsi="宋体" w:eastAsia="宋体" w:cs="宋体"/>
                <w:i w:val="0"/>
                <w:color w:val="auto"/>
                <w:sz w:val="21"/>
                <w:szCs w:val="21"/>
                <w:highlight w:val="none"/>
                <w:u w:val="none"/>
              </w:rPr>
            </w:pPr>
          </w:p>
        </w:tc>
      </w:tr>
      <w:tr w14:paraId="6B59B10D">
        <w:tblPrEx>
          <w:shd w:val="clear" w:color="auto" w:fill="auto"/>
          <w:tblCellMar>
            <w:top w:w="0" w:type="dxa"/>
            <w:left w:w="0" w:type="dxa"/>
            <w:bottom w:w="0" w:type="dxa"/>
            <w:right w:w="0" w:type="dxa"/>
          </w:tblCellMar>
        </w:tblPrEx>
        <w:trPr>
          <w:trHeight w:val="162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1852B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29</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7DF933">
            <w:pPr>
              <w:jc w:val="center"/>
              <w:rPr>
                <w:rFonts w:hint="eastAsia" w:ascii="宋体" w:hAnsi="宋体" w:eastAsia="宋体" w:cs="宋体"/>
                <w:i w:val="0"/>
                <w:color w:val="auto"/>
                <w:sz w:val="21"/>
                <w:szCs w:val="21"/>
                <w:highlight w:val="none"/>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D5491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第三方对接管理</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B2658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C97D0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平台能够实现提供标准API接口实现和其他业务系统进行对接，实现外部系统、设备的规范化接入及数据交互；能够实现认证类型配置、认证规则定义、认证方式启用/禁用及版本管理等一系列认证相关操作。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5A4992">
            <w:pPr>
              <w:jc w:val="center"/>
              <w:rPr>
                <w:rFonts w:hint="eastAsia" w:ascii="宋体" w:hAnsi="宋体" w:eastAsia="宋体" w:cs="宋体"/>
                <w:i w:val="0"/>
                <w:color w:val="auto"/>
                <w:sz w:val="21"/>
                <w:szCs w:val="21"/>
                <w:highlight w:val="none"/>
                <w:u w:val="none"/>
              </w:rPr>
            </w:pPr>
          </w:p>
        </w:tc>
      </w:tr>
      <w:tr w14:paraId="667EBA0B">
        <w:tblPrEx>
          <w:shd w:val="clear" w:color="auto" w:fill="auto"/>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F7129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30</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ED96AB">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3C37D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系统权限管理</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617A5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9A773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权限管理涵盖用户、机构、岗位、角色四方面管理功能。包括4部分建设内容：用户管理、机构管理、岗位管理、角色管理。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D45A15">
            <w:pPr>
              <w:jc w:val="center"/>
              <w:rPr>
                <w:rFonts w:hint="eastAsia" w:ascii="宋体" w:hAnsi="宋体" w:eastAsia="宋体" w:cs="宋体"/>
                <w:i w:val="0"/>
                <w:color w:val="auto"/>
                <w:sz w:val="21"/>
                <w:szCs w:val="21"/>
                <w:highlight w:val="none"/>
                <w:u w:val="none"/>
              </w:rPr>
            </w:pPr>
          </w:p>
        </w:tc>
      </w:tr>
      <w:tr w14:paraId="03893A75">
        <w:tblPrEx>
          <w:shd w:val="clear" w:color="auto" w:fill="auto"/>
          <w:tblCellMar>
            <w:top w:w="0" w:type="dxa"/>
            <w:left w:w="0" w:type="dxa"/>
            <w:bottom w:w="0" w:type="dxa"/>
            <w:right w:w="0" w:type="dxa"/>
          </w:tblCellMar>
        </w:tblPrEx>
        <w:trPr>
          <w:trHeight w:val="135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BBA3E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31</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00CDE4">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C6F524">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E179C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用户管理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9135C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包括了显示用户相关信息，包括用户名、姓名、性别、手机号、邮箱、所属机构、状态、创建时间信息。能够实现对系统用户进行新增、删除、导入、到处、修改操作。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22CFBF">
            <w:pPr>
              <w:jc w:val="center"/>
              <w:rPr>
                <w:rFonts w:hint="eastAsia" w:ascii="宋体" w:hAnsi="宋体" w:eastAsia="宋体" w:cs="宋体"/>
                <w:i w:val="0"/>
                <w:color w:val="auto"/>
                <w:sz w:val="21"/>
                <w:szCs w:val="21"/>
                <w:highlight w:val="none"/>
                <w:u w:val="none"/>
              </w:rPr>
            </w:pPr>
          </w:p>
        </w:tc>
      </w:tr>
      <w:tr w14:paraId="7EBEFCAC">
        <w:tblPrEx>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1E5C2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32</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8F609D">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C35651">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2D664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机构管理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D326D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包含了显示机构的名称、上级、排序信息。能够实现对机构进行新增、修改、删除操作。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172C1E">
            <w:pPr>
              <w:jc w:val="center"/>
              <w:rPr>
                <w:rFonts w:hint="eastAsia" w:ascii="宋体" w:hAnsi="宋体" w:eastAsia="宋体" w:cs="宋体"/>
                <w:i w:val="0"/>
                <w:color w:val="auto"/>
                <w:sz w:val="21"/>
                <w:szCs w:val="21"/>
                <w:highlight w:val="none"/>
                <w:u w:val="none"/>
              </w:rPr>
            </w:pPr>
          </w:p>
        </w:tc>
      </w:tr>
      <w:tr w14:paraId="2383BE5B">
        <w:tblPrEx>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791FF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33</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82F145">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FE93C0">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164BC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机构管理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4AF26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包含了显示岗位编码、岗位名称、排序、状态信息。能够实现对岗位进行新增、删除操作。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6D913A">
            <w:pPr>
              <w:jc w:val="center"/>
              <w:rPr>
                <w:rFonts w:hint="eastAsia" w:ascii="宋体" w:hAnsi="宋体" w:eastAsia="宋体" w:cs="宋体"/>
                <w:i w:val="0"/>
                <w:color w:val="auto"/>
                <w:sz w:val="21"/>
                <w:szCs w:val="21"/>
                <w:highlight w:val="none"/>
                <w:u w:val="none"/>
              </w:rPr>
            </w:pPr>
          </w:p>
        </w:tc>
      </w:tr>
      <w:tr w14:paraId="28C2827A">
        <w:tblPrEx>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7F3DC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34</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648AA8">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AFAC05">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AB888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机构管理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11D39C">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可以创建角色并赋予用户使用，可以显示角色名称、编码、备注、创建时间信息。能够实现对系统角色进行新增、修改、删除、数据权限、分配用户操作。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2F7D78">
            <w:pPr>
              <w:jc w:val="center"/>
              <w:rPr>
                <w:rFonts w:hint="eastAsia" w:ascii="宋体" w:hAnsi="宋体" w:eastAsia="宋体" w:cs="宋体"/>
                <w:i w:val="0"/>
                <w:color w:val="auto"/>
                <w:sz w:val="21"/>
                <w:szCs w:val="21"/>
                <w:highlight w:val="none"/>
                <w:u w:val="none"/>
              </w:rPr>
            </w:pPr>
          </w:p>
        </w:tc>
      </w:tr>
      <w:tr w14:paraId="1D9EAE5F">
        <w:tblPrEx>
          <w:shd w:val="clear" w:color="auto" w:fill="auto"/>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12D1C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35</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5405C0">
            <w:pPr>
              <w:jc w:val="center"/>
              <w:rPr>
                <w:rFonts w:hint="eastAsia" w:ascii="宋体" w:hAnsi="宋体" w:eastAsia="宋体" w:cs="宋体"/>
                <w:i w:val="0"/>
                <w:color w:val="auto"/>
                <w:sz w:val="21"/>
                <w:szCs w:val="21"/>
                <w:highlight w:val="none"/>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E7BE8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人工核对</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5288F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BC098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能够实现针对不同算法产生预警信息进行判断是否准确，自动计算准确率和召回率。可查看未研判、已研判的预警信息、准确率信息。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307E3D">
            <w:pPr>
              <w:jc w:val="center"/>
              <w:rPr>
                <w:rFonts w:hint="eastAsia" w:ascii="宋体" w:hAnsi="宋体" w:eastAsia="宋体" w:cs="宋体"/>
                <w:i w:val="0"/>
                <w:color w:val="auto"/>
                <w:sz w:val="21"/>
                <w:szCs w:val="21"/>
                <w:highlight w:val="none"/>
                <w:u w:val="none"/>
              </w:rPr>
            </w:pPr>
          </w:p>
        </w:tc>
      </w:tr>
      <w:tr w14:paraId="7D7BF3A2">
        <w:tblPrEx>
          <w:shd w:val="clear" w:color="auto" w:fill="auto"/>
          <w:tblCellMar>
            <w:top w:w="0" w:type="dxa"/>
            <w:left w:w="0" w:type="dxa"/>
            <w:bottom w:w="0" w:type="dxa"/>
            <w:right w:w="0" w:type="dxa"/>
          </w:tblCellMar>
        </w:tblPrEx>
        <w:trPr>
          <w:trHeight w:val="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A18A3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36</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57BFD5">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9B664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系统管理</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EC3CC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FF805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能够实现定时任务、菜单管理、参数管理、附件管理等功能；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3A8022">
            <w:pPr>
              <w:jc w:val="center"/>
              <w:rPr>
                <w:rFonts w:hint="eastAsia" w:ascii="宋体" w:hAnsi="宋体" w:eastAsia="宋体" w:cs="宋体"/>
                <w:i w:val="0"/>
                <w:color w:val="auto"/>
                <w:sz w:val="21"/>
                <w:szCs w:val="21"/>
                <w:highlight w:val="none"/>
                <w:u w:val="none"/>
              </w:rPr>
            </w:pPr>
          </w:p>
        </w:tc>
      </w:tr>
      <w:tr w14:paraId="19604EAA">
        <w:tblPrEx>
          <w:shd w:val="clear" w:color="auto" w:fill="auto"/>
          <w:tblCellMar>
            <w:top w:w="0" w:type="dxa"/>
            <w:left w:w="0" w:type="dxa"/>
            <w:bottom w:w="0" w:type="dxa"/>
            <w:right w:w="0" w:type="dxa"/>
          </w:tblCellMar>
        </w:tblPrEx>
        <w:trPr>
          <w:trHeight w:val="189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7A355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37</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CE33F8">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958094">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12BD3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定时任务</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5E79E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以按任务名称、任务组名、任务状态查询显示定时任务，能够实现新增、删除、日志功能。任务详细信息可以显示id、任务名称、任务组名、执行方法、Cron表达式、状态、操作信息。.任务操作内容能够实现对任务进行修改、恢复、执行、删除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31235F">
            <w:pPr>
              <w:jc w:val="center"/>
              <w:rPr>
                <w:rFonts w:hint="eastAsia" w:ascii="宋体" w:hAnsi="宋体" w:eastAsia="宋体" w:cs="宋体"/>
                <w:i w:val="0"/>
                <w:color w:val="auto"/>
                <w:sz w:val="21"/>
                <w:szCs w:val="21"/>
                <w:highlight w:val="none"/>
                <w:u w:val="none"/>
              </w:rPr>
            </w:pPr>
          </w:p>
        </w:tc>
      </w:tr>
      <w:tr w14:paraId="02B9094B">
        <w:tblPrEx>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8DE6D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38</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23E387">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2DE1E8">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D24F9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菜单管理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DB13C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基于用户角色与权限等级，实现菜单访问权限的精细化控制、配置与全生命周期管理，针对不同用户，提供菜单可见性控制及菜单配置的统一管理能力。</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1616B5">
            <w:pPr>
              <w:jc w:val="center"/>
              <w:rPr>
                <w:rFonts w:hint="eastAsia" w:ascii="宋体" w:hAnsi="宋体" w:eastAsia="宋体" w:cs="宋体"/>
                <w:i w:val="0"/>
                <w:color w:val="auto"/>
                <w:sz w:val="21"/>
                <w:szCs w:val="21"/>
                <w:highlight w:val="none"/>
                <w:u w:val="none"/>
              </w:rPr>
            </w:pPr>
          </w:p>
        </w:tc>
      </w:tr>
      <w:tr w14:paraId="50848994">
        <w:tblPrEx>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2C8E8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39</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D8E57A">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A6C468">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AB020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参数管理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E5FB3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可以显示系统参数的参数名称、参数健、参数值、系统参数、备注、创建时间信息。能够实现对参数进行新增、修改、删除操作。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7B0E5C">
            <w:pPr>
              <w:jc w:val="center"/>
              <w:rPr>
                <w:rFonts w:hint="eastAsia" w:ascii="宋体" w:hAnsi="宋体" w:eastAsia="宋体" w:cs="宋体"/>
                <w:i w:val="0"/>
                <w:color w:val="auto"/>
                <w:sz w:val="21"/>
                <w:szCs w:val="21"/>
                <w:highlight w:val="none"/>
                <w:u w:val="none"/>
              </w:rPr>
            </w:pPr>
          </w:p>
        </w:tc>
      </w:tr>
      <w:tr w14:paraId="25A734A4">
        <w:tblPrEx>
          <w:shd w:val="clear" w:color="auto" w:fill="auto"/>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057F7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40</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13BDF0">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6CC394">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F8FAC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附件管理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10C55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可以显示系统附件的附件名称、附件地址、附件大小、存储平台、创建时间信息。能够实现对系统附件进行查询、上传、下载、删除操作。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2814A4">
            <w:pPr>
              <w:jc w:val="center"/>
              <w:rPr>
                <w:rFonts w:hint="eastAsia" w:ascii="宋体" w:hAnsi="宋体" w:eastAsia="宋体" w:cs="宋体"/>
                <w:i w:val="0"/>
                <w:color w:val="auto"/>
                <w:sz w:val="21"/>
                <w:szCs w:val="21"/>
                <w:highlight w:val="none"/>
                <w:u w:val="none"/>
              </w:rPr>
            </w:pPr>
          </w:p>
        </w:tc>
      </w:tr>
      <w:tr w14:paraId="35CEBE19">
        <w:tblPrEx>
          <w:tblCellMar>
            <w:top w:w="0" w:type="dxa"/>
            <w:left w:w="0" w:type="dxa"/>
            <w:bottom w:w="0" w:type="dxa"/>
            <w:right w:w="0" w:type="dxa"/>
          </w:tblCellMar>
        </w:tblPrEx>
        <w:trPr>
          <w:trHeight w:val="189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3264A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41</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E85A0A">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97EC80">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93AD2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RTSP节点</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BFCBB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以显示RTSP接入点位的名称、IP地址、图片质量、分辨率、解析间隔、是否在线信息。能够实现rtsp选取图片质量、分辨率、解析间隔、国标编码、经纬度的新增操作；能够实现关联rtsp设备，查看设备的运行状态；能够实现RTSP接入点位的修改和删除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0561B1">
            <w:pPr>
              <w:jc w:val="center"/>
              <w:rPr>
                <w:rFonts w:hint="eastAsia" w:ascii="宋体" w:hAnsi="宋体" w:eastAsia="宋体" w:cs="宋体"/>
                <w:i w:val="0"/>
                <w:color w:val="auto"/>
                <w:sz w:val="21"/>
                <w:szCs w:val="21"/>
                <w:highlight w:val="none"/>
                <w:u w:val="none"/>
              </w:rPr>
            </w:pPr>
          </w:p>
        </w:tc>
      </w:tr>
      <w:tr w14:paraId="1FDBCF4B">
        <w:tblPrEx>
          <w:shd w:val="clear" w:color="auto" w:fill="auto"/>
          <w:tblCellMar>
            <w:top w:w="0" w:type="dxa"/>
            <w:left w:w="0" w:type="dxa"/>
            <w:bottom w:w="0" w:type="dxa"/>
            <w:right w:w="0" w:type="dxa"/>
          </w:tblCellMar>
        </w:tblPrEx>
        <w:trPr>
          <w:trHeight w:val="162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2D3E6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42</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B8C9DC">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8815C0">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C758E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087A4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可以显示系统所有的预警信息并进行统一管理，能够实现以主题查看所有对应预警信息，可以输入任务名称查询对应预警信息卡片。能够实现对预警信息进行单个删除操作，也可以进行批量删除操作。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75511B">
            <w:pPr>
              <w:jc w:val="center"/>
              <w:rPr>
                <w:rFonts w:hint="eastAsia" w:ascii="宋体" w:hAnsi="宋体" w:eastAsia="宋体" w:cs="宋体"/>
                <w:i w:val="0"/>
                <w:color w:val="auto"/>
                <w:sz w:val="21"/>
                <w:szCs w:val="21"/>
                <w:highlight w:val="none"/>
                <w:u w:val="none"/>
              </w:rPr>
            </w:pPr>
          </w:p>
        </w:tc>
      </w:tr>
      <w:tr w14:paraId="55F0A84E">
        <w:tblPrEx>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C64B1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43</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5CEEC5">
            <w:pPr>
              <w:jc w:val="center"/>
              <w:rPr>
                <w:rFonts w:hint="eastAsia" w:ascii="宋体" w:hAnsi="宋体" w:eastAsia="宋体" w:cs="宋体"/>
                <w:i w:val="0"/>
                <w:color w:val="auto"/>
                <w:sz w:val="21"/>
                <w:szCs w:val="21"/>
                <w:highlight w:val="none"/>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8500D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日志管理</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BD847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39CB4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能够实现记录系统运行和用户操作的日志，能够实现日志的查询、导出和分析；包括登录日志管理和操作日志管理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059E3F">
            <w:pPr>
              <w:jc w:val="center"/>
              <w:rPr>
                <w:rFonts w:hint="eastAsia" w:ascii="宋体" w:hAnsi="宋体" w:eastAsia="宋体" w:cs="宋体"/>
                <w:i w:val="0"/>
                <w:color w:val="auto"/>
                <w:sz w:val="21"/>
                <w:szCs w:val="21"/>
                <w:highlight w:val="none"/>
                <w:u w:val="none"/>
              </w:rPr>
            </w:pPr>
          </w:p>
        </w:tc>
      </w:tr>
      <w:tr w14:paraId="7BF7DDDD">
        <w:tblPrEx>
          <w:shd w:val="clear" w:color="auto" w:fill="auto"/>
          <w:tblCellMar>
            <w:top w:w="0" w:type="dxa"/>
            <w:left w:w="0" w:type="dxa"/>
            <w:bottom w:w="0" w:type="dxa"/>
            <w:right w:w="0" w:type="dxa"/>
          </w:tblCellMar>
        </w:tblPrEx>
        <w:trPr>
          <w:trHeight w:val="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E45B2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44</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8FB1F0">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AA12A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系统监控</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F6C20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FC237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系统监控能够实现服务监控、缓存监控和在线用户实时数据监控三大核心维度</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525774">
            <w:pPr>
              <w:jc w:val="center"/>
              <w:rPr>
                <w:rFonts w:hint="eastAsia" w:ascii="宋体" w:hAnsi="宋体" w:eastAsia="宋体" w:cs="宋体"/>
                <w:i w:val="0"/>
                <w:color w:val="auto"/>
                <w:sz w:val="21"/>
                <w:szCs w:val="21"/>
                <w:highlight w:val="none"/>
                <w:u w:val="none"/>
              </w:rPr>
            </w:pPr>
          </w:p>
        </w:tc>
      </w:tr>
      <w:tr w14:paraId="5C11A469">
        <w:tblPrEx>
          <w:shd w:val="clear" w:color="auto" w:fill="auto"/>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839C0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45</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1802A8">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789EAB">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6BF1C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服务监控</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E9BCD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能够实现用户实时了解系统授权信息、CPU信息、系统内容信息、JVM信息、磁盘信息等内容</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F7DEBF">
            <w:pPr>
              <w:jc w:val="center"/>
              <w:rPr>
                <w:rFonts w:hint="eastAsia" w:ascii="宋体" w:hAnsi="宋体" w:eastAsia="宋体" w:cs="宋体"/>
                <w:i w:val="0"/>
                <w:color w:val="auto"/>
                <w:sz w:val="21"/>
                <w:szCs w:val="21"/>
                <w:highlight w:val="none"/>
                <w:u w:val="none"/>
              </w:rPr>
            </w:pPr>
          </w:p>
        </w:tc>
      </w:tr>
      <w:tr w14:paraId="2FFE0EBB">
        <w:tblPrEx>
          <w:shd w:val="clear" w:color="auto" w:fill="auto"/>
          <w:tblCellMar>
            <w:top w:w="0" w:type="dxa"/>
            <w:left w:w="0" w:type="dxa"/>
            <w:bottom w:w="0" w:type="dxa"/>
            <w:right w:w="0" w:type="dxa"/>
          </w:tblCellMar>
        </w:tblPrEx>
        <w:trPr>
          <w:trHeight w:val="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F9E0F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46</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E68A4A">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CC1C47">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E90F3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缓存监控</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5BC08C">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能够实现提供缓存基本信息，命令统计等信息；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58794B">
            <w:pPr>
              <w:jc w:val="center"/>
              <w:rPr>
                <w:rFonts w:hint="eastAsia" w:ascii="宋体" w:hAnsi="宋体" w:eastAsia="宋体" w:cs="宋体"/>
                <w:i w:val="0"/>
                <w:color w:val="auto"/>
                <w:sz w:val="21"/>
                <w:szCs w:val="21"/>
                <w:highlight w:val="none"/>
                <w:u w:val="none"/>
              </w:rPr>
            </w:pPr>
          </w:p>
        </w:tc>
      </w:tr>
      <w:tr w14:paraId="6967843A">
        <w:tblPrEx>
          <w:shd w:val="clear" w:color="auto" w:fill="auto"/>
          <w:tblCellMar>
            <w:top w:w="0" w:type="dxa"/>
            <w:left w:w="0" w:type="dxa"/>
            <w:bottom w:w="0" w:type="dxa"/>
            <w:right w:w="0" w:type="dxa"/>
          </w:tblCellMar>
        </w:tblPrEx>
        <w:trPr>
          <w:trHeight w:val="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CE88A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47</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6CBCEB">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9A557A">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71414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在线用户</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CF922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实时统计当前活跃在线用户账号、并可以选择踢出用户；</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B26A57">
            <w:pPr>
              <w:jc w:val="center"/>
              <w:rPr>
                <w:rFonts w:hint="eastAsia" w:ascii="宋体" w:hAnsi="宋体" w:eastAsia="宋体" w:cs="宋体"/>
                <w:i w:val="0"/>
                <w:color w:val="auto"/>
                <w:sz w:val="21"/>
                <w:szCs w:val="21"/>
                <w:highlight w:val="none"/>
                <w:u w:val="none"/>
              </w:rPr>
            </w:pPr>
          </w:p>
        </w:tc>
      </w:tr>
      <w:tr w14:paraId="23A64E39">
        <w:tblPrEx>
          <w:shd w:val="clear" w:color="auto" w:fill="auto"/>
          <w:tblCellMar>
            <w:top w:w="0" w:type="dxa"/>
            <w:left w:w="0" w:type="dxa"/>
            <w:bottom w:w="0" w:type="dxa"/>
            <w:right w:w="0" w:type="dxa"/>
          </w:tblCellMar>
        </w:tblPrEx>
        <w:trPr>
          <w:trHeight w:val="243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9B8E7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48</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E76289">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0AE08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算法配置中心</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CE7FF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87C96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服务界面是可通过文字自定义描述新增、修改、删除场景算法。能够实现多解析器、多提示词设置，通过多条件叠加完成复查场景的算法新建、修改操作。能够实现目标检测、数量检测等功能，可通过阈值对目标检测报警触发进行控制。可对预警等级、排序进行设置。在算法创建的过程中，无需上传任何样本。</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CD69C7">
            <w:pPr>
              <w:jc w:val="center"/>
              <w:rPr>
                <w:rFonts w:hint="eastAsia" w:ascii="宋体" w:hAnsi="宋体" w:eastAsia="宋体" w:cs="宋体"/>
                <w:i w:val="0"/>
                <w:color w:val="auto"/>
                <w:sz w:val="21"/>
                <w:szCs w:val="21"/>
                <w:highlight w:val="none"/>
                <w:u w:val="none"/>
              </w:rPr>
            </w:pPr>
          </w:p>
        </w:tc>
      </w:tr>
      <w:tr w14:paraId="29E0492A">
        <w:tblPrEx>
          <w:shd w:val="clear" w:color="auto" w:fill="auto"/>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FFFA6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49</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EE2A4D">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0D9238">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0012E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主题信息维护</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BA26E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能够实现主题的新增、修改、删除、导入、导出事件配置操作能够实现拼音检索及相关信息等。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823E7A">
            <w:pPr>
              <w:jc w:val="center"/>
              <w:rPr>
                <w:rFonts w:hint="eastAsia" w:ascii="宋体" w:hAnsi="宋体" w:eastAsia="宋体" w:cs="宋体"/>
                <w:i w:val="0"/>
                <w:color w:val="auto"/>
                <w:sz w:val="21"/>
                <w:szCs w:val="21"/>
                <w:highlight w:val="none"/>
                <w:u w:val="none"/>
              </w:rPr>
            </w:pPr>
          </w:p>
        </w:tc>
      </w:tr>
      <w:tr w14:paraId="6CF14765">
        <w:tblPrEx>
          <w:tblCellMar>
            <w:top w:w="0" w:type="dxa"/>
            <w:left w:w="0" w:type="dxa"/>
            <w:bottom w:w="0" w:type="dxa"/>
            <w:right w:w="0" w:type="dxa"/>
          </w:tblCellMar>
        </w:tblPrEx>
        <w:trPr>
          <w:trHeight w:val="162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C05A5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50</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EAED6F">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5CA688">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967E0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算法信息管理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5DE20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算法的新增、修改、删除、导入、导出、批量复制和批量移动，配置解析器、计数器、文字识别操作。；能够实现多算法对图片进行校验,能够实现拼音检索。解析器能够实现目标识别模型和文字识别模型解析。</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BD5A77">
            <w:pPr>
              <w:jc w:val="center"/>
              <w:rPr>
                <w:rFonts w:hint="eastAsia" w:ascii="宋体" w:hAnsi="宋体" w:eastAsia="宋体" w:cs="宋体"/>
                <w:i w:val="0"/>
                <w:color w:val="auto"/>
                <w:sz w:val="21"/>
                <w:szCs w:val="21"/>
                <w:highlight w:val="none"/>
                <w:u w:val="none"/>
              </w:rPr>
            </w:pPr>
          </w:p>
        </w:tc>
      </w:tr>
      <w:tr w14:paraId="3EAE7DB9">
        <w:tblPrEx>
          <w:shd w:val="clear" w:color="auto" w:fill="auto"/>
          <w:tblCellMar>
            <w:top w:w="0" w:type="dxa"/>
            <w:left w:w="0" w:type="dxa"/>
            <w:bottom w:w="0" w:type="dxa"/>
            <w:right w:w="0" w:type="dxa"/>
          </w:tblCellMar>
        </w:tblPrEx>
        <w:trPr>
          <w:trHeight w:val="270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D6C45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51</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52EB73">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9DB1B1">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F745F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算法创建能力</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35C04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算法创建需能够通过文字描述的方式实现，输入对算法的文字描述生成具有对应分析能力的算法模型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算法创建过程中无需样本训练</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算法创建需能够实现多种思维逻辑，至少包括：内容理解、目标理解、文字理解、逻辑理解以及全结构化理解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算法创建需能够实现至少三种解析模式</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DFB438">
            <w:pPr>
              <w:jc w:val="center"/>
              <w:rPr>
                <w:rFonts w:hint="eastAsia" w:ascii="宋体" w:hAnsi="宋体" w:eastAsia="宋体" w:cs="宋体"/>
                <w:i w:val="0"/>
                <w:color w:val="auto"/>
                <w:sz w:val="21"/>
                <w:szCs w:val="21"/>
                <w:highlight w:val="none"/>
                <w:u w:val="none"/>
              </w:rPr>
            </w:pPr>
          </w:p>
        </w:tc>
      </w:tr>
      <w:tr w14:paraId="158FF618">
        <w:tblPrEx>
          <w:shd w:val="clear" w:color="auto" w:fill="auto"/>
          <w:tblCellMar>
            <w:top w:w="0" w:type="dxa"/>
            <w:left w:w="0" w:type="dxa"/>
            <w:bottom w:w="0" w:type="dxa"/>
            <w:right w:w="0" w:type="dxa"/>
          </w:tblCellMar>
        </w:tblPrEx>
        <w:trPr>
          <w:trHeight w:val="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A33BD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52</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2C59A5">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015BE3">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3B345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算法的导入/导出</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96FF3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能将算法进行导出和导入，方便数据的迁移</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655959">
            <w:pPr>
              <w:jc w:val="center"/>
              <w:rPr>
                <w:rFonts w:hint="eastAsia" w:ascii="宋体" w:hAnsi="宋体" w:eastAsia="宋体" w:cs="宋体"/>
                <w:i w:val="0"/>
                <w:color w:val="auto"/>
                <w:sz w:val="21"/>
                <w:szCs w:val="21"/>
                <w:highlight w:val="none"/>
                <w:u w:val="none"/>
              </w:rPr>
            </w:pPr>
          </w:p>
        </w:tc>
      </w:tr>
      <w:tr w14:paraId="1914D1F7">
        <w:tblPrEx>
          <w:shd w:val="clear" w:color="auto" w:fill="auto"/>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5F07A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53</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3BDD01">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C5C1D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算法分析管理</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A6E1B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136C6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能够实现对算力节点进行配置管理，可在线对算力信息进行维护，并可进行使用分析，包括算力节点配置、算力分析等功能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A09DC4">
            <w:pPr>
              <w:jc w:val="center"/>
              <w:rPr>
                <w:rFonts w:hint="eastAsia" w:ascii="宋体" w:hAnsi="宋体" w:eastAsia="宋体" w:cs="宋体"/>
                <w:i w:val="0"/>
                <w:color w:val="auto"/>
                <w:sz w:val="21"/>
                <w:szCs w:val="21"/>
                <w:highlight w:val="none"/>
                <w:u w:val="none"/>
              </w:rPr>
            </w:pPr>
          </w:p>
        </w:tc>
      </w:tr>
      <w:tr w14:paraId="6C27978A">
        <w:tblPrEx>
          <w:shd w:val="clear" w:color="auto" w:fill="auto"/>
          <w:tblCellMar>
            <w:top w:w="0" w:type="dxa"/>
            <w:left w:w="0" w:type="dxa"/>
            <w:bottom w:w="0" w:type="dxa"/>
            <w:right w:w="0" w:type="dxa"/>
          </w:tblCellMar>
        </w:tblPrEx>
        <w:trPr>
          <w:trHeight w:val="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D4765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54</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C82463">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7DAA1B">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A714F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算力节点配置</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B502E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能够实现算力节点的属性信息进行统一管理的功能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865AA6">
            <w:pPr>
              <w:jc w:val="center"/>
              <w:rPr>
                <w:rFonts w:hint="eastAsia" w:ascii="宋体" w:hAnsi="宋体" w:eastAsia="宋体" w:cs="宋体"/>
                <w:i w:val="0"/>
                <w:color w:val="auto"/>
                <w:sz w:val="21"/>
                <w:szCs w:val="21"/>
                <w:highlight w:val="none"/>
                <w:u w:val="none"/>
              </w:rPr>
            </w:pPr>
          </w:p>
        </w:tc>
      </w:tr>
      <w:tr w14:paraId="47A62C53">
        <w:tblPrEx>
          <w:tblCellMar>
            <w:top w:w="0" w:type="dxa"/>
            <w:left w:w="0" w:type="dxa"/>
            <w:bottom w:w="0" w:type="dxa"/>
            <w:right w:w="0" w:type="dxa"/>
          </w:tblCellMar>
        </w:tblPrEx>
        <w:trPr>
          <w:trHeight w:val="162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51FBA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55</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2882A0">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7D501B">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C004C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算力分析信息</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5DB01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算力分析信息是指对系统中多个算力节点的计算能力、资源利用率、任务执行效率等关键指标进行实时监测、分析和评估的过程。其目的在于确保系统能够平稳运行，同时优化算力资源的分配和利用，提高任务执行的效率和准确性。</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98C2BF">
            <w:pPr>
              <w:jc w:val="center"/>
              <w:rPr>
                <w:rFonts w:hint="eastAsia" w:ascii="宋体" w:hAnsi="宋体" w:eastAsia="宋体" w:cs="宋体"/>
                <w:i w:val="0"/>
                <w:color w:val="auto"/>
                <w:sz w:val="21"/>
                <w:szCs w:val="21"/>
                <w:highlight w:val="none"/>
                <w:u w:val="none"/>
              </w:rPr>
            </w:pPr>
          </w:p>
        </w:tc>
      </w:tr>
      <w:tr w14:paraId="75EC3A80">
        <w:tblPrEx>
          <w:shd w:val="clear" w:color="auto" w:fill="auto"/>
          <w:tblCellMar>
            <w:top w:w="0" w:type="dxa"/>
            <w:left w:w="0" w:type="dxa"/>
            <w:bottom w:w="0" w:type="dxa"/>
            <w:right w:w="0" w:type="dxa"/>
          </w:tblCellMar>
        </w:tblPrEx>
        <w:trPr>
          <w:trHeight w:val="189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8F902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56</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6DD2F9">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0A3FC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模型信息查看</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253AA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24616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模型配置能够实现模型信息展示、模型及模型节点的操作，可配置多节点提升并发运算能力并展示节点相关状态信息；模型节点管理聚焦模型运行节点属性配置，实现节点关联操作并管理节点名称等信息。包含模型配置与模型节点管理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04B4E5">
            <w:pPr>
              <w:jc w:val="center"/>
              <w:rPr>
                <w:rFonts w:hint="eastAsia" w:ascii="宋体" w:hAnsi="宋体" w:eastAsia="宋体" w:cs="宋体"/>
                <w:i w:val="0"/>
                <w:color w:val="auto"/>
                <w:sz w:val="21"/>
                <w:szCs w:val="21"/>
                <w:highlight w:val="none"/>
                <w:u w:val="none"/>
              </w:rPr>
            </w:pPr>
          </w:p>
        </w:tc>
      </w:tr>
      <w:tr w14:paraId="53BFB11C">
        <w:tblPrEx>
          <w:tblCellMar>
            <w:top w:w="0" w:type="dxa"/>
            <w:left w:w="0" w:type="dxa"/>
            <w:bottom w:w="0" w:type="dxa"/>
            <w:right w:w="0" w:type="dxa"/>
          </w:tblCellMar>
        </w:tblPrEx>
        <w:trPr>
          <w:trHeight w:val="162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C0F43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57</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B09DAA">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27F811">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A8835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外部模型接入配置</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487AB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模型配置功能能够实现展示模型名称、编码、类型、备注等信息，可对专项训练后的其他类型模型及模型节点（含IP、端口、启停状态）进行查询、新增、修改、删除操作，还能配置多节点以提升模型并发运算能力。</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272619">
            <w:pPr>
              <w:jc w:val="center"/>
              <w:rPr>
                <w:rFonts w:hint="eastAsia" w:ascii="宋体" w:hAnsi="宋体" w:eastAsia="宋体" w:cs="宋体"/>
                <w:i w:val="0"/>
                <w:color w:val="auto"/>
                <w:sz w:val="21"/>
                <w:szCs w:val="21"/>
                <w:highlight w:val="none"/>
                <w:u w:val="none"/>
              </w:rPr>
            </w:pPr>
          </w:p>
        </w:tc>
      </w:tr>
      <w:tr w14:paraId="0234AA2B">
        <w:tblPrEx>
          <w:shd w:val="clear" w:color="auto" w:fill="auto"/>
          <w:tblCellMar>
            <w:top w:w="0" w:type="dxa"/>
            <w:left w:w="0" w:type="dxa"/>
            <w:bottom w:w="0" w:type="dxa"/>
            <w:right w:w="0" w:type="dxa"/>
          </w:tblCellMar>
        </w:tblPrEx>
        <w:trPr>
          <w:trHeight w:val="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B10F8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58</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12E8FC">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3E4D01">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4ACBD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模型节点管理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812B2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能够实现对模型运行的节点属性进行配置的功能。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49C3E8">
            <w:pPr>
              <w:jc w:val="center"/>
              <w:rPr>
                <w:rFonts w:hint="eastAsia" w:ascii="宋体" w:hAnsi="宋体" w:eastAsia="宋体" w:cs="宋体"/>
                <w:i w:val="0"/>
                <w:color w:val="auto"/>
                <w:sz w:val="21"/>
                <w:szCs w:val="21"/>
                <w:highlight w:val="none"/>
                <w:u w:val="none"/>
              </w:rPr>
            </w:pPr>
          </w:p>
        </w:tc>
      </w:tr>
      <w:tr w14:paraId="44481770">
        <w:tblPrEx>
          <w:shd w:val="clear" w:color="auto" w:fill="auto"/>
          <w:tblCellMar>
            <w:top w:w="0" w:type="dxa"/>
            <w:left w:w="0" w:type="dxa"/>
            <w:bottom w:w="0" w:type="dxa"/>
            <w:right w:w="0" w:type="dxa"/>
          </w:tblCellMar>
        </w:tblPrEx>
        <w:trPr>
          <w:trHeight w:val="135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E3005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59</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55F3BA">
            <w:pPr>
              <w:jc w:val="center"/>
              <w:rPr>
                <w:rFonts w:hint="eastAsia" w:ascii="宋体" w:hAnsi="宋体" w:eastAsia="宋体" w:cs="宋体"/>
                <w:i w:val="0"/>
                <w:color w:val="auto"/>
                <w:sz w:val="21"/>
                <w:szCs w:val="21"/>
                <w:highlight w:val="none"/>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AF143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场景算法</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4A93A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F348D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按照不同行业不同场景算法对算法的要求，提前将算法进行预制、定义和管理，方便不同用户在使用过程中根据自身场景算法的需求在场景算法中快速选择和应用。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9A2A94">
            <w:pPr>
              <w:jc w:val="center"/>
              <w:rPr>
                <w:rFonts w:hint="eastAsia" w:ascii="宋体" w:hAnsi="宋体" w:eastAsia="宋体" w:cs="宋体"/>
                <w:i w:val="0"/>
                <w:color w:val="auto"/>
                <w:sz w:val="21"/>
                <w:szCs w:val="21"/>
                <w:highlight w:val="none"/>
                <w:u w:val="none"/>
              </w:rPr>
            </w:pPr>
          </w:p>
        </w:tc>
      </w:tr>
      <w:tr w14:paraId="51748441">
        <w:tblPrEx>
          <w:shd w:val="clear" w:color="auto" w:fill="auto"/>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4B8B3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60</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17DA11">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A84E1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标签管理窗口</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784D4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FAED4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内置动态标签分类，能够实现与模型深度融合进行动态标签标注功能，能够实现千万级标签存储、分类、查询能力。</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00A82F">
            <w:pPr>
              <w:jc w:val="center"/>
              <w:rPr>
                <w:rFonts w:hint="eastAsia" w:ascii="宋体" w:hAnsi="宋体" w:eastAsia="宋体" w:cs="宋体"/>
                <w:i w:val="0"/>
                <w:color w:val="auto"/>
                <w:sz w:val="21"/>
                <w:szCs w:val="21"/>
                <w:highlight w:val="none"/>
                <w:u w:val="none"/>
              </w:rPr>
            </w:pPr>
          </w:p>
        </w:tc>
      </w:tr>
      <w:tr w14:paraId="3AFBCCBF">
        <w:tblPrEx>
          <w:shd w:val="clear" w:color="auto" w:fill="auto"/>
          <w:tblCellMar>
            <w:top w:w="0" w:type="dxa"/>
            <w:left w:w="0" w:type="dxa"/>
            <w:bottom w:w="0" w:type="dxa"/>
            <w:right w:w="0" w:type="dxa"/>
          </w:tblCellMar>
        </w:tblPrEx>
        <w:trPr>
          <w:trHeight w:val="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58727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61</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F2CFF7">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17D155">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526D6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标签生成管理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C0D1F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val="0"/>
                <w:iCs w:val="0"/>
                <w:color w:val="auto"/>
                <w:kern w:val="0"/>
                <w:sz w:val="21"/>
                <w:szCs w:val="21"/>
                <w:highlight w:val="none"/>
                <w:u w:val="none"/>
                <w:lang w:val="en-US" w:eastAsia="zh-CN" w:bidi="ar"/>
              </w:rPr>
              <w:t>★能够实现基于图片或视频内容识别的结果将关键的词语生成标签。</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1C2FD4">
            <w:pPr>
              <w:jc w:val="center"/>
              <w:rPr>
                <w:rFonts w:hint="eastAsia" w:ascii="宋体" w:hAnsi="宋体" w:eastAsia="宋体" w:cs="宋体"/>
                <w:i w:val="0"/>
                <w:color w:val="auto"/>
                <w:sz w:val="21"/>
                <w:szCs w:val="21"/>
                <w:highlight w:val="none"/>
                <w:u w:val="none"/>
              </w:rPr>
            </w:pPr>
          </w:p>
        </w:tc>
      </w:tr>
      <w:tr w14:paraId="3FA91ADF">
        <w:tblPrEx>
          <w:shd w:val="clear" w:color="auto" w:fill="auto"/>
          <w:tblCellMar>
            <w:top w:w="0" w:type="dxa"/>
            <w:left w:w="0" w:type="dxa"/>
            <w:bottom w:w="0" w:type="dxa"/>
            <w:right w:w="0" w:type="dxa"/>
          </w:tblCellMar>
        </w:tblPrEx>
        <w:trPr>
          <w:trHeight w:val="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D426E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62</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028859">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8867F9">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18307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标签过滤信息</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0FBB1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能够实现标签过滤信息功能确保了最终生成的标签符合特定应用场景的要求。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17B90A">
            <w:pPr>
              <w:jc w:val="center"/>
              <w:rPr>
                <w:rFonts w:hint="eastAsia" w:ascii="宋体" w:hAnsi="宋体" w:eastAsia="宋体" w:cs="宋体"/>
                <w:i w:val="0"/>
                <w:color w:val="auto"/>
                <w:sz w:val="21"/>
                <w:szCs w:val="21"/>
                <w:highlight w:val="none"/>
                <w:u w:val="none"/>
              </w:rPr>
            </w:pPr>
          </w:p>
        </w:tc>
      </w:tr>
      <w:tr w14:paraId="27431A3F">
        <w:tblPrEx>
          <w:tblCellMar>
            <w:top w:w="0" w:type="dxa"/>
            <w:left w:w="0" w:type="dxa"/>
            <w:bottom w:w="0" w:type="dxa"/>
            <w:right w:w="0" w:type="dxa"/>
          </w:tblCellMar>
        </w:tblPrEx>
        <w:trPr>
          <w:trHeight w:val="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950B2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63</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A359D9">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C6F5C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视频标签展现</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48DCB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E0740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能够实现标签统计信息、视频标签查看、动态刷新管理信息这三大能力。</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9BDDC1">
            <w:pPr>
              <w:jc w:val="center"/>
              <w:rPr>
                <w:rFonts w:hint="eastAsia" w:ascii="宋体" w:hAnsi="宋体" w:eastAsia="宋体" w:cs="宋体"/>
                <w:i w:val="0"/>
                <w:color w:val="auto"/>
                <w:sz w:val="21"/>
                <w:szCs w:val="21"/>
                <w:highlight w:val="none"/>
                <w:u w:val="none"/>
              </w:rPr>
            </w:pPr>
          </w:p>
        </w:tc>
      </w:tr>
      <w:tr w14:paraId="1FE12B57">
        <w:tblPrEx>
          <w:tblCellMar>
            <w:top w:w="0" w:type="dxa"/>
            <w:left w:w="0" w:type="dxa"/>
            <w:bottom w:w="0" w:type="dxa"/>
            <w:right w:w="0" w:type="dxa"/>
          </w:tblCellMar>
        </w:tblPrEx>
        <w:trPr>
          <w:trHeight w:val="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E1AD0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64</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52CFB1">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5B4D38">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75A4B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标签统计信息</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9CD58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标签的分布情况、使用情况等进行统计的管理功能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8B56BD">
            <w:pPr>
              <w:jc w:val="center"/>
              <w:rPr>
                <w:rFonts w:hint="eastAsia" w:ascii="宋体" w:hAnsi="宋体" w:eastAsia="宋体" w:cs="宋体"/>
                <w:i w:val="0"/>
                <w:color w:val="auto"/>
                <w:sz w:val="21"/>
                <w:szCs w:val="21"/>
                <w:highlight w:val="none"/>
                <w:u w:val="none"/>
              </w:rPr>
            </w:pPr>
          </w:p>
        </w:tc>
      </w:tr>
      <w:tr w14:paraId="63E91855">
        <w:tblPrEx>
          <w:shd w:val="clear" w:color="auto" w:fill="auto"/>
          <w:tblCellMar>
            <w:top w:w="0" w:type="dxa"/>
            <w:left w:w="0" w:type="dxa"/>
            <w:bottom w:w="0" w:type="dxa"/>
            <w:right w:w="0" w:type="dxa"/>
          </w:tblCellMar>
        </w:tblPrEx>
        <w:trPr>
          <w:trHeight w:val="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5AD9E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65</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05AF9F">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D0AA5B">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43CC3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视频标签</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B2572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查看；能够实现查看到生成标签的信息等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9744C9">
            <w:pPr>
              <w:jc w:val="center"/>
              <w:rPr>
                <w:rFonts w:hint="eastAsia" w:ascii="宋体" w:hAnsi="宋体" w:eastAsia="宋体" w:cs="宋体"/>
                <w:i w:val="0"/>
                <w:color w:val="auto"/>
                <w:sz w:val="21"/>
                <w:szCs w:val="21"/>
                <w:highlight w:val="none"/>
                <w:u w:val="none"/>
              </w:rPr>
            </w:pPr>
          </w:p>
        </w:tc>
      </w:tr>
      <w:tr w14:paraId="49D75A51">
        <w:tblPrEx>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8293D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66</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BC919A">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9BBA41">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56098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动态刷新管理信息</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719F8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动态刷新管理信息可实现标签的动态刷新。。</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2A4C7E">
            <w:pPr>
              <w:jc w:val="center"/>
              <w:rPr>
                <w:rFonts w:hint="eastAsia" w:ascii="宋体" w:hAnsi="宋体" w:eastAsia="宋体" w:cs="宋体"/>
                <w:i w:val="0"/>
                <w:color w:val="auto"/>
                <w:sz w:val="21"/>
                <w:szCs w:val="21"/>
                <w:highlight w:val="none"/>
                <w:u w:val="none"/>
              </w:rPr>
            </w:pPr>
          </w:p>
        </w:tc>
      </w:tr>
      <w:tr w14:paraId="2184BBAD">
        <w:tblPrEx>
          <w:shd w:val="clear" w:color="auto" w:fill="auto"/>
          <w:tblCellMar>
            <w:top w:w="0" w:type="dxa"/>
            <w:left w:w="0" w:type="dxa"/>
            <w:bottom w:w="0" w:type="dxa"/>
            <w:right w:w="0" w:type="dxa"/>
          </w:tblCellMar>
        </w:tblPrEx>
        <w:trPr>
          <w:trHeight w:val="2808"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DDD58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67</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014607">
            <w:pPr>
              <w:jc w:val="center"/>
              <w:rPr>
                <w:rFonts w:hint="eastAsia" w:ascii="宋体" w:hAnsi="宋体" w:eastAsia="宋体" w:cs="宋体"/>
                <w:i w:val="0"/>
                <w:color w:val="auto"/>
                <w:sz w:val="21"/>
                <w:szCs w:val="21"/>
                <w:highlight w:val="none"/>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27D9A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人全结构化搜索</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FD70D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2EC0F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val="0"/>
                <w:iCs w:val="0"/>
                <w:color w:val="auto"/>
                <w:kern w:val="0"/>
                <w:sz w:val="21"/>
                <w:szCs w:val="21"/>
                <w:highlight w:val="none"/>
                <w:u w:val="none"/>
                <w:lang w:val="en-US" w:eastAsia="zh-CN" w:bidi="ar"/>
              </w:rPr>
              <w:t>★能够实现对人脸的特征进行结构化处理，能够实现对人脸的头发（包括颜色、发型等）、帽子、眼镜、年龄层、表情等进行分析并生成结构化数据；能够实现对人体的特征进行结构化处理，能够实现对人上衣（包括款式、颜色、主要品牌等）、裤子、鞋子、身材、背包、是否穿衣等进行分析并生成结构化数据；；能够实现对人的行为进行结构化处理，能够实现对人的行为动作进行分析，如吸烟、喝水、使用手机、奔跑、打斗等并生成结构化数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34CFFB">
            <w:pPr>
              <w:jc w:val="center"/>
              <w:rPr>
                <w:rFonts w:hint="eastAsia" w:ascii="宋体" w:hAnsi="宋体" w:eastAsia="宋体" w:cs="宋体"/>
                <w:i w:val="0"/>
                <w:color w:val="auto"/>
                <w:sz w:val="21"/>
                <w:szCs w:val="21"/>
                <w:highlight w:val="none"/>
                <w:u w:val="none"/>
              </w:rPr>
            </w:pPr>
          </w:p>
        </w:tc>
      </w:tr>
      <w:tr w14:paraId="33696CA0">
        <w:tblPrEx>
          <w:shd w:val="clear" w:color="auto" w:fill="auto"/>
          <w:tblCellMar>
            <w:top w:w="0" w:type="dxa"/>
            <w:left w:w="0" w:type="dxa"/>
            <w:bottom w:w="0" w:type="dxa"/>
            <w:right w:w="0" w:type="dxa"/>
          </w:tblCellMar>
        </w:tblPrEx>
        <w:trPr>
          <w:trHeight w:val="216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BFF27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68</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73A413">
            <w:pPr>
              <w:jc w:val="center"/>
              <w:rPr>
                <w:rFonts w:hint="eastAsia" w:ascii="宋体" w:hAnsi="宋体" w:eastAsia="宋体" w:cs="宋体"/>
                <w:i w:val="0"/>
                <w:color w:val="auto"/>
                <w:sz w:val="21"/>
                <w:szCs w:val="21"/>
                <w:highlight w:val="none"/>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6EF0C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车全结构化搜索</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A4419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34CCA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对机动车的特征进行结构化处理，能够实现对机动车的特征进行分析，如车型、车体颜色、车牌颜色、货车载货情况等，并形成结构化数据；能够实现对非机动车的特征进行结构化处理，能够实现对非机动车的特征进行分析，如车型、车体颜色等，并形成结构化数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2F0B70">
            <w:pPr>
              <w:jc w:val="center"/>
              <w:rPr>
                <w:rFonts w:hint="eastAsia" w:ascii="宋体" w:hAnsi="宋体" w:eastAsia="宋体" w:cs="宋体"/>
                <w:i w:val="0"/>
                <w:color w:val="auto"/>
                <w:sz w:val="21"/>
                <w:szCs w:val="21"/>
                <w:highlight w:val="none"/>
                <w:u w:val="none"/>
              </w:rPr>
            </w:pPr>
          </w:p>
        </w:tc>
      </w:tr>
      <w:tr w14:paraId="3706AA94">
        <w:tblPrEx>
          <w:shd w:val="clear" w:color="auto" w:fill="auto"/>
          <w:tblCellMar>
            <w:top w:w="0" w:type="dxa"/>
            <w:left w:w="0" w:type="dxa"/>
            <w:bottom w:w="0" w:type="dxa"/>
            <w:right w:w="0" w:type="dxa"/>
          </w:tblCellMar>
        </w:tblPrEx>
        <w:trPr>
          <w:trHeight w:val="135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16B50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69</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FA403F">
            <w:pPr>
              <w:jc w:val="center"/>
              <w:rPr>
                <w:rFonts w:hint="eastAsia" w:ascii="宋体" w:hAnsi="宋体" w:eastAsia="宋体" w:cs="宋体"/>
                <w:i w:val="0"/>
                <w:color w:val="auto"/>
                <w:sz w:val="21"/>
                <w:szCs w:val="21"/>
                <w:highlight w:val="none"/>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81C6E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环境分析</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0F71D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71A4B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能够实现对视频中的环境进行全量结构化处理，通过采集城市道路、野外等图像信息对环境中的物体或环境等进行分析，如学校、医院、路灯、垃圾箱等，并形成结构化数据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433462">
            <w:pPr>
              <w:jc w:val="center"/>
              <w:rPr>
                <w:rFonts w:hint="eastAsia" w:ascii="宋体" w:hAnsi="宋体" w:eastAsia="宋体" w:cs="宋体"/>
                <w:i w:val="0"/>
                <w:color w:val="auto"/>
                <w:sz w:val="21"/>
                <w:szCs w:val="21"/>
                <w:highlight w:val="none"/>
                <w:u w:val="none"/>
              </w:rPr>
            </w:pPr>
          </w:p>
        </w:tc>
      </w:tr>
      <w:tr w14:paraId="0D0918BF">
        <w:tblPrEx>
          <w:shd w:val="clear" w:color="auto" w:fill="auto"/>
          <w:tblCellMar>
            <w:top w:w="0" w:type="dxa"/>
            <w:left w:w="0" w:type="dxa"/>
            <w:bottom w:w="0" w:type="dxa"/>
            <w:right w:w="0" w:type="dxa"/>
          </w:tblCellMar>
        </w:tblPrEx>
        <w:trPr>
          <w:trHeight w:val="216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47413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70</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C5999D">
            <w:pPr>
              <w:jc w:val="center"/>
              <w:rPr>
                <w:rFonts w:hint="eastAsia" w:ascii="宋体" w:hAnsi="宋体" w:eastAsia="宋体" w:cs="宋体"/>
                <w:i w:val="0"/>
                <w:color w:val="auto"/>
                <w:sz w:val="21"/>
                <w:szCs w:val="21"/>
                <w:highlight w:val="none"/>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9D674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视频结构化检索</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FC937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1EE77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能够实现对全结构化的任务视频及图像生成的标签、描述，通过关键字进行检索，能够快速检索定位到任务视频或图像。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能够实现对全量解析的任务进行主题、事件检索，对某一关键词可检索出所有任务的全量解析的相关信息。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62C9BE">
            <w:pPr>
              <w:jc w:val="center"/>
              <w:rPr>
                <w:rFonts w:hint="eastAsia" w:ascii="宋体" w:hAnsi="宋体" w:eastAsia="宋体" w:cs="宋体"/>
                <w:i w:val="0"/>
                <w:color w:val="auto"/>
                <w:sz w:val="21"/>
                <w:szCs w:val="21"/>
                <w:highlight w:val="none"/>
                <w:u w:val="none"/>
              </w:rPr>
            </w:pPr>
          </w:p>
        </w:tc>
      </w:tr>
      <w:tr w14:paraId="208BEF88">
        <w:tblPrEx>
          <w:shd w:val="clear" w:color="auto" w:fill="auto"/>
          <w:tblCellMar>
            <w:top w:w="0" w:type="dxa"/>
            <w:left w:w="0" w:type="dxa"/>
            <w:bottom w:w="0" w:type="dxa"/>
            <w:right w:w="0" w:type="dxa"/>
          </w:tblCellMar>
        </w:tblPrEx>
        <w:trPr>
          <w:trHeight w:val="1973"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AAEA9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71</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B30463">
            <w:pPr>
              <w:jc w:val="center"/>
              <w:rPr>
                <w:rFonts w:hint="eastAsia" w:ascii="宋体" w:hAnsi="宋体" w:eastAsia="宋体" w:cs="宋体"/>
                <w:i w:val="0"/>
                <w:color w:val="auto"/>
                <w:sz w:val="21"/>
                <w:szCs w:val="21"/>
                <w:highlight w:val="none"/>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9BF50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全结构化预警</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55B6C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781C8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能够实现用户自定义明确预警条件，对不同场景中的人、行为、车辆等目标进行实时分析与精准预警， 预警条件中人脸条件维度包含头发（包括颜色、发型等）、帽子、眼镜、戴口罩等属性，人体条件维度包含衣着颜色、携带物品等特征，行为维度涵盖奔跑、打斗等动作，车辆维度包含车牌、车型、颜色等信息。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B4DEEE">
            <w:pPr>
              <w:jc w:val="center"/>
              <w:rPr>
                <w:rFonts w:hint="eastAsia" w:ascii="宋体" w:hAnsi="宋体" w:eastAsia="宋体" w:cs="宋体"/>
                <w:i w:val="0"/>
                <w:color w:val="auto"/>
                <w:sz w:val="21"/>
                <w:szCs w:val="21"/>
                <w:highlight w:val="none"/>
                <w:u w:val="none"/>
              </w:rPr>
            </w:pPr>
          </w:p>
        </w:tc>
      </w:tr>
      <w:tr w14:paraId="69761A06">
        <w:tblPrEx>
          <w:shd w:val="clear" w:color="auto" w:fill="auto"/>
          <w:tblCellMar>
            <w:top w:w="0" w:type="dxa"/>
            <w:left w:w="0" w:type="dxa"/>
            <w:bottom w:w="0" w:type="dxa"/>
            <w:right w:w="0" w:type="dxa"/>
          </w:tblCellMar>
        </w:tblPrEx>
        <w:trPr>
          <w:trHeight w:val="2413"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D998D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72</w:t>
            </w:r>
          </w:p>
        </w:tc>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E6E92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多态大模型配套管理</w:t>
            </w: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3DA48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认证与安全</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B229E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用户登录</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18990C">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账号密码登录：用户通过用户名和密码进行身份认证，验证通过后颁发 JWT Token</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Token 自动刷新：使用 Refresh Token 换取新的 Access Token，实现无感续期</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退出登录：用户主动退出，当前 Token 加入黑名单立即失效</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获取当前用户信息：通过 Token 获取当前登录用户的基本信息、角色及权限列表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CED63B">
            <w:pPr>
              <w:jc w:val="center"/>
              <w:rPr>
                <w:rFonts w:hint="eastAsia" w:ascii="宋体" w:hAnsi="宋体" w:eastAsia="宋体" w:cs="宋体"/>
                <w:i w:val="0"/>
                <w:color w:val="auto"/>
                <w:sz w:val="21"/>
                <w:szCs w:val="21"/>
                <w:highlight w:val="none"/>
                <w:u w:val="none"/>
              </w:rPr>
            </w:pPr>
          </w:p>
        </w:tc>
      </w:tr>
      <w:tr w14:paraId="06218ED6">
        <w:tblPrEx>
          <w:shd w:val="clear" w:color="auto" w:fill="auto"/>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1073B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73</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B896E2">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B29AB9">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8CA57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权限控制</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E95DB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RBAC 角色权限体系：基于角色的访问控制，支持菜单权限、按钮权限、数据权限三级粒度</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C8A8AB">
            <w:pPr>
              <w:jc w:val="center"/>
              <w:rPr>
                <w:rFonts w:hint="eastAsia" w:ascii="宋体" w:hAnsi="宋体" w:eastAsia="宋体" w:cs="宋体"/>
                <w:i w:val="0"/>
                <w:color w:val="auto"/>
                <w:sz w:val="21"/>
                <w:szCs w:val="21"/>
                <w:highlight w:val="none"/>
                <w:u w:val="none"/>
              </w:rPr>
            </w:pPr>
          </w:p>
        </w:tc>
      </w:tr>
      <w:tr w14:paraId="1DD93346">
        <w:tblPrEx>
          <w:shd w:val="clear" w:color="auto" w:fill="auto"/>
          <w:tblCellMar>
            <w:top w:w="0" w:type="dxa"/>
            <w:left w:w="0" w:type="dxa"/>
            <w:bottom w:w="0" w:type="dxa"/>
            <w:right w:w="0" w:type="dxa"/>
          </w:tblCellMar>
        </w:tblPrEx>
        <w:trPr>
          <w:trHeight w:val="297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880A8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74</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BEADA0">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8EB726">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E559B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安全防护</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47EA8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安全请求头：自动注入 X-Content-Type-Options、X-Frame-Options 等安全响应头</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请求校验：请求参数合法性校验中间件，拦截非法请求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请求限流：基于 IP/用户的请求频率限制，防止接口被滥用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请求 ID 追踪：为每个请求生成唯一 Request ID，便于全链路日志追踪</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密钥加密存储：Provider API Key 等敏感信息使用 AES 加密存储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4E39BE">
            <w:pPr>
              <w:jc w:val="center"/>
              <w:rPr>
                <w:rFonts w:hint="eastAsia" w:ascii="宋体" w:hAnsi="宋体" w:eastAsia="宋体" w:cs="宋体"/>
                <w:i w:val="0"/>
                <w:color w:val="auto"/>
                <w:sz w:val="21"/>
                <w:szCs w:val="21"/>
                <w:highlight w:val="none"/>
                <w:u w:val="none"/>
              </w:rPr>
            </w:pPr>
          </w:p>
        </w:tc>
      </w:tr>
      <w:tr w14:paraId="480D99AA">
        <w:tblPrEx>
          <w:shd w:val="clear" w:color="auto" w:fill="auto"/>
          <w:tblCellMar>
            <w:top w:w="0" w:type="dxa"/>
            <w:left w:w="0" w:type="dxa"/>
            <w:bottom w:w="0" w:type="dxa"/>
            <w:right w:w="0" w:type="dxa"/>
          </w:tblCellMar>
        </w:tblPrEx>
        <w:trPr>
          <w:trHeight w:val="3547"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C173D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75</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C35516">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7B46D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Agent 管理</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CEC86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Agent 基础管理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E70F9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创建 Agent：创建新的 Agent，指定名称、描述、类型（chat/workflow）及模型配置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Agent 列表：分页展示当前租户下的 Agent 列表，支持按类型和状态筛选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Agent 详情：查看 Agent 的完整配置信息，包括名称、描述、模型、系统提示词等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编辑 Agent：修改 Agent 的名称、描述、模型配置、系统提示词、工作流定义等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删除 Agent 及其关联的版本、执行记录等数据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Agent 克隆：基于现有 Agent 快速复制创建新的 Agent，包含全部配置和工作流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Agent 导入导出：将 Agent 配置导出为 JSON/YAML 文件，或从文件导入创建 Agent</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B9D316">
            <w:pPr>
              <w:jc w:val="center"/>
              <w:rPr>
                <w:rFonts w:hint="eastAsia" w:ascii="宋体" w:hAnsi="宋体" w:eastAsia="宋体" w:cs="宋体"/>
                <w:i w:val="0"/>
                <w:color w:val="auto"/>
                <w:sz w:val="21"/>
                <w:szCs w:val="21"/>
                <w:highlight w:val="none"/>
                <w:u w:val="none"/>
              </w:rPr>
            </w:pPr>
          </w:p>
        </w:tc>
      </w:tr>
      <w:tr w14:paraId="793FB0D7">
        <w:tblPrEx>
          <w:tblCellMar>
            <w:top w:w="0" w:type="dxa"/>
            <w:left w:w="0" w:type="dxa"/>
            <w:bottom w:w="0" w:type="dxa"/>
            <w:right w:w="0" w:type="dxa"/>
          </w:tblCellMar>
        </w:tblPrEx>
        <w:trPr>
          <w:trHeight w:val="270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A6801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76</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8D9E1C">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7BFC18">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65D39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版本管理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3A784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发布 Agent：将当前 Agent 配置发布为正式版本，生成版本号和变更日志</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下线 Agent：将已发布的 Agent 设为下线状态，停止对外服务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版本回滚：将 Agent 配置回滚到指定的历史版本</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版本列表：查看 Agent 的所有发布版本记录，包含版本号、时间、变更日志</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版本对比：可视化对比两个版本之间的配置差异，包括工作流变化和参数变化</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EAE22A">
            <w:pPr>
              <w:jc w:val="center"/>
              <w:rPr>
                <w:rFonts w:hint="eastAsia" w:ascii="宋体" w:hAnsi="宋体" w:eastAsia="宋体" w:cs="宋体"/>
                <w:i w:val="0"/>
                <w:color w:val="auto"/>
                <w:sz w:val="21"/>
                <w:szCs w:val="21"/>
                <w:highlight w:val="none"/>
                <w:u w:val="none"/>
              </w:rPr>
            </w:pPr>
          </w:p>
        </w:tc>
      </w:tr>
      <w:tr w14:paraId="5C0ED480">
        <w:tblPrEx>
          <w:tblCellMar>
            <w:top w:w="0" w:type="dxa"/>
            <w:left w:w="0" w:type="dxa"/>
            <w:bottom w:w="0" w:type="dxa"/>
            <w:right w:w="0" w:type="dxa"/>
          </w:tblCellMar>
        </w:tblPrEx>
        <w:trPr>
          <w:trHeight w:val="37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96B54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77</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650BD2">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D0CA7E">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D7631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Agent 对话</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60332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SSE 流式对话：基于 Server-Sent Events 实现 Agent 实时流式对话，逐字返回结果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多模态对话：支持在对话中发送图片、视频等多媒体附件，由 LLM 解析处理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对话执行详情：展示每次对话的耗时、模型名称、Token 消耗、发送的完整消息等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附件上传与预览：对话中支持上传附件，图片/视频支持内联预览</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对话历史管理：保存和加载历史对话记录，支持会话列表和历史消息查询</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对话分享：将对话内容生成可分享的链接或导出为文档</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3DDE57">
            <w:pPr>
              <w:jc w:val="center"/>
              <w:rPr>
                <w:rFonts w:hint="eastAsia" w:ascii="宋体" w:hAnsi="宋体" w:eastAsia="宋体" w:cs="宋体"/>
                <w:i w:val="0"/>
                <w:color w:val="auto"/>
                <w:sz w:val="21"/>
                <w:szCs w:val="21"/>
                <w:highlight w:val="none"/>
                <w:u w:val="none"/>
              </w:rPr>
            </w:pPr>
          </w:p>
        </w:tc>
      </w:tr>
      <w:tr w14:paraId="5215C9A6">
        <w:tblPrEx>
          <w:tblCellMar>
            <w:top w:w="0" w:type="dxa"/>
            <w:left w:w="0" w:type="dxa"/>
            <w:bottom w:w="0" w:type="dxa"/>
            <w:right w:w="0" w:type="dxa"/>
          </w:tblCellMar>
        </w:tblPrEx>
        <w:trPr>
          <w:trHeight w:val="4302"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40468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78</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05BEDE">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EA4168">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5B4C5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外部 API 接口</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E9CE4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API Key 管理：为每个 Agent 创建、查看、启用/禁用、删除 API Key，用于外部系统调用鉴权</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API Key 创建与展示：创建后一次性展示完整 Key，关闭后仅显示前缀，确保安全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外部对话调用接口：基于 API Key 认证的 RESTful 对话接口，供外部系统集成调用 Agent</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调用频率限制：支持为每个 API Key 配置每分钟请求数上限（RPM），防止接口滥用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IP 白名单绑定：支持为 API Key 绑定允许调用的 IP 地址范围</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Key 过期时间：支持设置 API Key 有效期，过期自动失效</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调用日志查询：查看 API Key 的调用记录，包含时间、来源 IP、响应状态等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1B89BC">
            <w:pPr>
              <w:jc w:val="center"/>
              <w:rPr>
                <w:rFonts w:hint="eastAsia" w:ascii="宋体" w:hAnsi="宋体" w:eastAsia="宋体" w:cs="宋体"/>
                <w:i w:val="0"/>
                <w:color w:val="auto"/>
                <w:sz w:val="21"/>
                <w:szCs w:val="21"/>
                <w:highlight w:val="none"/>
                <w:u w:val="none"/>
              </w:rPr>
            </w:pPr>
          </w:p>
        </w:tc>
      </w:tr>
      <w:tr w14:paraId="19404160">
        <w:tblPrEx>
          <w:tblCellMar>
            <w:top w:w="0" w:type="dxa"/>
            <w:left w:w="0" w:type="dxa"/>
            <w:bottom w:w="0" w:type="dxa"/>
            <w:right w:w="0" w:type="dxa"/>
          </w:tblCellMar>
        </w:tblPrEx>
        <w:trPr>
          <w:trHeight w:val="7795"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76A8E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79</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33DE68">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749EC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工作流编排</w:t>
            </w:r>
          </w:p>
        </w:tc>
        <w:tc>
          <w:tcPr>
            <w:tcW w:w="11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E71F7B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工作流编辑器</w:t>
            </w:r>
          </w:p>
        </w:tc>
        <w:tc>
          <w:tcPr>
            <w:tcW w:w="44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B5F636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可视化画布：基于 ReactFlow 的拖拽式工作流编辑画布，支持缩放、平移和适应屏幕</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节点库：提供 Start、End、LLM、Template、Condition、Parallel、Code、Interface、Knowledge、Agent、Tool、Loop 共 12 种节点类型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拖拽添加节点：从节点库拖拽节点到画布上创建工作流节点</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节点连线：通过拖拽连接节点的输入输出端口，建立数据流和执行流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属性面板：选中节点后在右侧显示属性配置面板，支持各类节点的参数配置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工具栏：提供撤销、重做、删除、对齐、保存等快捷操作按钮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Prompt 编辑器：支持变量引用的 Prompt 模板编辑器，可引用上游节点输出变量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代码编辑器：集成 Monaco Editor 的 Python 代码编辑器，用于 Code 节点脚本编写</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输入映射面板：配置节点输入参数与上游节点输出的映射关系</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循环子画布：Loop 节点内部支持嵌套子工作流画布编辑</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工作流导入导出：将工作流定义导出为 JSON/YAML 文件或从文件导入工作流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工作流模板：提供预制的工作流模板（RAG 检索、多轮对话等），一键套用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全局变量管理：定义工作流级别的全局变量，可在所有节点中引用</w:t>
            </w:r>
          </w:p>
        </w:tc>
        <w:tc>
          <w:tcPr>
            <w:tcW w:w="69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09C06E6">
            <w:pPr>
              <w:jc w:val="center"/>
              <w:rPr>
                <w:rFonts w:hint="eastAsia" w:ascii="宋体" w:hAnsi="宋体" w:eastAsia="宋体" w:cs="宋体"/>
                <w:i w:val="0"/>
                <w:color w:val="auto"/>
                <w:sz w:val="21"/>
                <w:szCs w:val="21"/>
                <w:highlight w:val="none"/>
                <w:u w:val="none"/>
              </w:rPr>
            </w:pPr>
          </w:p>
        </w:tc>
      </w:tr>
      <w:tr w14:paraId="575C8452">
        <w:tblPrEx>
          <w:shd w:val="clear" w:color="auto" w:fill="auto"/>
          <w:tblCellMar>
            <w:top w:w="0" w:type="dxa"/>
            <w:left w:w="0" w:type="dxa"/>
            <w:bottom w:w="0" w:type="dxa"/>
            <w:right w:w="0" w:type="dxa"/>
          </w:tblCellMar>
        </w:tblPrEx>
        <w:trPr>
          <w:trHeight w:val="5648"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3DAF5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80</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7F5F10">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B7CE1A">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1F07A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节点类型</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6665B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Start 节点：工作流起始节点，定义工作流入参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End 节点：工作流结束节点，定义工作流输出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LLM 节点：调用大语言模型进行文本生成，支持配置模型、Prompt 模板和参数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Template 节点：基于 Jinja2 模板引擎进行文本渲染，支持变量替换</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Condition 节点：条件分支节点，根据条件表达式选择不同的执行路径</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Parallel 节点：并行执行节点，同时执行多个分支任务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Code 节点：Python 代码执行节点，支持自定义数据处理逻辑</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Interface 节点：HTTP 接口调用节点，调用已注册的外部 API 接口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Knowledge 节点：知识库检索节点，基于向量相似度从知识库中检索相关内容</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Agent 节点：Agent 协作调用节点，在工作流中调用其他 Agent</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Tool 节点：工具调用节点，调用工具执行特定任务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Loop 节点：循环迭代节点，对列表数据进行循环处理，内含子工作流</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2E2D4A">
            <w:pPr>
              <w:jc w:val="center"/>
              <w:rPr>
                <w:rFonts w:hint="eastAsia" w:ascii="宋体" w:hAnsi="宋体" w:eastAsia="宋体" w:cs="宋体"/>
                <w:i w:val="0"/>
                <w:color w:val="auto"/>
                <w:sz w:val="21"/>
                <w:szCs w:val="21"/>
                <w:highlight w:val="none"/>
                <w:u w:val="none"/>
              </w:rPr>
            </w:pPr>
          </w:p>
        </w:tc>
      </w:tr>
      <w:tr w14:paraId="6062BA59">
        <w:tblPrEx>
          <w:shd w:val="clear" w:color="auto" w:fill="auto"/>
          <w:tblCellMar>
            <w:top w:w="0" w:type="dxa"/>
            <w:left w:w="0" w:type="dxa"/>
            <w:bottom w:w="0" w:type="dxa"/>
            <w:right w:w="0" w:type="dxa"/>
          </w:tblCellMar>
        </w:tblPrEx>
        <w:trPr>
          <w:trHeight w:val="3925"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F4EAF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81</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2188C2">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54FA1A">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7156E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工作流执行</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8B3CF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SSE 流式执行：工作流通过 Server-Sent Events 流式推送执行进度和节点事件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工作流测试抽屉：前端提供工作流测试抽屉面板，输入参数后实时运行并查看结果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执行记录查询：查询工作流历史执行记录，包含状态、耗时、Token 消耗等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节点执行日志：查看每次执行中各节点的输入输出、耗时和错误信息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单步调试：支持工作流逐节点调试执行，可在断点处暂停查看中间状态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批量测试：支持上传测试数据集批量执行工作流，生成测试报告</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执行回放：对历史执行进行可视化回放，在画布上展示执行路径和节点状态</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5C4111">
            <w:pPr>
              <w:jc w:val="center"/>
              <w:rPr>
                <w:rFonts w:hint="eastAsia" w:ascii="宋体" w:hAnsi="宋体" w:eastAsia="宋体" w:cs="宋体"/>
                <w:i w:val="0"/>
                <w:color w:val="auto"/>
                <w:sz w:val="21"/>
                <w:szCs w:val="21"/>
                <w:highlight w:val="none"/>
                <w:u w:val="none"/>
              </w:rPr>
            </w:pPr>
          </w:p>
        </w:tc>
      </w:tr>
      <w:tr w14:paraId="5F0DE59F">
        <w:tblPrEx>
          <w:tblCellMar>
            <w:top w:w="0" w:type="dxa"/>
            <w:left w:w="0" w:type="dxa"/>
            <w:bottom w:w="0" w:type="dxa"/>
            <w:right w:w="0" w:type="dxa"/>
          </w:tblCellMar>
        </w:tblPrEx>
        <w:trPr>
          <w:trHeight w:val="2558"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2B41B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82</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F92B5E">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F7CB0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知识库管理</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CCB64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知识库基础管理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8BC15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创建知识库：创建新的知识库，指定名称、描述、类型和关联的 Embedding 模型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知识库列表：分页展示知识库列表，支持按类型和启用状态筛选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知识库详情：查看知识库的配置信息，包括文档数量、切片数量、向量化状态等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编辑知识库：修改知识库名称、描述、Embedding 模型等配置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删除知识库及其关联的文档、切片和向量数据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E42739">
            <w:pPr>
              <w:jc w:val="center"/>
              <w:rPr>
                <w:rFonts w:hint="eastAsia" w:ascii="宋体" w:hAnsi="宋体" w:eastAsia="宋体" w:cs="宋体"/>
                <w:i w:val="0"/>
                <w:color w:val="auto"/>
                <w:sz w:val="21"/>
                <w:szCs w:val="21"/>
                <w:highlight w:val="none"/>
                <w:u w:val="none"/>
              </w:rPr>
            </w:pPr>
          </w:p>
        </w:tc>
      </w:tr>
      <w:tr w14:paraId="3FD5CDA0">
        <w:tblPrEx>
          <w:shd w:val="clear" w:color="auto" w:fill="auto"/>
          <w:tblCellMar>
            <w:top w:w="0" w:type="dxa"/>
            <w:left w:w="0" w:type="dxa"/>
            <w:bottom w:w="0" w:type="dxa"/>
            <w:right w:w="0" w:type="dxa"/>
          </w:tblCellMar>
        </w:tblPrEx>
        <w:trPr>
          <w:trHeight w:val="297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EB5FA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83</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A7C44F">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F0187E">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E7B7F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文档管理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9298C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上传文档：上传文件创建知识库文档，支持常见文档格式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文档列表：分页展示知识库下的文档列表，支持按启用状态筛选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编辑文档：修改文档的元数据信息（名称、启用状态等）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删除文档及其关联的切片和向量数据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查看原文：查看文档的原始提取文本内容</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批量导入：支持批量上传多个文档文件，统一进行处理和向量化</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64DC7C">
            <w:pPr>
              <w:jc w:val="center"/>
              <w:rPr>
                <w:rFonts w:hint="eastAsia" w:ascii="宋体" w:hAnsi="宋体" w:eastAsia="宋体" w:cs="宋体"/>
                <w:i w:val="0"/>
                <w:color w:val="auto"/>
                <w:sz w:val="21"/>
                <w:szCs w:val="21"/>
                <w:highlight w:val="none"/>
                <w:u w:val="none"/>
              </w:rPr>
            </w:pPr>
          </w:p>
        </w:tc>
      </w:tr>
      <w:tr w14:paraId="06E708C7">
        <w:tblPrEx>
          <w:tblCellMar>
            <w:top w:w="0" w:type="dxa"/>
            <w:left w:w="0" w:type="dxa"/>
            <w:bottom w:w="0" w:type="dxa"/>
            <w:right w:w="0" w:type="dxa"/>
          </w:tblCellMar>
        </w:tblPrEx>
        <w:trPr>
          <w:trHeight w:val="2945"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8B9C1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84</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539289">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559BEE">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4B323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文档处理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5C416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文档切片：对文档进行智能切片处理，支持多种切片策略（固定大小、递归、语义）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切片配置：配置切片参数，包括切片大小、重叠大小、分隔符和清洗规则</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重新向量化：对文档进行重新 Embedding 向量化，用于更换模型后的数据刷新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文本清洗：对提取的文本进行去噪、去重、格式标准化等清洗操作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文本提取：从上传的文件中自动提取文本内容（支持 PDF、Word、TXT 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85A370">
            <w:pPr>
              <w:jc w:val="center"/>
              <w:rPr>
                <w:rFonts w:hint="eastAsia" w:ascii="宋体" w:hAnsi="宋体" w:eastAsia="宋体" w:cs="宋体"/>
                <w:i w:val="0"/>
                <w:color w:val="auto"/>
                <w:sz w:val="21"/>
                <w:szCs w:val="21"/>
                <w:highlight w:val="none"/>
                <w:u w:val="none"/>
              </w:rPr>
            </w:pPr>
          </w:p>
        </w:tc>
      </w:tr>
      <w:tr w14:paraId="5A27C48C">
        <w:tblPrEx>
          <w:tblCellMar>
            <w:top w:w="0" w:type="dxa"/>
            <w:left w:w="0" w:type="dxa"/>
            <w:bottom w:w="0" w:type="dxa"/>
            <w:right w:w="0" w:type="dxa"/>
          </w:tblCellMar>
        </w:tblPrEx>
        <w:trPr>
          <w:trHeight w:val="162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6CA94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85</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9FE32B">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AA08D4">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87E44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切片管理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2C15D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查看切片列表：查看文档被切分后的所有切片内容</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编辑切片：手动编辑切片内容，修正自动切片的不理想结果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切片预览卡片：以卡片形式展示切片内容、来源文档和向量化状态</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3AA929">
            <w:pPr>
              <w:jc w:val="center"/>
              <w:rPr>
                <w:rFonts w:hint="eastAsia" w:ascii="宋体" w:hAnsi="宋体" w:eastAsia="宋体" w:cs="宋体"/>
                <w:i w:val="0"/>
                <w:color w:val="auto"/>
                <w:sz w:val="21"/>
                <w:szCs w:val="21"/>
                <w:highlight w:val="none"/>
                <w:u w:val="none"/>
              </w:rPr>
            </w:pPr>
          </w:p>
        </w:tc>
      </w:tr>
      <w:tr w14:paraId="212A8710">
        <w:tblPrEx>
          <w:tblCellMar>
            <w:top w:w="0" w:type="dxa"/>
            <w:left w:w="0" w:type="dxa"/>
            <w:bottom w:w="0" w:type="dxa"/>
            <w:right w:w="0" w:type="dxa"/>
          </w:tblCellMar>
        </w:tblPrEx>
        <w:trPr>
          <w:trHeight w:val="162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599D1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86</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0624F0">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173129">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BCF0F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FAQ 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BD89D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创建 FAQ：创建问答对条目，直接以 Q&amp;A 形式录入知识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FAQ 列表：分页展示知识库下的 FAQ 条目列表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编辑 FAQ：修改 FAQ 问答对的内容</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删除 FAQ：删除指定的 FAQ 条目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2EFEA7">
            <w:pPr>
              <w:jc w:val="center"/>
              <w:rPr>
                <w:rFonts w:hint="eastAsia" w:ascii="宋体" w:hAnsi="宋体" w:eastAsia="宋体" w:cs="宋体"/>
                <w:i w:val="0"/>
                <w:color w:val="auto"/>
                <w:sz w:val="21"/>
                <w:szCs w:val="21"/>
                <w:highlight w:val="none"/>
                <w:u w:val="none"/>
              </w:rPr>
            </w:pPr>
          </w:p>
        </w:tc>
      </w:tr>
      <w:tr w14:paraId="339C21E8">
        <w:tblPrEx>
          <w:shd w:val="clear" w:color="auto" w:fill="auto"/>
          <w:tblCellMar>
            <w:top w:w="0" w:type="dxa"/>
            <w:left w:w="0" w:type="dxa"/>
            <w:bottom w:w="0" w:type="dxa"/>
            <w:right w:w="0" w:type="dxa"/>
          </w:tblCellMar>
        </w:tblPrEx>
        <w:trPr>
          <w:trHeight w:val="216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600C5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87</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1926F7">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633148">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4E687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知识检索</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24DC6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向量相似度检索：基于 Milvus 向量数据库进行语义相似度检索</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增强检索 (RAG)：检索增强生成，将检索结果注入 LLM 上下文提升回答质量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检索测试：在知识库详情页提供检索测试功能，输入查询验证检索效果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混合检索：结合向量检索和关键词检索，提升召回率和准确率</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61A4F4">
            <w:pPr>
              <w:jc w:val="center"/>
              <w:rPr>
                <w:rFonts w:hint="eastAsia" w:ascii="宋体" w:hAnsi="宋体" w:eastAsia="宋体" w:cs="宋体"/>
                <w:i w:val="0"/>
                <w:color w:val="auto"/>
                <w:sz w:val="21"/>
                <w:szCs w:val="21"/>
                <w:highlight w:val="none"/>
                <w:u w:val="none"/>
              </w:rPr>
            </w:pPr>
          </w:p>
        </w:tc>
      </w:tr>
      <w:tr w14:paraId="406F2CEC">
        <w:tblPrEx>
          <w:shd w:val="clear" w:color="auto" w:fill="auto"/>
          <w:tblCellMar>
            <w:top w:w="0" w:type="dxa"/>
            <w:left w:w="0" w:type="dxa"/>
            <w:bottom w:w="0" w:type="dxa"/>
            <w:right w:w="0" w:type="dxa"/>
          </w:tblCellMar>
        </w:tblPrEx>
        <w:trPr>
          <w:trHeight w:val="32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1A88A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88</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6BF74B">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FB76B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Provider 配置</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6A452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Provider 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082F2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创建 Provider：注册新的模型供应商，配置名称、类型、API 地址和认证信息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Provider 列表：分页展示已注册的 Provider 列表，支持按类型筛选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Provider 详情：查看 Provider 的完整配置信息和关联的模型列表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编辑 Provider：修改 Provider 的名称、API 地址、认证信息等配置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删除 Provider 及其下属的所有模型配置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连接测试：向 Provider API 发送测试请求，验证连接和认证信息是否有效</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4795E8">
            <w:pPr>
              <w:jc w:val="center"/>
              <w:rPr>
                <w:rFonts w:hint="eastAsia" w:ascii="宋体" w:hAnsi="宋体" w:eastAsia="宋体" w:cs="宋体"/>
                <w:i w:val="0"/>
                <w:color w:val="auto"/>
                <w:sz w:val="21"/>
                <w:szCs w:val="21"/>
                <w:highlight w:val="none"/>
                <w:u w:val="none"/>
              </w:rPr>
            </w:pPr>
          </w:p>
        </w:tc>
      </w:tr>
      <w:tr w14:paraId="66C08B32">
        <w:tblPrEx>
          <w:shd w:val="clear" w:color="auto" w:fill="auto"/>
          <w:tblCellMar>
            <w:top w:w="0" w:type="dxa"/>
            <w:left w:w="0" w:type="dxa"/>
            <w:bottom w:w="0" w:type="dxa"/>
            <w:right w:w="0" w:type="dxa"/>
          </w:tblCellMar>
        </w:tblPrEx>
        <w:trPr>
          <w:trHeight w:val="29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D7350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89</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9DD01B">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31E0EB">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8C2EC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模型管理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B0CF0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创建模型：在指定 Provider 下注册新的模型，配置模型 ID、名称、类型和参数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模型列表：分页展示 Provider 下的模型列表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模型详情：查看模型的完整配置信息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编辑模型：修改模型的名称、参数配置等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删除模型：删除指定的模型配置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模型用量追踪：记录模型调用次数和 Token 消耗，用于用量统计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模型调用计费：基于 Token 消耗和模型定价计算调用费用，生成费用报表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0E6ABE">
            <w:pPr>
              <w:jc w:val="center"/>
              <w:rPr>
                <w:rFonts w:hint="eastAsia" w:ascii="宋体" w:hAnsi="宋体" w:eastAsia="宋体" w:cs="宋体"/>
                <w:i w:val="0"/>
                <w:color w:val="auto"/>
                <w:sz w:val="21"/>
                <w:szCs w:val="21"/>
                <w:highlight w:val="none"/>
                <w:u w:val="none"/>
              </w:rPr>
            </w:pPr>
          </w:p>
        </w:tc>
      </w:tr>
      <w:tr w14:paraId="15994176">
        <w:tblPrEx>
          <w:tblCellMar>
            <w:top w:w="0" w:type="dxa"/>
            <w:left w:w="0" w:type="dxa"/>
            <w:bottom w:w="0" w:type="dxa"/>
            <w:right w:w="0" w:type="dxa"/>
          </w:tblCellMar>
        </w:tblPrEx>
        <w:trPr>
          <w:trHeight w:val="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581FA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90</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F20365">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59A72C">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EA241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Embedding 模型</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A3868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Embedding 模型管理：管理 Embedding 向量化模型的注册、配置和使用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DF4BA8">
            <w:pPr>
              <w:jc w:val="center"/>
              <w:rPr>
                <w:rFonts w:hint="eastAsia" w:ascii="宋体" w:hAnsi="宋体" w:eastAsia="宋体" w:cs="宋体"/>
                <w:i w:val="0"/>
                <w:color w:val="auto"/>
                <w:sz w:val="21"/>
                <w:szCs w:val="21"/>
                <w:highlight w:val="none"/>
                <w:u w:val="none"/>
              </w:rPr>
            </w:pPr>
          </w:p>
        </w:tc>
      </w:tr>
      <w:tr w14:paraId="39F756F5">
        <w:tblPrEx>
          <w:shd w:val="clear" w:color="auto" w:fill="auto"/>
          <w:tblCellMar>
            <w:top w:w="0" w:type="dxa"/>
            <w:left w:w="0" w:type="dxa"/>
            <w:bottom w:w="0" w:type="dxa"/>
            <w:right w:w="0" w:type="dxa"/>
          </w:tblCellMar>
        </w:tblPrEx>
        <w:trPr>
          <w:trHeight w:val="35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D8FFD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91</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EA8526">
            <w:pPr>
              <w:jc w:val="center"/>
              <w:rPr>
                <w:rFonts w:hint="eastAsia" w:ascii="宋体" w:hAnsi="宋体" w:eastAsia="宋体" w:cs="宋体"/>
                <w:i w:val="0"/>
                <w:color w:val="auto"/>
                <w:sz w:val="21"/>
                <w:szCs w:val="21"/>
                <w:highlight w:val="none"/>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42276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扩展管理</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526AD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接口管理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AB2EB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创建接口：注册外部 HTTP API 接口，配置 URL、协议、认证方式和参数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接口列表：分页展示已注册的接口列表，支持按协议和状态筛选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接口详情：查看接口的完整配置信息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编辑接口：修改接口的 URL、认证方式、参数等配置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删除接口：删除指定的接口配置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接口连接测试：向接口发送测试请求，验证连通性和返回结果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Webhook 回调：支持配置 Webhook，在特定事件发生时主动推送通知到外部系统</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21C3D2">
            <w:pPr>
              <w:jc w:val="center"/>
              <w:rPr>
                <w:rFonts w:hint="eastAsia" w:ascii="宋体" w:hAnsi="宋体" w:eastAsia="宋体" w:cs="宋体"/>
                <w:i w:val="0"/>
                <w:color w:val="auto"/>
                <w:sz w:val="21"/>
                <w:szCs w:val="21"/>
                <w:highlight w:val="none"/>
                <w:u w:val="none"/>
              </w:rPr>
            </w:pPr>
          </w:p>
        </w:tc>
      </w:tr>
      <w:tr w14:paraId="4B7CFDE5">
        <w:tblPrEx>
          <w:shd w:val="clear" w:color="auto" w:fill="auto"/>
          <w:tblCellMar>
            <w:top w:w="0" w:type="dxa"/>
            <w:left w:w="0" w:type="dxa"/>
            <w:bottom w:w="0" w:type="dxa"/>
            <w:right w:w="0" w:type="dxa"/>
          </w:tblCellMar>
        </w:tblPrEx>
        <w:trPr>
          <w:trHeight w:val="2105"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51777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92</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978886">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DB7EA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附件管理</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294A2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文件操作</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A22B9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上传附件：上传文件到服务器，自动提取文件元信息并持久化存储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下载/预览附件：根据附件 ID 获取文件流，图片和视频类型支持浏览器内联预览</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查询附件信息：获取附件的元数据信息（文件名、大小、MIME 类型、上传时间等）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文本提取：上传的文档附件自动提取文本内容，供知识库和对话使用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72F2AF">
            <w:pPr>
              <w:jc w:val="center"/>
              <w:rPr>
                <w:rFonts w:hint="eastAsia" w:ascii="宋体" w:hAnsi="宋体" w:eastAsia="宋体" w:cs="宋体"/>
                <w:i w:val="0"/>
                <w:color w:val="auto"/>
                <w:sz w:val="21"/>
                <w:szCs w:val="21"/>
                <w:highlight w:val="none"/>
                <w:u w:val="none"/>
              </w:rPr>
            </w:pPr>
          </w:p>
        </w:tc>
      </w:tr>
      <w:tr w14:paraId="22CA68BE">
        <w:tblPrEx>
          <w:shd w:val="clear" w:color="auto" w:fill="auto"/>
          <w:tblCellMar>
            <w:top w:w="0" w:type="dxa"/>
            <w:left w:w="0" w:type="dxa"/>
            <w:bottom w:w="0" w:type="dxa"/>
            <w:right w:w="0" w:type="dxa"/>
          </w:tblCellMar>
        </w:tblPrEx>
        <w:trPr>
          <w:trHeight w:val="216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E97A7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93</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7C3C04">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076D95">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41310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文件安全</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4A82F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Token 查询参数认证：支持通过 URL 查询参数传递 Token，解决 img/video 标签无法携带 Header 的问题</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SVG 防 XSS：SVG 文件强制以 application/octet-stream 返回，防止存储型 XSS 攻击</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对象存储：支持 MinIO/S3 等对象存储后端，替代本地文件存储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6FB54F">
            <w:pPr>
              <w:jc w:val="center"/>
              <w:rPr>
                <w:rFonts w:hint="eastAsia" w:ascii="宋体" w:hAnsi="宋体" w:eastAsia="宋体" w:cs="宋体"/>
                <w:i w:val="0"/>
                <w:color w:val="auto"/>
                <w:sz w:val="21"/>
                <w:szCs w:val="21"/>
                <w:highlight w:val="none"/>
                <w:u w:val="none"/>
              </w:rPr>
            </w:pPr>
          </w:p>
        </w:tc>
      </w:tr>
      <w:tr w14:paraId="09699C6F">
        <w:tblPrEx>
          <w:tblCellMar>
            <w:top w:w="0" w:type="dxa"/>
            <w:left w:w="0" w:type="dxa"/>
            <w:bottom w:w="0" w:type="dxa"/>
            <w:right w:w="0" w:type="dxa"/>
          </w:tblCellMar>
        </w:tblPrEx>
        <w:trPr>
          <w:trHeight w:val="110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CC9CB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94</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665BAF">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1185D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调用统计</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757FB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实时统计</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2F23A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实时监控面板：展示近 1 分钟窗口内的 Agent 调用次数、成功率、平均耗时等实时指标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统计摘要卡片：以数据卡片形式展示关键统计指标（总调用量、活跃 Agent 数等）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CC2B84">
            <w:pPr>
              <w:jc w:val="center"/>
              <w:rPr>
                <w:rFonts w:hint="eastAsia" w:ascii="宋体" w:hAnsi="宋体" w:eastAsia="宋体" w:cs="宋体"/>
                <w:i w:val="0"/>
                <w:color w:val="auto"/>
                <w:sz w:val="21"/>
                <w:szCs w:val="21"/>
                <w:highlight w:val="none"/>
                <w:u w:val="none"/>
              </w:rPr>
            </w:pPr>
          </w:p>
        </w:tc>
      </w:tr>
      <w:tr w14:paraId="4C02F3EC">
        <w:tblPrEx>
          <w:tblCellMar>
            <w:top w:w="0" w:type="dxa"/>
            <w:left w:w="0" w:type="dxa"/>
            <w:bottom w:w="0" w:type="dxa"/>
            <w:right w:w="0" w:type="dxa"/>
          </w:tblCellMar>
        </w:tblPrEx>
        <w:trPr>
          <w:trHeight w:val="135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AA652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95</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A3B9FC">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7FB2BB">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86F7D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趋势分析</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23A6B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Agent 调用趋势：按分钟粒度展示指定 Agent 的调用量变化趋势图</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Agent 统计表格：以表格形式展示各 Agent 的调用量、成功率、平均耗时等统计数据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2D2967">
            <w:pPr>
              <w:jc w:val="center"/>
              <w:rPr>
                <w:rFonts w:hint="eastAsia" w:ascii="宋体" w:hAnsi="宋体" w:eastAsia="宋体" w:cs="宋体"/>
                <w:i w:val="0"/>
                <w:color w:val="auto"/>
                <w:sz w:val="21"/>
                <w:szCs w:val="21"/>
                <w:highlight w:val="none"/>
                <w:u w:val="none"/>
              </w:rPr>
            </w:pPr>
          </w:p>
        </w:tc>
      </w:tr>
      <w:tr w14:paraId="1A5145CE">
        <w:tblPrEx>
          <w:shd w:val="clear" w:color="auto" w:fill="auto"/>
          <w:tblCellMar>
            <w:top w:w="0" w:type="dxa"/>
            <w:left w:w="0" w:type="dxa"/>
            <w:bottom w:w="0" w:type="dxa"/>
            <w:right w:w="0" w:type="dxa"/>
          </w:tblCellMar>
        </w:tblPrEx>
        <w:trPr>
          <w:trHeight w:val="32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25721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96</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134F75">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3E76A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系统设置</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0BB8C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用户管理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49264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创建用户：管理员创建新用户，指定用户名、密码、姓名、邮箱和角色</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用户列表：分页展示用户列表，显示姓名、用户名、邮箱、角色和状态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编辑用户：修改用户的姓名、邮箱、状态和角色分配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删除用户：删除指定用户（不允许删除自己的账户）</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用户状态管理：启用或禁用用户账户，禁用后用户无法登录</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密码重置：管理员可重置用户密码，或用户通过邮箱自助重置密码</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3C519D">
            <w:pPr>
              <w:jc w:val="center"/>
              <w:rPr>
                <w:rFonts w:hint="eastAsia" w:ascii="宋体" w:hAnsi="宋体" w:eastAsia="宋体" w:cs="宋体"/>
                <w:i w:val="0"/>
                <w:color w:val="auto"/>
                <w:sz w:val="21"/>
                <w:szCs w:val="21"/>
                <w:highlight w:val="none"/>
                <w:u w:val="none"/>
              </w:rPr>
            </w:pPr>
          </w:p>
        </w:tc>
      </w:tr>
      <w:tr w14:paraId="4D4BF003">
        <w:tblPrEx>
          <w:shd w:val="clear" w:color="auto" w:fill="auto"/>
          <w:tblCellMar>
            <w:top w:w="0" w:type="dxa"/>
            <w:left w:w="0" w:type="dxa"/>
            <w:bottom w:w="0" w:type="dxa"/>
            <w:right w:w="0" w:type="dxa"/>
          </w:tblCellMar>
        </w:tblPrEx>
        <w:trPr>
          <w:trHeight w:val="32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E1A89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97</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6ACFF3">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5D5921">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B9B1B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角色管理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55514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创建角色：创建自定义角色，配置名称、描述和数据范围</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角色列表：分页展示角色列表，显示名称、描述、数据范围和系统角色标识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编辑角色：修改角色的名称、描述和数据范围（系统内置角色不可修改）</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删除角色：删除自定义角色（系统内置角色不可删除）</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角色权限配置：通过树形权限选择器为角色分配菜单、按钮、数据权限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角色用户分配：将用户批量分配到角色，或查看角色下的用户列表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3FAC50">
            <w:pPr>
              <w:jc w:val="center"/>
              <w:rPr>
                <w:rFonts w:hint="eastAsia" w:ascii="宋体" w:hAnsi="宋体" w:eastAsia="宋体" w:cs="宋体"/>
                <w:i w:val="0"/>
                <w:color w:val="auto"/>
                <w:sz w:val="21"/>
                <w:szCs w:val="21"/>
                <w:highlight w:val="none"/>
                <w:u w:val="none"/>
              </w:rPr>
            </w:pPr>
          </w:p>
        </w:tc>
      </w:tr>
      <w:tr w14:paraId="4462A207">
        <w:tblPrEx>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00110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98</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D2104A">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DDB757">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6AE66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权限管理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6AC3B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权限列表：查看系统所有可用权限，按菜单、按钮、数据三类分组展示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用户角色查询：查看指定用户已分配的角色列表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6BBE6D">
            <w:pPr>
              <w:jc w:val="center"/>
              <w:rPr>
                <w:rFonts w:hint="eastAsia" w:ascii="宋体" w:hAnsi="宋体" w:eastAsia="宋体" w:cs="宋体"/>
                <w:i w:val="0"/>
                <w:color w:val="auto"/>
                <w:sz w:val="21"/>
                <w:szCs w:val="21"/>
                <w:highlight w:val="none"/>
                <w:u w:val="none"/>
              </w:rPr>
            </w:pPr>
          </w:p>
        </w:tc>
      </w:tr>
      <w:tr w14:paraId="11045A0E">
        <w:tblPrEx>
          <w:tblCellMar>
            <w:top w:w="0" w:type="dxa"/>
            <w:left w:w="0" w:type="dxa"/>
            <w:bottom w:w="0" w:type="dxa"/>
            <w:right w:w="0" w:type="dxa"/>
          </w:tblCellMar>
        </w:tblPrEx>
        <w:trPr>
          <w:trHeight w:val="1592"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A8E8F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99</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994DD3">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46CF1A">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B6F0D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系统信息</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8679A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平台版本：展示当前平台版本号和运行环境信息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操作审计日志：记录用户的关键操作行为（创建、删除、配置变更等），可查询和导出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系统参数配置：提供可视化的系统参数配置页面（超时时间、文件大小限制等）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系统通知：系统级消息通知功能，支持公告发布和个人消息推送</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996090">
            <w:pPr>
              <w:jc w:val="center"/>
              <w:rPr>
                <w:rFonts w:hint="eastAsia" w:ascii="宋体" w:hAnsi="宋体" w:eastAsia="宋体" w:cs="宋体"/>
                <w:i w:val="0"/>
                <w:color w:val="auto"/>
                <w:sz w:val="21"/>
                <w:szCs w:val="21"/>
                <w:highlight w:val="none"/>
                <w:u w:val="none"/>
              </w:rPr>
            </w:pPr>
          </w:p>
        </w:tc>
      </w:tr>
      <w:tr w14:paraId="4E6BB89D">
        <w:tblPrEx>
          <w:shd w:val="clear" w:color="auto" w:fill="auto"/>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55189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100</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EE260A">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9318A5">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668AA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日志管理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A95AA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结构化日志：应用采用结构化日志格式，包含请求 ID、租户 ID 等上下文信息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5BB560">
            <w:pPr>
              <w:jc w:val="center"/>
              <w:rPr>
                <w:rFonts w:hint="eastAsia" w:ascii="宋体" w:hAnsi="宋体" w:eastAsia="宋体" w:cs="宋体"/>
                <w:i w:val="0"/>
                <w:color w:val="auto"/>
                <w:sz w:val="21"/>
                <w:szCs w:val="21"/>
                <w:highlight w:val="none"/>
                <w:u w:val="none"/>
              </w:rPr>
            </w:pPr>
          </w:p>
        </w:tc>
      </w:tr>
      <w:tr w14:paraId="62372A39">
        <w:tblPrEx>
          <w:shd w:val="clear" w:color="auto" w:fill="auto"/>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A74FF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101</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EA0C54">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AB97C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前端通用</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97473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界面主题</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0A805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深色/浅色模式切换：支持一键切换深色和浅色主题模式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响应式布局：仪表盘布局支持侧边栏折叠/展开，适配不同屏幕尺寸</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CFFF46">
            <w:pPr>
              <w:jc w:val="center"/>
              <w:rPr>
                <w:rFonts w:hint="eastAsia" w:ascii="宋体" w:hAnsi="宋体" w:eastAsia="宋体" w:cs="宋体"/>
                <w:i w:val="0"/>
                <w:color w:val="auto"/>
                <w:sz w:val="21"/>
                <w:szCs w:val="21"/>
                <w:highlight w:val="none"/>
                <w:u w:val="none"/>
              </w:rPr>
            </w:pPr>
          </w:p>
        </w:tc>
      </w:tr>
      <w:tr w14:paraId="7EEDFBC8">
        <w:tblPrEx>
          <w:shd w:val="clear" w:color="auto" w:fill="auto"/>
          <w:tblCellMar>
            <w:top w:w="0" w:type="dxa"/>
            <w:left w:w="0" w:type="dxa"/>
            <w:bottom w:w="0" w:type="dxa"/>
            <w:right w:w="0" w:type="dxa"/>
          </w:tblCellMar>
        </w:tblPrEx>
        <w:trPr>
          <w:trHeight w:val="189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0A566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102</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B78CA2">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A85B07">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01205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路由与导航</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C8554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侧边菜单导航：左侧固定导航菜单，包含 Agent、知识库、Provider、扩展、统计、设置等模块入口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权限菜单过滤：根据当前用户权限动态显示/隐藏菜单项</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登录态守卫：未登录用户自动跳转到登录页，登录后恢复原访问路径</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A2FA73">
            <w:pPr>
              <w:jc w:val="center"/>
              <w:rPr>
                <w:rFonts w:hint="eastAsia" w:ascii="宋体" w:hAnsi="宋体" w:eastAsia="宋体" w:cs="宋体"/>
                <w:i w:val="0"/>
                <w:color w:val="auto"/>
                <w:sz w:val="21"/>
                <w:szCs w:val="21"/>
                <w:highlight w:val="none"/>
                <w:u w:val="none"/>
              </w:rPr>
            </w:pPr>
          </w:p>
        </w:tc>
      </w:tr>
      <w:tr w14:paraId="2224C9C2">
        <w:tblPrEx>
          <w:tblCellMar>
            <w:top w:w="0" w:type="dxa"/>
            <w:left w:w="0" w:type="dxa"/>
            <w:bottom w:w="0" w:type="dxa"/>
            <w:right w:w="0" w:type="dxa"/>
          </w:tblCellMar>
        </w:tblPrEx>
        <w:trPr>
          <w:trHeight w:val="26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AF735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103</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69B1CF">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C35FB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模型管理</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B87C7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模型注册与接入</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2E756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模型注册：支持将开源模型（LLaMA、Qwen、Baichuan等）及商业模型（GPT、Claude、Gemini等）注册到平台，统一管理模型元信息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模型版本管理：支持同一模型的多版本并存，记录版本变更历史，支持版本回滚与对比</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模型元数据管理：维护模型基本信息（模型类型、参数量、上下文长度、支持的任务类型、许可协议等）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第三方API接入：支持通过API Key接入OpenAI、Anthropic、Azure OpenAI、百度文心、阿里通义等第三方模型服务</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81C135">
            <w:pPr>
              <w:jc w:val="center"/>
              <w:rPr>
                <w:rFonts w:hint="eastAsia" w:ascii="宋体" w:hAnsi="宋体" w:eastAsia="宋体" w:cs="宋体"/>
                <w:i w:val="0"/>
                <w:color w:val="auto"/>
                <w:sz w:val="21"/>
                <w:szCs w:val="21"/>
                <w:highlight w:val="none"/>
                <w:u w:val="none"/>
              </w:rPr>
            </w:pPr>
          </w:p>
        </w:tc>
      </w:tr>
      <w:tr w14:paraId="2F185A66">
        <w:tblPrEx>
          <w:shd w:val="clear" w:color="auto" w:fill="auto"/>
          <w:tblCellMar>
            <w:top w:w="0" w:type="dxa"/>
            <w:left w:w="0" w:type="dxa"/>
            <w:bottom w:w="0" w:type="dxa"/>
            <w:right w:w="0" w:type="dxa"/>
          </w:tblCellMar>
        </w:tblPrEx>
        <w:trPr>
          <w:trHeight w:val="37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395B7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104</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5A6965">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203FCE">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E0728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模型部署</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F7B15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一键部署：支持从模型仓库（HuggingFace、ModelScope等）拉取模型并一键部署到指定计算资源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部署配置管理：配置模型运行参数（精度FP16/INT8/INT4、batch size、最大序列长度、GPU数量等）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多实例部署：支持同一模型部署多个实例，实现水平扩展，提升吞吐量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容器化部署：基于Docker/Kubernetes实现模型服务容器化，支持弹性伸缩与自动化运维</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部署状态监控：实时展示模型部署状态（启动中/运行中/异常/停止），支持查看部署日志与错误信息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ED5895">
            <w:pPr>
              <w:jc w:val="center"/>
              <w:rPr>
                <w:rFonts w:hint="eastAsia" w:ascii="宋体" w:hAnsi="宋体" w:eastAsia="宋体" w:cs="宋体"/>
                <w:i w:val="0"/>
                <w:color w:val="auto"/>
                <w:sz w:val="21"/>
                <w:szCs w:val="21"/>
                <w:highlight w:val="none"/>
                <w:u w:val="none"/>
              </w:rPr>
            </w:pPr>
          </w:p>
        </w:tc>
      </w:tr>
      <w:tr w14:paraId="3FFAFA4F">
        <w:tblPrEx>
          <w:shd w:val="clear" w:color="auto" w:fill="auto"/>
          <w:tblCellMar>
            <w:top w:w="0" w:type="dxa"/>
            <w:left w:w="0" w:type="dxa"/>
            <w:bottom w:w="0" w:type="dxa"/>
            <w:right w:w="0" w:type="dxa"/>
          </w:tblCellMar>
        </w:tblPrEx>
        <w:trPr>
          <w:trHeight w:val="938"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09A4B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105</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85EE51">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7B0ED4">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0B1EA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模型仓库</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B6B42C">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私有模型仓库：提供私有模型存储仓库，支持模型文件的上传、下载、版本管理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模型搜索与发现：支持按名称、类型、任务、标签等维度检索平台内已注册模型</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DC1BD7">
            <w:pPr>
              <w:jc w:val="center"/>
              <w:rPr>
                <w:rFonts w:hint="eastAsia" w:ascii="宋体" w:hAnsi="宋体" w:eastAsia="宋体" w:cs="宋体"/>
                <w:i w:val="0"/>
                <w:color w:val="auto"/>
                <w:sz w:val="21"/>
                <w:szCs w:val="21"/>
                <w:highlight w:val="none"/>
                <w:u w:val="none"/>
              </w:rPr>
            </w:pPr>
          </w:p>
        </w:tc>
      </w:tr>
      <w:tr w14:paraId="47FECC05">
        <w:tblPrEx>
          <w:shd w:val="clear" w:color="auto" w:fill="auto"/>
          <w:tblCellMar>
            <w:top w:w="0" w:type="dxa"/>
            <w:left w:w="0" w:type="dxa"/>
            <w:bottom w:w="0" w:type="dxa"/>
            <w:right w:w="0" w:type="dxa"/>
          </w:tblCellMar>
        </w:tblPrEx>
        <w:trPr>
          <w:trHeight w:val="216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CF1D9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106</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07DEF5">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D8781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资源管理</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DBCD4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计算资源管理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198D8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GPU资源池管理：统一管理集群内GPU资源，展示GPU型号、显存、利用率等信息，支持资源池划分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资源配额管理：按项目、团队、用户设置GPU/CPU/内存资源使用配额，防止资源独占</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资源调度策略：支持优先级调度、抢占调度、亲和性调度等多种资源调度策略</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76FB27">
            <w:pPr>
              <w:jc w:val="center"/>
              <w:rPr>
                <w:rFonts w:hint="eastAsia" w:ascii="宋体" w:hAnsi="宋体" w:eastAsia="宋体" w:cs="宋体"/>
                <w:i w:val="0"/>
                <w:color w:val="auto"/>
                <w:sz w:val="21"/>
                <w:szCs w:val="21"/>
                <w:highlight w:val="none"/>
                <w:u w:val="none"/>
              </w:rPr>
            </w:pPr>
          </w:p>
        </w:tc>
      </w:tr>
      <w:tr w14:paraId="2B9E3952">
        <w:tblPrEx>
          <w:shd w:val="clear" w:color="auto" w:fill="auto"/>
          <w:tblCellMar>
            <w:top w:w="0" w:type="dxa"/>
            <w:left w:w="0" w:type="dxa"/>
            <w:bottom w:w="0" w:type="dxa"/>
            <w:right w:w="0" w:type="dxa"/>
          </w:tblCellMar>
        </w:tblPrEx>
        <w:trPr>
          <w:trHeight w:val="2405"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AA1A2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107</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D4A973">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C331FC">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FE6F8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并发与限流控制</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B6A56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并发请求控制：设置模型服务的最大并发请求数，超出时自动排队或返回限流响应</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QPS限流：按用户/应用/接口粒度配置每秒请求数（QPS）上限，防止服务过载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Token限流：按Token消耗速率进行限流，支持按天/月设置Token用量上限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流量峰值处理：支持请求队列缓冲、优雅降级、超时重试等机制，应对突发流量场景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C96D69">
            <w:pPr>
              <w:jc w:val="center"/>
              <w:rPr>
                <w:rFonts w:hint="eastAsia" w:ascii="宋体" w:hAnsi="宋体" w:eastAsia="宋体" w:cs="宋体"/>
                <w:i w:val="0"/>
                <w:color w:val="auto"/>
                <w:sz w:val="21"/>
                <w:szCs w:val="21"/>
                <w:highlight w:val="none"/>
                <w:u w:val="none"/>
              </w:rPr>
            </w:pPr>
          </w:p>
        </w:tc>
      </w:tr>
      <w:tr w14:paraId="23DBCCB1">
        <w:tblPrEx>
          <w:tblCellMar>
            <w:top w:w="0" w:type="dxa"/>
            <w:left w:w="0" w:type="dxa"/>
            <w:bottom w:w="0" w:type="dxa"/>
            <w:right w:w="0" w:type="dxa"/>
          </w:tblCellMar>
        </w:tblPrEx>
        <w:trPr>
          <w:trHeight w:val="135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27D63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108</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55D60F">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F5DC0D">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39343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成本管理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E89A0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资源用量统计：统计各项目、团队、用户的GPU/CPU/内存/Token消耗情况，支持导出报表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费用估算与计费：根据资源用量进行费用估算，支持内部成本分摊与对外计费</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BC0C9A">
            <w:pPr>
              <w:jc w:val="center"/>
              <w:rPr>
                <w:rFonts w:hint="eastAsia" w:ascii="宋体" w:hAnsi="宋体" w:eastAsia="宋体" w:cs="宋体"/>
                <w:i w:val="0"/>
                <w:color w:val="auto"/>
                <w:sz w:val="21"/>
                <w:szCs w:val="21"/>
                <w:highlight w:val="none"/>
                <w:u w:val="none"/>
              </w:rPr>
            </w:pPr>
          </w:p>
        </w:tc>
      </w:tr>
      <w:tr w14:paraId="5DCDA08D">
        <w:tblPrEx>
          <w:shd w:val="clear" w:color="auto" w:fill="auto"/>
          <w:tblCellMar>
            <w:top w:w="0" w:type="dxa"/>
            <w:left w:w="0" w:type="dxa"/>
            <w:bottom w:w="0" w:type="dxa"/>
            <w:right w:w="0" w:type="dxa"/>
          </w:tblCellMar>
        </w:tblPrEx>
        <w:trPr>
          <w:trHeight w:val="35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6094B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109</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6003BA">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ADB69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Prompt管理</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4B90C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Prompt模板</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21238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模板创建与编辑：提供可视化编辑器创建Prompt模板，支持变量占位符、条件分支、多轮对话等复杂结构</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模板分类管理：支持按业务场景、任务类型对Prompt模板进行分类、标签管理与检索</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模板版本控制：记录Prompt模板的修改历史，支持版本对比与一键回滚</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模板共享与权限：支持模板在团队/组织内共享，设置查看、编辑、使用权限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变量与参数化：支持在模板中定义变量（如{user_input}、{context}），运行时动态注入参数值</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CB0F71">
            <w:pPr>
              <w:jc w:val="center"/>
              <w:rPr>
                <w:rFonts w:hint="eastAsia" w:ascii="宋体" w:hAnsi="宋体" w:eastAsia="宋体" w:cs="宋体"/>
                <w:i w:val="0"/>
                <w:color w:val="auto"/>
                <w:sz w:val="21"/>
                <w:szCs w:val="21"/>
                <w:highlight w:val="none"/>
                <w:u w:val="none"/>
              </w:rPr>
            </w:pPr>
          </w:p>
        </w:tc>
      </w:tr>
      <w:tr w14:paraId="41C2C7BB">
        <w:tblPrEx>
          <w:tblCellMar>
            <w:top w:w="0" w:type="dxa"/>
            <w:left w:w="0" w:type="dxa"/>
            <w:bottom w:w="0" w:type="dxa"/>
            <w:right w:w="0" w:type="dxa"/>
          </w:tblCellMar>
        </w:tblPrEx>
        <w:trPr>
          <w:trHeight w:val="1998"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A8B88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110</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7BA31B">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26D27A">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2B788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Prompt调试</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54ADF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在线调试：提供Prompt在线调试界面，实时查看模型响应，支持调整参数反复测试</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参数可视化调节：图形化调节Temperature、Top-P、Max Tokens、Frequency Penalty等推理参数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对话上下文管理：支持多轮对话调试，可手动添加/删除/编辑历史消息，模拟不同对话状态</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9E9AB2">
            <w:pPr>
              <w:jc w:val="center"/>
              <w:rPr>
                <w:rFonts w:hint="eastAsia" w:ascii="宋体" w:hAnsi="宋体" w:eastAsia="宋体" w:cs="宋体"/>
                <w:i w:val="0"/>
                <w:color w:val="auto"/>
                <w:sz w:val="21"/>
                <w:szCs w:val="21"/>
                <w:highlight w:val="none"/>
                <w:u w:val="none"/>
              </w:rPr>
            </w:pPr>
          </w:p>
        </w:tc>
      </w:tr>
      <w:tr w14:paraId="4544654C">
        <w:tblPrEx>
          <w:tblCellMar>
            <w:top w:w="0" w:type="dxa"/>
            <w:left w:w="0" w:type="dxa"/>
            <w:bottom w:w="0" w:type="dxa"/>
            <w:right w:w="0" w:type="dxa"/>
          </w:tblCellMar>
        </w:tblPrEx>
        <w:trPr>
          <w:trHeight w:val="245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95343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111</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F62919">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786606">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D97AF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批量测试</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3412E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批量输入测试：上传批量测试数据（CSV/JSON），自动将数据填入Prompt模板并批量发起推理请求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测试结果管理：汇总批量测试的输出结果，支持在线查看、筛选、标注与导出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测试任务管理：支持批量测试任务的创建、暂停、取消与进度追踪，任务完成后推送通知</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评估指标计算：对批量测试结果自动计算准确率、BLEU、ROUGE、延迟等评估指标</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80A4D2">
            <w:pPr>
              <w:jc w:val="center"/>
              <w:rPr>
                <w:rFonts w:hint="eastAsia" w:ascii="宋体" w:hAnsi="宋体" w:eastAsia="宋体" w:cs="宋体"/>
                <w:i w:val="0"/>
                <w:color w:val="auto"/>
                <w:sz w:val="21"/>
                <w:szCs w:val="21"/>
                <w:highlight w:val="none"/>
                <w:u w:val="none"/>
              </w:rPr>
            </w:pPr>
          </w:p>
        </w:tc>
      </w:tr>
      <w:tr w14:paraId="13D372CB">
        <w:tblPrEx>
          <w:shd w:val="clear" w:color="auto" w:fill="auto"/>
          <w:tblCellMar>
            <w:top w:w="0" w:type="dxa"/>
            <w:left w:w="0" w:type="dxa"/>
            <w:bottom w:w="0" w:type="dxa"/>
            <w:right w:w="0" w:type="dxa"/>
          </w:tblCellMar>
        </w:tblPrEx>
        <w:trPr>
          <w:trHeight w:val="243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6323A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112</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EBBD96">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40CC5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模型测试与评估</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27F58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单模型测试</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EBEA6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在线推理测试：提供交互式测试界面，支持文本生成、对话、代码补全等多种任务类型的在线推理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响应质量评估：对模型输出进行人工或自动化评分，记录评估结果用于模型优化参考</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性能基准测试：测量模型的吞吐量（tokens/s）、首Token延迟（TTFT）、端到端延迟等关键性能指标</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31B2B1">
            <w:pPr>
              <w:jc w:val="center"/>
              <w:rPr>
                <w:rFonts w:hint="eastAsia" w:ascii="宋体" w:hAnsi="宋体" w:eastAsia="宋体" w:cs="宋体"/>
                <w:i w:val="0"/>
                <w:color w:val="auto"/>
                <w:sz w:val="21"/>
                <w:szCs w:val="21"/>
                <w:highlight w:val="none"/>
                <w:u w:val="none"/>
              </w:rPr>
            </w:pPr>
          </w:p>
        </w:tc>
      </w:tr>
      <w:tr w14:paraId="0BCBB946">
        <w:tblPrEx>
          <w:shd w:val="clear" w:color="auto" w:fill="auto"/>
          <w:tblCellMar>
            <w:top w:w="0" w:type="dxa"/>
            <w:left w:w="0" w:type="dxa"/>
            <w:bottom w:w="0" w:type="dxa"/>
            <w:right w:w="0" w:type="dxa"/>
          </w:tblCellMar>
        </w:tblPrEx>
        <w:trPr>
          <w:trHeight w:val="2195"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7CA9F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113</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B38CCE">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070DF0">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BD293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多模型对比测试</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4AD4D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A/B对比测试：在同一输入下同时调用多个模型，并排展示各模型输出，支持人工评选偏好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多维度对比分析：从响应质量、延迟、Token消耗、成本等多个维度对比不同模型的综合表现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盲测模式：隐藏模型身份进行盲测评估，消除评估人员的主观偏见，提升评估客观性</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批量对比测试：支持在大批量数据集上进行多模型对比，自动统计各模型的优劣分布</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3C8648">
            <w:pPr>
              <w:jc w:val="center"/>
              <w:rPr>
                <w:rFonts w:hint="eastAsia" w:ascii="宋体" w:hAnsi="宋体" w:eastAsia="宋体" w:cs="宋体"/>
                <w:i w:val="0"/>
                <w:color w:val="auto"/>
                <w:sz w:val="21"/>
                <w:szCs w:val="21"/>
                <w:highlight w:val="none"/>
                <w:u w:val="none"/>
              </w:rPr>
            </w:pPr>
          </w:p>
        </w:tc>
      </w:tr>
      <w:tr w14:paraId="36563E74">
        <w:tblPrEx>
          <w:tblCellMar>
            <w:top w:w="0" w:type="dxa"/>
            <w:left w:w="0" w:type="dxa"/>
            <w:bottom w:w="0" w:type="dxa"/>
            <w:right w:w="0" w:type="dxa"/>
          </w:tblCellMar>
        </w:tblPrEx>
        <w:trPr>
          <w:trHeight w:val="216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1CE96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114</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7A250F">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8EFFCF">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63CF1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评测基准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A952A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内置评测数据集：内置MMLU、C-Eval、HumanEval、GSM8K等主流评测基准数据集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自定义评测集：支持用户上传私有评测数据集，定义评测任务类型与评分规则</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评测报告生成：自动生成包含雷达图、折线图、表格的可视化评测报告，支持PDF/Excel导出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7B8A1D">
            <w:pPr>
              <w:jc w:val="center"/>
              <w:rPr>
                <w:rFonts w:hint="eastAsia" w:ascii="宋体" w:hAnsi="宋体" w:eastAsia="宋体" w:cs="宋体"/>
                <w:i w:val="0"/>
                <w:color w:val="auto"/>
                <w:sz w:val="21"/>
                <w:szCs w:val="21"/>
                <w:highlight w:val="none"/>
                <w:u w:val="none"/>
              </w:rPr>
            </w:pPr>
          </w:p>
        </w:tc>
      </w:tr>
      <w:tr w14:paraId="6BB69D62">
        <w:tblPrEx>
          <w:tblCellMar>
            <w:top w:w="0" w:type="dxa"/>
            <w:left w:w="0" w:type="dxa"/>
            <w:bottom w:w="0" w:type="dxa"/>
            <w:right w:w="0" w:type="dxa"/>
          </w:tblCellMar>
        </w:tblPrEx>
        <w:trPr>
          <w:trHeight w:val="2758"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12DE4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115</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D29DFB">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E8987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对外接口服务</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E09BE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API网关</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B291E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统一API入口：提供统一的REST/gRPC API接口，屏蔽底层模型差异，实现OpenAI兼容协议接口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路由与负载均衡：将API请求智能路由到对应模型实例，支持轮询、加权、最小连接等负载均衡策略</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协议适配：支持流式输出（SSE/WebSocket）与非流式输出，兼容不同客户端调用场景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请求日志记录：记录所有API请求与响应的详细日志（时间、用户、模型、Token、耗时等），用于审计与分析</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E622C3">
            <w:pPr>
              <w:jc w:val="center"/>
              <w:rPr>
                <w:rFonts w:hint="eastAsia" w:ascii="宋体" w:hAnsi="宋体" w:eastAsia="宋体" w:cs="宋体"/>
                <w:i w:val="0"/>
                <w:color w:val="auto"/>
                <w:sz w:val="21"/>
                <w:szCs w:val="21"/>
                <w:highlight w:val="none"/>
                <w:u w:val="none"/>
              </w:rPr>
            </w:pPr>
          </w:p>
        </w:tc>
      </w:tr>
      <w:tr w14:paraId="0B21DAE4">
        <w:tblPrEx>
          <w:shd w:val="clear" w:color="auto" w:fill="auto"/>
          <w:tblCellMar>
            <w:top w:w="0" w:type="dxa"/>
            <w:left w:w="0" w:type="dxa"/>
            <w:bottom w:w="0" w:type="dxa"/>
            <w:right w:w="0" w:type="dxa"/>
          </w:tblCellMar>
        </w:tblPrEx>
        <w:trPr>
          <w:trHeight w:val="216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17252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116</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3B1115">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301D59">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0E101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API密钥管理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9F876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API Key创建与管理：为不同应用/用户创建独立API Key，支持设置过期时间、权限范围与调用限制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Key权限控制：精细化控制API Key可调用的模型范围、功能权限（推理/微调/管理等）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Key使用统计：统计每个API Key的调用次数、Token消耗、费用等使用情况</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10343D">
            <w:pPr>
              <w:jc w:val="center"/>
              <w:rPr>
                <w:rFonts w:hint="eastAsia" w:ascii="宋体" w:hAnsi="宋体" w:eastAsia="宋体" w:cs="宋体"/>
                <w:i w:val="0"/>
                <w:color w:val="auto"/>
                <w:sz w:val="21"/>
                <w:szCs w:val="21"/>
                <w:highlight w:val="none"/>
                <w:u w:val="none"/>
              </w:rPr>
            </w:pPr>
          </w:p>
        </w:tc>
      </w:tr>
      <w:tr w14:paraId="54507345">
        <w:tblPrEx>
          <w:shd w:val="clear" w:color="auto" w:fill="auto"/>
          <w:tblCellMar>
            <w:top w:w="0" w:type="dxa"/>
            <w:left w:w="0" w:type="dxa"/>
            <w:bottom w:w="0" w:type="dxa"/>
            <w:right w:w="0" w:type="dxa"/>
          </w:tblCellMar>
        </w:tblPrEx>
        <w:trPr>
          <w:trHeight w:val="1075"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B7A6A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117</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069BD5">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23BAFF">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26DC0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SDK与文档</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64175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多语言SDK：提供Python、Java、Node.js、Go等主流语言的SDK，降低接入成本</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API文档：自动生成交互式API文档（Swagger/OpenAPI规范），支持在线调试</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B7A856">
            <w:pPr>
              <w:jc w:val="center"/>
              <w:rPr>
                <w:rFonts w:hint="eastAsia" w:ascii="宋体" w:hAnsi="宋体" w:eastAsia="宋体" w:cs="宋体"/>
                <w:i w:val="0"/>
                <w:color w:val="auto"/>
                <w:sz w:val="21"/>
                <w:szCs w:val="21"/>
                <w:highlight w:val="none"/>
                <w:u w:val="none"/>
              </w:rPr>
            </w:pPr>
          </w:p>
        </w:tc>
      </w:tr>
      <w:tr w14:paraId="12CB0B04">
        <w:tblPrEx>
          <w:shd w:val="clear" w:color="auto" w:fill="auto"/>
          <w:tblCellMar>
            <w:top w:w="0" w:type="dxa"/>
            <w:left w:w="0" w:type="dxa"/>
            <w:bottom w:w="0" w:type="dxa"/>
            <w:right w:w="0" w:type="dxa"/>
          </w:tblCellMar>
        </w:tblPrEx>
        <w:trPr>
          <w:trHeight w:val="243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D1FBB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118</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9647C1">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73027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监控与运维</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5CAA5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服务监控</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B03C5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实时指标监控：实时监控模型服务的QPS、延迟、成功率、错误率、Token吞吐量等核心指标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GPU资源监控：监控GPU利用率、显存占用、温度、功耗等硬件指标，防止资源瓶颈</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可视化监控大盘：提供可定制化的监控仪表盘（基于Grafana或自研），支持多维度数据可视化</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5282A9">
            <w:pPr>
              <w:jc w:val="center"/>
              <w:rPr>
                <w:rFonts w:hint="eastAsia" w:ascii="宋体" w:hAnsi="宋体" w:eastAsia="宋体" w:cs="宋体"/>
                <w:i w:val="0"/>
                <w:color w:val="auto"/>
                <w:sz w:val="21"/>
                <w:szCs w:val="21"/>
                <w:highlight w:val="none"/>
                <w:u w:val="none"/>
              </w:rPr>
            </w:pPr>
          </w:p>
        </w:tc>
      </w:tr>
      <w:tr w14:paraId="6DD78F5A">
        <w:tblPrEx>
          <w:shd w:val="clear" w:color="auto" w:fill="auto"/>
          <w:tblCellMar>
            <w:top w:w="0" w:type="dxa"/>
            <w:left w:w="0" w:type="dxa"/>
            <w:bottom w:w="0" w:type="dxa"/>
            <w:right w:w="0" w:type="dxa"/>
          </w:tblCellMar>
        </w:tblPrEx>
        <w:trPr>
          <w:trHeight w:val="1025"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961F2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119</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2DDE62">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C271A3">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AE313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日志管理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8C57F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请求日志查询：提供日志检索界面，支持按时间、用户、模型、请求ID等条件查询请求日志</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日志分析与导出：支持日志聚合分析、异常模式识别，支持导出日志用于离线分析</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9F60CB">
            <w:pPr>
              <w:jc w:val="center"/>
              <w:rPr>
                <w:rFonts w:hint="eastAsia" w:ascii="宋体" w:hAnsi="宋体" w:eastAsia="宋体" w:cs="宋体"/>
                <w:i w:val="0"/>
                <w:color w:val="auto"/>
                <w:sz w:val="21"/>
                <w:szCs w:val="21"/>
                <w:highlight w:val="none"/>
                <w:u w:val="none"/>
              </w:rPr>
            </w:pPr>
          </w:p>
        </w:tc>
      </w:tr>
      <w:tr w14:paraId="27EA00CE">
        <w:tblPrEx>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3B471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120</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768BBE">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5E2484">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45A74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运维操作</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E26CD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服务启停管理：支持对模型服务实例进行启动、停止、重启操作，支持批量管理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AA9A60">
            <w:pPr>
              <w:jc w:val="center"/>
              <w:rPr>
                <w:rFonts w:hint="eastAsia" w:ascii="宋体" w:hAnsi="宋体" w:eastAsia="宋体" w:cs="宋体"/>
                <w:i w:val="0"/>
                <w:color w:val="auto"/>
                <w:sz w:val="21"/>
                <w:szCs w:val="21"/>
                <w:highlight w:val="none"/>
                <w:u w:val="none"/>
              </w:rPr>
            </w:pPr>
          </w:p>
        </w:tc>
      </w:tr>
      <w:tr w14:paraId="76F04329">
        <w:tblPrEx>
          <w:tblCellMar>
            <w:top w:w="0" w:type="dxa"/>
            <w:left w:w="0" w:type="dxa"/>
            <w:bottom w:w="0" w:type="dxa"/>
            <w:right w:w="0" w:type="dxa"/>
          </w:tblCellMar>
        </w:tblPrEx>
        <w:trPr>
          <w:trHeight w:val="189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8F392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121</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75C8CC">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A847F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权限与安全</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9AEAB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用户与权限管理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3B9E5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用户管理：管理平台用户账号，支持本地账号与LDAP/SSO单点登录集成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角色与权限控制：定义平台角色（超级管理员、模型管理员、开发者、只读用户等），按角色分配功能权限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多租户隔离：支持多租户架构，租户间数据、模型、资源相互隔离，互不干扰</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28D73E">
            <w:pPr>
              <w:jc w:val="center"/>
              <w:rPr>
                <w:rFonts w:hint="eastAsia" w:ascii="宋体" w:hAnsi="宋体" w:eastAsia="宋体" w:cs="宋体"/>
                <w:i w:val="0"/>
                <w:color w:val="auto"/>
                <w:sz w:val="21"/>
                <w:szCs w:val="21"/>
                <w:highlight w:val="none"/>
                <w:u w:val="none"/>
              </w:rPr>
            </w:pPr>
          </w:p>
        </w:tc>
      </w:tr>
      <w:tr w14:paraId="0BA3EF18">
        <w:tblPrEx>
          <w:shd w:val="clear" w:color="auto" w:fill="auto"/>
          <w:tblCellMar>
            <w:top w:w="0" w:type="dxa"/>
            <w:left w:w="0" w:type="dxa"/>
            <w:bottom w:w="0" w:type="dxa"/>
            <w:right w:w="0" w:type="dxa"/>
          </w:tblCellMar>
        </w:tblPrEx>
        <w:trPr>
          <w:trHeight w:val="135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AC9EE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122</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34AA58">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54ABA5">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EE0C1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内容安全</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25C5C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输入内容过滤：对用户输入进行违禁词、有害内容检测，拦截不安全请求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输出内容审核：对模型输出进行合规审查，自动过滤或标记违规内容，支持人工复核</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C9DE7A">
            <w:pPr>
              <w:jc w:val="center"/>
              <w:rPr>
                <w:rFonts w:hint="eastAsia" w:ascii="宋体" w:hAnsi="宋体" w:eastAsia="宋体" w:cs="宋体"/>
                <w:i w:val="0"/>
                <w:color w:val="auto"/>
                <w:sz w:val="21"/>
                <w:szCs w:val="21"/>
                <w:highlight w:val="none"/>
                <w:u w:val="none"/>
              </w:rPr>
            </w:pPr>
          </w:p>
        </w:tc>
      </w:tr>
      <w:tr w14:paraId="6F876970">
        <w:tblPrEx>
          <w:tblCellMar>
            <w:top w:w="0" w:type="dxa"/>
            <w:left w:w="0" w:type="dxa"/>
            <w:bottom w:w="0" w:type="dxa"/>
            <w:right w:w="0" w:type="dxa"/>
          </w:tblCellMar>
        </w:tblPrEx>
        <w:trPr>
          <w:trHeight w:val="105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AFC74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123</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942034">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B471F7">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59290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数据安全</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BD74D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数据脱敏：对请求日志中的敏感信息（手机号、身份证、API Key等）自动脱敏处理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审计日志：记录所有管理操作日志（登录、配置变更、模型部署等），满足合规审计要求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B4F082">
            <w:pPr>
              <w:jc w:val="center"/>
              <w:rPr>
                <w:rFonts w:hint="eastAsia" w:ascii="宋体" w:hAnsi="宋体" w:eastAsia="宋体" w:cs="宋体"/>
                <w:i w:val="0"/>
                <w:color w:val="auto"/>
                <w:sz w:val="21"/>
                <w:szCs w:val="21"/>
                <w:highlight w:val="none"/>
                <w:u w:val="none"/>
              </w:rPr>
            </w:pPr>
          </w:p>
        </w:tc>
      </w:tr>
      <w:tr w14:paraId="2CF8C506">
        <w:tblPrEx>
          <w:shd w:val="clear" w:color="auto" w:fill="auto"/>
          <w:tblCellMar>
            <w:top w:w="0" w:type="dxa"/>
            <w:left w:w="0" w:type="dxa"/>
            <w:bottom w:w="0" w:type="dxa"/>
            <w:right w:w="0" w:type="dxa"/>
          </w:tblCellMar>
        </w:tblPrEx>
        <w:trPr>
          <w:trHeight w:val="216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2ACAC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124</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AFDAE9">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B54C3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系统配置</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C0D34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平台配置</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64086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系统参数配置：配置平台全局参数（默认超时、最大上下文、缓存策略等）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模型路由策略：配置智能路由规则，根据请求类型、用户等级、负载情况自动选择最优模型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缓存管理：配置语义缓存策略，对高频相似请求命中缓存直接返回，降低推理成本</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395FE3">
            <w:pPr>
              <w:jc w:val="center"/>
              <w:rPr>
                <w:rFonts w:hint="eastAsia" w:ascii="宋体" w:hAnsi="宋体" w:eastAsia="宋体" w:cs="宋体"/>
                <w:i w:val="0"/>
                <w:color w:val="auto"/>
                <w:sz w:val="21"/>
                <w:szCs w:val="21"/>
                <w:highlight w:val="none"/>
                <w:u w:val="none"/>
              </w:rPr>
            </w:pPr>
          </w:p>
        </w:tc>
      </w:tr>
      <w:tr w14:paraId="77C4C99C">
        <w:tblPrEx>
          <w:shd w:val="clear" w:color="auto" w:fill="auto"/>
          <w:tblCellMar>
            <w:top w:w="0" w:type="dxa"/>
            <w:left w:w="0" w:type="dxa"/>
            <w:bottom w:w="0" w:type="dxa"/>
            <w:right w:w="0" w:type="dxa"/>
          </w:tblCellMar>
        </w:tblPrEx>
        <w:trPr>
          <w:trHeight w:val="2008"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BE4CE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125</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E851A0">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D29DCF">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E7A6B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集成与扩展</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F54A1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外部存储集成：支持对接S3、MinIO、OSS等对象存储，用于模型文件与日志数据存储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知识库集成：集成向量数据库（Milvus、Weaviate等），支持RAG（检索增强生成）场景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插件与工具集成：支持接入外部工具（函数调用/Tool Use），扩展模型的行动能力</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1C1A6C">
            <w:pPr>
              <w:jc w:val="center"/>
              <w:rPr>
                <w:rFonts w:hint="eastAsia" w:ascii="宋体" w:hAnsi="宋体" w:eastAsia="宋体" w:cs="宋体"/>
                <w:i w:val="0"/>
                <w:color w:val="auto"/>
                <w:sz w:val="21"/>
                <w:szCs w:val="21"/>
                <w:highlight w:val="none"/>
                <w:u w:val="none"/>
              </w:rPr>
            </w:pPr>
          </w:p>
        </w:tc>
      </w:tr>
    </w:tbl>
    <w:p w14:paraId="0788AEDF">
      <w:pPr>
        <w:numPr>
          <w:ilvl w:val="0"/>
          <w:numId w:val="0"/>
        </w:numPr>
        <w:spacing w:line="480" w:lineRule="exact"/>
        <w:rPr>
          <w:rFonts w:hint="eastAsia" w:ascii="宋体" w:hAnsi="宋体" w:eastAsia="宋体" w:cs="宋体"/>
          <w:b/>
          <w:bCs w:val="0"/>
          <w:color w:val="auto"/>
          <w:sz w:val="21"/>
          <w:szCs w:val="21"/>
          <w:highlight w:val="none"/>
          <w:lang w:val="zh-CN" w:eastAsia="zh-CN" w:bidi="ar-SA"/>
        </w:rPr>
      </w:pPr>
      <w:r>
        <w:rPr>
          <w:rFonts w:hint="eastAsia" w:ascii="宋体" w:hAnsi="宋体" w:eastAsia="宋体" w:cs="宋体"/>
          <w:b/>
          <w:bCs w:val="0"/>
          <w:color w:val="auto"/>
          <w:sz w:val="21"/>
          <w:szCs w:val="21"/>
          <w:highlight w:val="none"/>
          <w:lang w:val="zh-CN" w:eastAsia="zh-CN" w:bidi="ar-SA"/>
        </w:rPr>
        <w:t>视觉多模态大模型功能点清单业务清单</w:t>
      </w:r>
      <w:r>
        <w:rPr>
          <w:rFonts w:hint="eastAsia" w:ascii="宋体" w:hAnsi="宋体" w:cs="宋体"/>
          <w:b/>
          <w:bCs w:val="0"/>
          <w:color w:val="auto"/>
          <w:sz w:val="21"/>
          <w:szCs w:val="21"/>
          <w:highlight w:val="none"/>
          <w:lang w:val="zh-CN" w:eastAsia="zh-CN" w:bidi="ar-SA"/>
        </w:rPr>
        <w:t>：</w:t>
      </w:r>
    </w:p>
    <w:tbl>
      <w:tblPr>
        <w:tblStyle w:val="31"/>
        <w:tblW w:w="8665" w:type="dxa"/>
        <w:tblInd w:w="0" w:type="dxa"/>
        <w:shd w:val="clear" w:color="auto" w:fill="auto"/>
        <w:tblLayout w:type="fixed"/>
        <w:tblCellMar>
          <w:top w:w="0" w:type="dxa"/>
          <w:left w:w="0" w:type="dxa"/>
          <w:bottom w:w="0" w:type="dxa"/>
          <w:right w:w="0" w:type="dxa"/>
        </w:tblCellMar>
      </w:tblPr>
      <w:tblGrid>
        <w:gridCol w:w="599"/>
        <w:gridCol w:w="1016"/>
        <w:gridCol w:w="1177"/>
        <w:gridCol w:w="1073"/>
        <w:gridCol w:w="4107"/>
        <w:gridCol w:w="693"/>
      </w:tblGrid>
      <w:tr w14:paraId="169DC600">
        <w:tblPrEx>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6A6A6"/>
            <w:tcMar>
              <w:top w:w="15" w:type="dxa"/>
              <w:left w:w="15" w:type="dxa"/>
              <w:right w:w="15" w:type="dxa"/>
            </w:tcMar>
            <w:vAlign w:val="center"/>
          </w:tcPr>
          <w:p w14:paraId="1ADA8929">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编号</w:t>
            </w:r>
          </w:p>
        </w:tc>
        <w:tc>
          <w:tcPr>
            <w:tcW w:w="1016" w:type="dxa"/>
            <w:tcBorders>
              <w:top w:val="single" w:color="000000" w:sz="4" w:space="0"/>
              <w:left w:val="single" w:color="000000" w:sz="4" w:space="0"/>
              <w:bottom w:val="single" w:color="000000" w:sz="4" w:space="0"/>
              <w:right w:val="single" w:color="000000" w:sz="4" w:space="0"/>
            </w:tcBorders>
            <w:shd w:val="clear" w:color="auto" w:fill="A6A6A6"/>
            <w:tcMar>
              <w:top w:w="15" w:type="dxa"/>
              <w:left w:w="15" w:type="dxa"/>
              <w:right w:w="15" w:type="dxa"/>
            </w:tcMar>
            <w:vAlign w:val="center"/>
          </w:tcPr>
          <w:p w14:paraId="2DEDF774">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一级模块</w:t>
            </w:r>
          </w:p>
        </w:tc>
        <w:tc>
          <w:tcPr>
            <w:tcW w:w="1177" w:type="dxa"/>
            <w:tcBorders>
              <w:top w:val="single" w:color="000000" w:sz="4" w:space="0"/>
              <w:left w:val="single" w:color="000000" w:sz="4" w:space="0"/>
              <w:bottom w:val="single" w:color="000000" w:sz="4" w:space="0"/>
              <w:right w:val="single" w:color="000000" w:sz="4" w:space="0"/>
            </w:tcBorders>
            <w:shd w:val="clear" w:color="auto" w:fill="A6A6A6"/>
            <w:tcMar>
              <w:top w:w="15" w:type="dxa"/>
              <w:left w:w="15" w:type="dxa"/>
              <w:right w:w="15" w:type="dxa"/>
            </w:tcMar>
            <w:vAlign w:val="center"/>
          </w:tcPr>
          <w:p w14:paraId="69C4A540">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二级模块</w:t>
            </w:r>
          </w:p>
        </w:tc>
        <w:tc>
          <w:tcPr>
            <w:tcW w:w="1073" w:type="dxa"/>
            <w:tcBorders>
              <w:top w:val="single" w:color="000000" w:sz="4" w:space="0"/>
              <w:left w:val="single" w:color="000000" w:sz="4" w:space="0"/>
              <w:bottom w:val="single" w:color="000000" w:sz="4" w:space="0"/>
              <w:right w:val="nil"/>
            </w:tcBorders>
            <w:shd w:val="clear" w:color="auto" w:fill="A6A6A6"/>
            <w:tcMar>
              <w:top w:w="15" w:type="dxa"/>
              <w:left w:w="15" w:type="dxa"/>
              <w:right w:w="15" w:type="dxa"/>
            </w:tcMar>
            <w:vAlign w:val="center"/>
          </w:tcPr>
          <w:p w14:paraId="4CE39318">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三级模块</w:t>
            </w:r>
          </w:p>
        </w:tc>
        <w:tc>
          <w:tcPr>
            <w:tcW w:w="4107" w:type="dxa"/>
            <w:tcBorders>
              <w:top w:val="single" w:color="000000" w:sz="4" w:space="0"/>
              <w:left w:val="nil"/>
              <w:bottom w:val="single" w:color="000000" w:sz="4" w:space="0"/>
              <w:right w:val="single" w:color="000000" w:sz="4" w:space="0"/>
            </w:tcBorders>
            <w:shd w:val="clear" w:color="auto" w:fill="A6A6A6"/>
            <w:tcMar>
              <w:top w:w="15" w:type="dxa"/>
              <w:left w:w="15" w:type="dxa"/>
              <w:right w:w="15" w:type="dxa"/>
            </w:tcMar>
            <w:vAlign w:val="center"/>
          </w:tcPr>
          <w:p w14:paraId="0C70805A">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功能项描述</w:t>
            </w:r>
          </w:p>
        </w:tc>
        <w:tc>
          <w:tcPr>
            <w:tcW w:w="693" w:type="dxa"/>
            <w:tcBorders>
              <w:top w:val="single" w:color="000000" w:sz="4" w:space="0"/>
              <w:left w:val="single" w:color="000000" w:sz="4" w:space="0"/>
              <w:bottom w:val="single" w:color="000000" w:sz="4" w:space="0"/>
              <w:right w:val="single" w:color="000000" w:sz="4" w:space="0"/>
            </w:tcBorders>
            <w:shd w:val="clear" w:color="auto" w:fill="A6A6A6"/>
            <w:tcMar>
              <w:top w:w="15" w:type="dxa"/>
              <w:left w:w="15" w:type="dxa"/>
              <w:right w:w="15" w:type="dxa"/>
            </w:tcMar>
            <w:vAlign w:val="center"/>
          </w:tcPr>
          <w:p w14:paraId="0F77778B">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备注</w:t>
            </w:r>
          </w:p>
        </w:tc>
      </w:tr>
      <w:tr w14:paraId="524169BF">
        <w:tblPrEx>
          <w:shd w:val="clear" w:color="auto" w:fill="auto"/>
          <w:tblCellMar>
            <w:top w:w="0" w:type="dxa"/>
            <w:left w:w="0" w:type="dxa"/>
            <w:bottom w:w="0" w:type="dxa"/>
            <w:right w:w="0" w:type="dxa"/>
          </w:tblCellMar>
        </w:tblPrEx>
        <w:trPr>
          <w:trHeight w:val="13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29E1D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610CD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村居质态首页大屏模块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43325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多维度数据集成展示</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620E4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8BE21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集成人员管理、场所行业、通知通报、数据汇聚、安全监管、社区防范、工作考核、地图展示等多个业务模块。通过“小窗口”形式展示不同维度的统计数据，形成综合态势视图。</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EB1C17">
            <w:pPr>
              <w:jc w:val="center"/>
              <w:rPr>
                <w:rFonts w:hint="eastAsia" w:ascii="宋体" w:hAnsi="宋体" w:eastAsia="宋体" w:cs="宋体"/>
                <w:i w:val="0"/>
                <w:color w:val="auto"/>
                <w:sz w:val="21"/>
                <w:szCs w:val="21"/>
                <w:highlight w:val="none"/>
                <w:u w:val="none"/>
              </w:rPr>
            </w:pPr>
          </w:p>
        </w:tc>
      </w:tr>
      <w:tr w14:paraId="2CAB33BA">
        <w:tblPrEx>
          <w:shd w:val="clear" w:color="auto" w:fill="auto"/>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6C9DE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A5A1E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村居质态首页大屏模块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03BC0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人员与房屋概况</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73856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390DB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展示户籍人口、实有人口、流动人口、重点人口等标签的人口数量。展示标准地址数、实有房屋数等房屋相关数据。支持点击标签打开详细数据表格。</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40A3F7">
            <w:pPr>
              <w:jc w:val="center"/>
              <w:rPr>
                <w:rFonts w:hint="eastAsia" w:ascii="宋体" w:hAnsi="宋体" w:eastAsia="宋体" w:cs="宋体"/>
                <w:i w:val="0"/>
                <w:color w:val="auto"/>
                <w:sz w:val="21"/>
                <w:szCs w:val="21"/>
                <w:highlight w:val="none"/>
                <w:u w:val="none"/>
              </w:rPr>
            </w:pPr>
          </w:p>
        </w:tc>
      </w:tr>
      <w:tr w14:paraId="2EBE46A8">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E6A6F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A7B7B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村居质态首页大屏模块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DE527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场所行业统计</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915EB7">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B7D9B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轮播展示各行业单位数量及从业人数。支持点击“单位数”查看该行业单位分页列表。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3377EF">
            <w:pPr>
              <w:jc w:val="center"/>
              <w:rPr>
                <w:rFonts w:hint="eastAsia" w:ascii="宋体" w:hAnsi="宋体" w:eastAsia="宋体" w:cs="宋体"/>
                <w:i w:val="0"/>
                <w:color w:val="auto"/>
                <w:sz w:val="21"/>
                <w:szCs w:val="21"/>
                <w:highlight w:val="none"/>
                <w:u w:val="none"/>
              </w:rPr>
            </w:pPr>
          </w:p>
        </w:tc>
      </w:tr>
      <w:tr w14:paraId="21397D5C">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0DD09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7F5C5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村居质态首页大屏模块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4E238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通知通报动态</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16B5DB">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DF152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统计通知、通报数量，轮播展示最新内容。支持点击跳转后台管理，进行签收、反馈、驳回、下载等操作。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E4D5E0">
            <w:pPr>
              <w:jc w:val="center"/>
              <w:rPr>
                <w:rFonts w:hint="eastAsia" w:ascii="宋体" w:hAnsi="宋体" w:eastAsia="宋体" w:cs="宋体"/>
                <w:i w:val="0"/>
                <w:color w:val="auto"/>
                <w:sz w:val="21"/>
                <w:szCs w:val="21"/>
                <w:highlight w:val="none"/>
                <w:u w:val="none"/>
              </w:rPr>
            </w:pPr>
          </w:p>
        </w:tc>
      </w:tr>
      <w:tr w14:paraId="5436F9B7">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9538A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F4DF1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村居质态首页大屏模块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4C3A8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数据汇聚与智能前端</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B186A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A933F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展示人像点位、视频监控等智能前端数量。支持切换查看“智能前端”和“数据接入”两类数据。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0BEA78">
            <w:pPr>
              <w:jc w:val="center"/>
              <w:rPr>
                <w:rFonts w:hint="eastAsia" w:ascii="宋体" w:hAnsi="宋体" w:eastAsia="宋体" w:cs="宋体"/>
                <w:i w:val="0"/>
                <w:color w:val="auto"/>
                <w:sz w:val="21"/>
                <w:szCs w:val="21"/>
                <w:highlight w:val="none"/>
                <w:u w:val="none"/>
              </w:rPr>
            </w:pPr>
          </w:p>
        </w:tc>
      </w:tr>
      <w:tr w14:paraId="3A6A5EAC">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EE82E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BFD46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村居质态首页大屏模块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34718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安全监管与社区防范</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76371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79BDE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统计学校、加油站、医院、危化品等在各个派出所的数量，饼状图展示。展示警情、纠纷数量，支持点击查看详情。</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DA1824">
            <w:pPr>
              <w:jc w:val="center"/>
              <w:rPr>
                <w:rFonts w:hint="eastAsia" w:ascii="宋体" w:hAnsi="宋体" w:eastAsia="宋体" w:cs="宋体"/>
                <w:i w:val="0"/>
                <w:color w:val="auto"/>
                <w:sz w:val="21"/>
                <w:szCs w:val="21"/>
                <w:highlight w:val="none"/>
                <w:u w:val="none"/>
              </w:rPr>
            </w:pPr>
          </w:p>
        </w:tc>
      </w:tr>
      <w:tr w14:paraId="526B066F">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F6306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87167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村居质态首页大屏模块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752D5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地图标记与空间展示</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32CECA">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EA075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标注重点人口、群租房、重点单位的位置。支持按类型筛选显示，点击地区个数后展示具体标记。</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891CD2">
            <w:pPr>
              <w:jc w:val="center"/>
              <w:rPr>
                <w:rFonts w:hint="eastAsia" w:ascii="宋体" w:hAnsi="宋体" w:eastAsia="宋体" w:cs="宋体"/>
                <w:i w:val="0"/>
                <w:color w:val="auto"/>
                <w:sz w:val="21"/>
                <w:szCs w:val="21"/>
                <w:highlight w:val="none"/>
                <w:u w:val="none"/>
              </w:rPr>
            </w:pPr>
          </w:p>
        </w:tc>
      </w:tr>
      <w:tr w14:paraId="5930A763">
        <w:tblPrEx>
          <w:shd w:val="clear" w:color="auto" w:fill="auto"/>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7BCED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BC379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村居质态首页大屏模块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61FF8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后台联动与管理能力</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A019D4">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8F689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大屏与后台管理联动，支持数据编辑、导入导出、权限控制等。支持从大屏直接跳转后台进行签收、反馈、编辑等操作。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36FEFB">
            <w:pPr>
              <w:jc w:val="center"/>
              <w:rPr>
                <w:rFonts w:hint="eastAsia" w:ascii="宋体" w:hAnsi="宋体" w:eastAsia="宋体" w:cs="宋体"/>
                <w:i w:val="0"/>
                <w:color w:val="auto"/>
                <w:sz w:val="21"/>
                <w:szCs w:val="21"/>
                <w:highlight w:val="none"/>
                <w:u w:val="none"/>
              </w:rPr>
            </w:pPr>
          </w:p>
        </w:tc>
      </w:tr>
      <w:tr w14:paraId="2DF2B055">
        <w:tblPrEx>
          <w:shd w:val="clear" w:color="auto" w:fill="auto"/>
          <w:tblCellMar>
            <w:top w:w="0" w:type="dxa"/>
            <w:left w:w="0" w:type="dxa"/>
            <w:bottom w:w="0" w:type="dxa"/>
            <w:right w:w="0" w:type="dxa"/>
          </w:tblCellMar>
        </w:tblPrEx>
        <w:trPr>
          <w:trHeight w:val="9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27677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7F6A7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村居住基础管控中心全域感知模块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C7676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全域地图可视化</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23BA7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D3EC8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以地图为核心载体，直观展示亭湖区全域范围。地图可缩放、拖拽，支持区域级浏览。</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70D3CC">
            <w:pPr>
              <w:jc w:val="center"/>
              <w:rPr>
                <w:rFonts w:hint="eastAsia" w:ascii="宋体" w:hAnsi="宋体" w:eastAsia="宋体" w:cs="宋体"/>
                <w:i w:val="0"/>
                <w:color w:val="auto"/>
                <w:sz w:val="21"/>
                <w:szCs w:val="21"/>
                <w:highlight w:val="none"/>
                <w:u w:val="none"/>
              </w:rPr>
            </w:pPr>
          </w:p>
        </w:tc>
      </w:tr>
      <w:tr w14:paraId="280B2DD1">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20B27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DA01A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村居住基础管控中心全域感知模块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9717D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侧边栏信息导航</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A9435C">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A49D8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左侧侧边栏提供功能入口和筛选条件。可切换不同数据图层或感知维度。</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234148">
            <w:pPr>
              <w:jc w:val="center"/>
              <w:rPr>
                <w:rFonts w:hint="eastAsia" w:ascii="宋体" w:hAnsi="宋体" w:eastAsia="宋体" w:cs="宋体"/>
                <w:i w:val="0"/>
                <w:color w:val="auto"/>
                <w:sz w:val="21"/>
                <w:szCs w:val="21"/>
                <w:highlight w:val="none"/>
                <w:u w:val="none"/>
              </w:rPr>
            </w:pPr>
          </w:p>
        </w:tc>
      </w:tr>
      <w:tr w14:paraId="701AECE2">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A83FA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95FB7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村居住基础管控中心全域感知模块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A6FE4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轻量化展示</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48D24B">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6A777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相比基础质态大屏，更聚焦于空间分布和位置感知。界面简洁：地图 + 侧边栏 + 搜索框。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CC6CA9">
            <w:pPr>
              <w:jc w:val="center"/>
              <w:rPr>
                <w:rFonts w:hint="eastAsia" w:ascii="宋体" w:hAnsi="宋体" w:eastAsia="宋体" w:cs="宋体"/>
                <w:i w:val="0"/>
                <w:color w:val="auto"/>
                <w:sz w:val="21"/>
                <w:szCs w:val="21"/>
                <w:highlight w:val="none"/>
                <w:u w:val="none"/>
              </w:rPr>
            </w:pPr>
          </w:p>
        </w:tc>
      </w:tr>
      <w:tr w14:paraId="1653E4B8">
        <w:tblPrEx>
          <w:shd w:val="clear" w:color="auto" w:fill="auto"/>
          <w:tblCellMar>
            <w:top w:w="0" w:type="dxa"/>
            <w:left w:w="0" w:type="dxa"/>
            <w:bottom w:w="0" w:type="dxa"/>
            <w:right w:w="0" w:type="dxa"/>
          </w:tblCellMar>
        </w:tblPrEx>
        <w:trPr>
          <w:trHeight w:val="189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8E3E1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6E0CB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0ABFE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人员管理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01778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1DFE8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分为“人口信息”和“房屋情况”两部分。人口信息用于统计展示各类标签的人口数量，包括户籍人口、实有人口等。房屋情况用于统计各类标签下的房屋数量，包括标准地址数、实有房屋数等。点击各个标签数字可以打开对应的分页表格数据，查看详细名单。</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5D6504">
            <w:pPr>
              <w:jc w:val="center"/>
              <w:rPr>
                <w:rFonts w:hint="eastAsia" w:ascii="宋体" w:hAnsi="宋体" w:eastAsia="宋体" w:cs="宋体"/>
                <w:i w:val="0"/>
                <w:color w:val="auto"/>
                <w:sz w:val="21"/>
                <w:szCs w:val="21"/>
                <w:highlight w:val="none"/>
                <w:u w:val="none"/>
              </w:rPr>
            </w:pPr>
          </w:p>
        </w:tc>
      </w:tr>
      <w:tr w14:paraId="4AA27FC3">
        <w:tblPrEx>
          <w:shd w:val="clear" w:color="auto" w:fill="auto"/>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B1FD3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3CB4D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CD880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场所行业</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95F1B3">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3C067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该模块通过轮播列表的方式展示各种行业的单位数量和从业人数。点击“单位数”可打开该类型单位的详细分页列表，查看具体单位信息。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E93316">
            <w:pPr>
              <w:jc w:val="center"/>
              <w:rPr>
                <w:rFonts w:hint="eastAsia" w:ascii="宋体" w:hAnsi="宋体" w:eastAsia="宋体" w:cs="宋体"/>
                <w:i w:val="0"/>
                <w:color w:val="auto"/>
                <w:sz w:val="21"/>
                <w:szCs w:val="21"/>
                <w:highlight w:val="none"/>
                <w:u w:val="none"/>
              </w:rPr>
            </w:pPr>
          </w:p>
        </w:tc>
      </w:tr>
      <w:tr w14:paraId="4B9AED5A">
        <w:tblPrEx>
          <w:shd w:val="clear" w:color="auto" w:fill="auto"/>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7AE9D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E5065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8E171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通知通报</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8267F6">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BC944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该模块统计通知和通报的数量，并用轮播列表展示最新内容。点击轮播列表中的图标或内容，可跳转至后台管理进行签收、反馈等操作。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63D381">
            <w:pPr>
              <w:jc w:val="center"/>
              <w:rPr>
                <w:rFonts w:hint="eastAsia" w:ascii="宋体" w:hAnsi="宋体" w:eastAsia="宋体" w:cs="宋体"/>
                <w:i w:val="0"/>
                <w:color w:val="auto"/>
                <w:sz w:val="21"/>
                <w:szCs w:val="21"/>
                <w:highlight w:val="none"/>
                <w:u w:val="none"/>
              </w:rPr>
            </w:pPr>
          </w:p>
        </w:tc>
      </w:tr>
      <w:tr w14:paraId="354C00D7">
        <w:tblPrEx>
          <w:tblCellMar>
            <w:top w:w="0" w:type="dxa"/>
            <w:left w:w="0" w:type="dxa"/>
            <w:bottom w:w="0" w:type="dxa"/>
            <w:right w:w="0" w:type="dxa"/>
          </w:tblCellMar>
        </w:tblPrEx>
        <w:trPr>
          <w:trHeight w:val="13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011A1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80CD8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FB6A4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数据汇聚</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67B0B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30A26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该模块展示人像点位、视频监控等智能前端的数量和对应数据。用户可点击“智能前端”切换查看各个前端设备的数量，点击“数据接入”切换查看各个前端设备的对应接入数据。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E7E9CE">
            <w:pPr>
              <w:jc w:val="center"/>
              <w:rPr>
                <w:rFonts w:hint="eastAsia" w:ascii="宋体" w:hAnsi="宋体" w:eastAsia="宋体" w:cs="宋体"/>
                <w:i w:val="0"/>
                <w:color w:val="auto"/>
                <w:sz w:val="21"/>
                <w:szCs w:val="21"/>
                <w:highlight w:val="none"/>
                <w:u w:val="none"/>
              </w:rPr>
            </w:pPr>
          </w:p>
        </w:tc>
      </w:tr>
      <w:tr w14:paraId="6A99DB7D">
        <w:tblPrEx>
          <w:shd w:val="clear" w:color="auto" w:fill="auto"/>
          <w:tblCellMar>
            <w:top w:w="0" w:type="dxa"/>
            <w:left w:w="0" w:type="dxa"/>
            <w:bottom w:w="0" w:type="dxa"/>
            <w:right w:w="0" w:type="dxa"/>
          </w:tblCellMar>
        </w:tblPrEx>
        <w:trPr>
          <w:trHeight w:val="162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60E3E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05651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FE594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安全监管</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2B2C32">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4FE38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该模块分别统计学校、加油站、医院、危化品等场所分布在各个派出所的数量，并使用饼状图直观展示。点击饼状图的某个区域（如某个派出所），可打开对应的表格弹窗，查看该派出所的具体场所名单。</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98B5A9">
            <w:pPr>
              <w:jc w:val="center"/>
              <w:rPr>
                <w:rFonts w:hint="eastAsia" w:ascii="宋体" w:hAnsi="宋体" w:eastAsia="宋体" w:cs="宋体"/>
                <w:i w:val="0"/>
                <w:color w:val="auto"/>
                <w:sz w:val="21"/>
                <w:szCs w:val="21"/>
                <w:highlight w:val="none"/>
                <w:u w:val="none"/>
              </w:rPr>
            </w:pPr>
          </w:p>
        </w:tc>
      </w:tr>
      <w:tr w14:paraId="694A5466">
        <w:tblPrEx>
          <w:shd w:val="clear" w:color="auto" w:fill="auto"/>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B5C70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050C7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AD070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社区防范</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B688AD">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E6EBC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该模块分别统计各类警情的数量（如盗窃、斗殴等）和各类纠纷的数量（如邻里纠纷、家庭纠纷等），用于掌握社区治安动态。</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6BF81F">
            <w:pPr>
              <w:jc w:val="center"/>
              <w:rPr>
                <w:rFonts w:hint="eastAsia" w:ascii="宋体" w:hAnsi="宋体" w:eastAsia="宋体" w:cs="宋体"/>
                <w:i w:val="0"/>
                <w:color w:val="auto"/>
                <w:sz w:val="21"/>
                <w:szCs w:val="21"/>
                <w:highlight w:val="none"/>
                <w:u w:val="none"/>
              </w:rPr>
            </w:pPr>
          </w:p>
        </w:tc>
      </w:tr>
      <w:tr w14:paraId="74DB98DB">
        <w:tblPrEx>
          <w:shd w:val="clear" w:color="auto" w:fill="auto"/>
          <w:tblCellMar>
            <w:top w:w="0" w:type="dxa"/>
            <w:left w:w="0" w:type="dxa"/>
            <w:bottom w:w="0" w:type="dxa"/>
            <w:right w:w="0" w:type="dxa"/>
          </w:tblCellMar>
        </w:tblPrEx>
        <w:trPr>
          <w:trHeight w:val="216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E9854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47BC3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12B77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地图展示</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86062C">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4B271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在地图上标注重点人口、群租房、重点单位的位置信息。用户点击“通知通报”模块右上角的地图标记可切换到地图模块。点击左上角选择框可选择显示不同类型的位置标记。其中，重点人口和重点单位选择后会先显示每个地区的个数，点击个数后才显示具体标记。</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6218B9">
            <w:pPr>
              <w:jc w:val="center"/>
              <w:rPr>
                <w:rFonts w:hint="eastAsia" w:ascii="宋体" w:hAnsi="宋体" w:eastAsia="宋体" w:cs="宋体"/>
                <w:i w:val="0"/>
                <w:color w:val="auto"/>
                <w:sz w:val="21"/>
                <w:szCs w:val="21"/>
                <w:highlight w:val="none"/>
                <w:u w:val="none"/>
              </w:rPr>
            </w:pPr>
          </w:p>
        </w:tc>
      </w:tr>
      <w:tr w14:paraId="73546E59">
        <w:tblPrEx>
          <w:shd w:val="clear" w:color="auto" w:fill="auto"/>
          <w:tblCellMar>
            <w:top w:w="0" w:type="dxa"/>
            <w:left w:w="0" w:type="dxa"/>
            <w:bottom w:w="0" w:type="dxa"/>
            <w:right w:w="0" w:type="dxa"/>
          </w:tblCellMar>
        </w:tblPrEx>
        <w:trPr>
          <w:trHeight w:val="216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BF0E0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954E6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B7728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通知通报后台管理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63D044">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2658B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后台管理包括通知和通报的新增、修改、删除，以及签收反馈管理。签收反馈模块分为代签收、待反馈、已签收、已反馈、已驳回、已完成等多个状态页面，每个页面提供对应的操作功能（如签收、反馈、驳回、下载等）。点击“统计”按钮可按部门统计各状态的通知通报数量。</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ADF58E">
            <w:pPr>
              <w:jc w:val="center"/>
              <w:rPr>
                <w:rFonts w:hint="eastAsia" w:ascii="宋体" w:hAnsi="宋体" w:eastAsia="宋体" w:cs="宋体"/>
                <w:i w:val="0"/>
                <w:color w:val="auto"/>
                <w:sz w:val="21"/>
                <w:szCs w:val="21"/>
                <w:highlight w:val="none"/>
                <w:u w:val="none"/>
              </w:rPr>
            </w:pPr>
          </w:p>
        </w:tc>
      </w:tr>
      <w:tr w14:paraId="1500CA80">
        <w:tblPrEx>
          <w:shd w:val="clear" w:color="auto" w:fill="auto"/>
          <w:tblCellMar>
            <w:top w:w="0" w:type="dxa"/>
            <w:left w:w="0" w:type="dxa"/>
            <w:bottom w:w="0" w:type="dxa"/>
            <w:right w:w="0" w:type="dxa"/>
          </w:tblCellMar>
        </w:tblPrEx>
        <w:trPr>
          <w:trHeight w:val="13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DE805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A2397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DBA6F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数据汇聚后台管理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B47F7A">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F6657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数据汇聚后台包含“智能前端”和“数据来源”两个菜单。点击页面上的编辑按钮可以修改各类前端设备的数量，修改后会自动同步展示在大屏的智能前端和数据接入模块中。</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DEF90A">
            <w:pPr>
              <w:jc w:val="center"/>
              <w:rPr>
                <w:rFonts w:hint="eastAsia" w:ascii="宋体" w:hAnsi="宋体" w:eastAsia="宋体" w:cs="宋体"/>
                <w:i w:val="0"/>
                <w:color w:val="auto"/>
                <w:sz w:val="21"/>
                <w:szCs w:val="21"/>
                <w:highlight w:val="none"/>
                <w:u w:val="none"/>
              </w:rPr>
            </w:pPr>
          </w:p>
        </w:tc>
      </w:tr>
      <w:tr w14:paraId="7ADAD8DE">
        <w:tblPrEx>
          <w:tblCellMar>
            <w:top w:w="0" w:type="dxa"/>
            <w:left w:w="0" w:type="dxa"/>
            <w:bottom w:w="0" w:type="dxa"/>
            <w:right w:w="0" w:type="dxa"/>
          </w:tblCellMar>
        </w:tblPrEx>
        <w:trPr>
          <w:trHeight w:val="35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47430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9B4F7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3D64C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工作考核后台管理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3835D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D2CE4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考核后台分为社区民警考核管理和派出所考核管理两个模块。 社区民警考核管理用于保存每个月各个派出所中各个民警的各项得分情况。支持新增考核记录、修改得分、删除记录、导入导出数据。点击各项得分可单独修改该项得分并注明扣分原因。点击“明细”可下载该民警的扣分明细Word文档。点击“平均值”可按时间段计算考核平均分。 派出所考核管理用于保存每个月各个派出所的各项得分情况，操作功能与民警考核管理类似，支持新增、修改、明细等操作。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672854">
            <w:pPr>
              <w:jc w:val="center"/>
              <w:rPr>
                <w:rFonts w:hint="eastAsia" w:ascii="宋体" w:hAnsi="宋体" w:eastAsia="宋体" w:cs="宋体"/>
                <w:i w:val="0"/>
                <w:color w:val="auto"/>
                <w:sz w:val="21"/>
                <w:szCs w:val="21"/>
                <w:highlight w:val="none"/>
                <w:u w:val="none"/>
              </w:rPr>
            </w:pPr>
          </w:p>
        </w:tc>
      </w:tr>
      <w:tr w14:paraId="00DA8AAF">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DE501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A102D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9F623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管理等级统计</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F8003D">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9B6F7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该页面展示各日期下房屋各等级的数量统计，提供增删改查和导出功能。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73A3B8">
            <w:pPr>
              <w:jc w:val="center"/>
              <w:rPr>
                <w:rFonts w:hint="eastAsia" w:ascii="宋体" w:hAnsi="宋体" w:eastAsia="宋体" w:cs="宋体"/>
                <w:i w:val="0"/>
                <w:color w:val="auto"/>
                <w:sz w:val="21"/>
                <w:szCs w:val="21"/>
                <w:highlight w:val="none"/>
                <w:u w:val="none"/>
              </w:rPr>
            </w:pPr>
          </w:p>
        </w:tc>
      </w:tr>
      <w:tr w14:paraId="4EB1C206">
        <w:tblPrEx>
          <w:tblCellMar>
            <w:top w:w="0" w:type="dxa"/>
            <w:left w:w="0" w:type="dxa"/>
            <w:bottom w:w="0" w:type="dxa"/>
            <w:right w:w="0" w:type="dxa"/>
          </w:tblCellMar>
        </w:tblPrEx>
        <w:trPr>
          <w:trHeight w:val="189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D9984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E4E00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951B6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用户管理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43CA9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9BBC7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页面展示用户相关信息，提供增删改查、导入导出功能。用户状态栏提供快速切换按钮，可控制用户账号的使用权限。操作栏提供更多操作，包括重置密码及角色分配。点击角色分配可跳转至角色权限分配页面，勾选后保存即可，不同角色拥有不同的系统操作权限。</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E963E5">
            <w:pPr>
              <w:jc w:val="center"/>
              <w:rPr>
                <w:rFonts w:hint="eastAsia" w:ascii="宋体" w:hAnsi="宋体" w:eastAsia="宋体" w:cs="宋体"/>
                <w:i w:val="0"/>
                <w:color w:val="auto"/>
                <w:sz w:val="21"/>
                <w:szCs w:val="21"/>
                <w:highlight w:val="none"/>
                <w:u w:val="none"/>
              </w:rPr>
            </w:pPr>
          </w:p>
        </w:tc>
      </w:tr>
      <w:tr w14:paraId="6855AFEF">
        <w:tblPrEx>
          <w:shd w:val="clear" w:color="auto" w:fill="auto"/>
          <w:tblCellMar>
            <w:top w:w="0" w:type="dxa"/>
            <w:left w:w="0" w:type="dxa"/>
            <w:bottom w:w="0" w:type="dxa"/>
            <w:right w:w="0" w:type="dxa"/>
          </w:tblCellMar>
        </w:tblPrEx>
        <w:trPr>
          <w:trHeight w:val="189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EB4E5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A7A17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9217A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角色管理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6728EA">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2D60D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页面展示角色信息，提供增删改查、导出功能。角色状态栏提供快速切换按钮，可控制角色的上线或下线状态。操作栏提供更多操作，包括数据权限查看和分配用户。点击数据权限可查看系统页面权限分配情况。点击分配用户可为当前角色添加或移除用户。</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C72F51">
            <w:pPr>
              <w:jc w:val="center"/>
              <w:rPr>
                <w:rFonts w:hint="eastAsia" w:ascii="宋体" w:hAnsi="宋体" w:eastAsia="宋体" w:cs="宋体"/>
                <w:i w:val="0"/>
                <w:color w:val="auto"/>
                <w:sz w:val="21"/>
                <w:szCs w:val="21"/>
                <w:highlight w:val="none"/>
                <w:u w:val="none"/>
              </w:rPr>
            </w:pPr>
          </w:p>
        </w:tc>
      </w:tr>
      <w:tr w14:paraId="70BCE352">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2E4B7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56970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92C47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菜单管理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40974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7C20F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该模块为低代码开发模块，供开发人员使用，用于配置系统菜单结构。</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4E8615">
            <w:pPr>
              <w:jc w:val="center"/>
              <w:rPr>
                <w:rFonts w:hint="eastAsia" w:ascii="宋体" w:hAnsi="宋体" w:eastAsia="宋体" w:cs="宋体"/>
                <w:i w:val="0"/>
                <w:color w:val="auto"/>
                <w:sz w:val="21"/>
                <w:szCs w:val="21"/>
                <w:highlight w:val="none"/>
                <w:u w:val="none"/>
              </w:rPr>
            </w:pPr>
          </w:p>
        </w:tc>
      </w:tr>
      <w:tr w14:paraId="1073A79F">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10125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C8BC6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D6E62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部门管理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C97D4D">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B9260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该模块展示部门信息，页面提供增删改查功能。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9E141F">
            <w:pPr>
              <w:jc w:val="center"/>
              <w:rPr>
                <w:rFonts w:hint="eastAsia" w:ascii="宋体" w:hAnsi="宋体" w:eastAsia="宋体" w:cs="宋体"/>
                <w:i w:val="0"/>
                <w:color w:val="auto"/>
                <w:sz w:val="21"/>
                <w:szCs w:val="21"/>
                <w:highlight w:val="none"/>
                <w:u w:val="none"/>
              </w:rPr>
            </w:pPr>
          </w:p>
        </w:tc>
      </w:tr>
      <w:tr w14:paraId="107DED22">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6E0B3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2D82E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DA759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岗位管理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AAF642">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4FE5F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该模块展示岗位信息，页面提供增删改查功能。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62614D">
            <w:pPr>
              <w:jc w:val="center"/>
              <w:rPr>
                <w:rFonts w:hint="eastAsia" w:ascii="宋体" w:hAnsi="宋体" w:eastAsia="宋体" w:cs="宋体"/>
                <w:i w:val="0"/>
                <w:color w:val="auto"/>
                <w:sz w:val="21"/>
                <w:szCs w:val="21"/>
                <w:highlight w:val="none"/>
                <w:u w:val="none"/>
              </w:rPr>
            </w:pPr>
          </w:p>
        </w:tc>
      </w:tr>
      <w:tr w14:paraId="6673A674">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4527B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4E526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49FEF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字典管理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C6C3CD">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04B9B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该模块为低代码开发模块，供开发人员使用，用于管理系统数据字典。</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362CDD">
            <w:pPr>
              <w:jc w:val="center"/>
              <w:rPr>
                <w:rFonts w:hint="eastAsia" w:ascii="宋体" w:hAnsi="宋体" w:eastAsia="宋体" w:cs="宋体"/>
                <w:i w:val="0"/>
                <w:color w:val="auto"/>
                <w:sz w:val="21"/>
                <w:szCs w:val="21"/>
                <w:highlight w:val="none"/>
                <w:u w:val="none"/>
              </w:rPr>
            </w:pPr>
          </w:p>
        </w:tc>
      </w:tr>
      <w:tr w14:paraId="5BF288DA">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3651E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53D2D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61117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参数设置</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C97E2C">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26DC5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该模块为低代码开发模块，供开发人员使用，用于配置系统参数。</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1E2832">
            <w:pPr>
              <w:jc w:val="center"/>
              <w:rPr>
                <w:rFonts w:hint="eastAsia" w:ascii="宋体" w:hAnsi="宋体" w:eastAsia="宋体" w:cs="宋体"/>
                <w:i w:val="0"/>
                <w:color w:val="auto"/>
                <w:sz w:val="21"/>
                <w:szCs w:val="21"/>
                <w:highlight w:val="none"/>
                <w:u w:val="none"/>
              </w:rPr>
            </w:pPr>
          </w:p>
        </w:tc>
      </w:tr>
      <w:tr w14:paraId="20914BAB">
        <w:tblPrEx>
          <w:shd w:val="clear" w:color="auto" w:fill="auto"/>
          <w:tblCellMar>
            <w:top w:w="0" w:type="dxa"/>
            <w:left w:w="0" w:type="dxa"/>
            <w:bottom w:w="0" w:type="dxa"/>
            <w:right w:w="0" w:type="dxa"/>
          </w:tblCellMar>
        </w:tblPrEx>
        <w:trPr>
          <w:trHeight w:val="243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18342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4928C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36972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日志管理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32A1E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3D3F5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日志管理分为操作日志和登录日志两个子模块。操作日志展示系统操作记录，提供删除、查询、导出功能，点击详情可查看完整操作信息。登录日志展示系统登录历史信息，提供删除、查询、导出功能。若某IP因错误登录被锁定，可通过复选框选中该IP后点击解锁按钮重新启用。 该模块聚合分局各平台的主要业务数据，包括以下子模块：</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288984">
            <w:pPr>
              <w:jc w:val="center"/>
              <w:rPr>
                <w:rFonts w:hint="eastAsia" w:ascii="宋体" w:hAnsi="宋体" w:eastAsia="宋体" w:cs="宋体"/>
                <w:i w:val="0"/>
                <w:color w:val="auto"/>
                <w:sz w:val="21"/>
                <w:szCs w:val="21"/>
                <w:highlight w:val="none"/>
                <w:u w:val="none"/>
              </w:rPr>
            </w:pPr>
          </w:p>
        </w:tc>
      </w:tr>
      <w:tr w14:paraId="3596F644">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06B08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5B43D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ED13D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房屋等级</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C9A3F8">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033DC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展示房屋等级相关信息，页面提供修改和查询功能。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870501">
            <w:pPr>
              <w:jc w:val="center"/>
              <w:rPr>
                <w:rFonts w:hint="eastAsia" w:ascii="宋体" w:hAnsi="宋体" w:eastAsia="宋体" w:cs="宋体"/>
                <w:i w:val="0"/>
                <w:color w:val="auto"/>
                <w:sz w:val="21"/>
                <w:szCs w:val="21"/>
                <w:highlight w:val="none"/>
                <w:u w:val="none"/>
              </w:rPr>
            </w:pPr>
          </w:p>
        </w:tc>
      </w:tr>
      <w:tr w14:paraId="1AF7ABB2">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B319C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AB710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3CBEC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预警状态</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9390CC">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2DD55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展示预警状态相关信息，页面提供增删改查和导出功能。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38CBAE">
            <w:pPr>
              <w:jc w:val="center"/>
              <w:rPr>
                <w:rFonts w:hint="eastAsia" w:ascii="宋体" w:hAnsi="宋体" w:eastAsia="宋体" w:cs="宋体"/>
                <w:i w:val="0"/>
                <w:color w:val="auto"/>
                <w:sz w:val="21"/>
                <w:szCs w:val="21"/>
                <w:highlight w:val="none"/>
                <w:u w:val="none"/>
              </w:rPr>
            </w:pPr>
          </w:p>
        </w:tc>
      </w:tr>
      <w:tr w14:paraId="581458A1">
        <w:tblPrEx>
          <w:shd w:val="clear" w:color="auto" w:fill="auto"/>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B3E08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C911D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C078F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房屋等级月度统计</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EBEDB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3C7EC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展示房屋等级的月度统计数据。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65CCEE">
            <w:pPr>
              <w:jc w:val="center"/>
              <w:rPr>
                <w:rFonts w:hint="eastAsia" w:ascii="宋体" w:hAnsi="宋体" w:eastAsia="宋体" w:cs="宋体"/>
                <w:i w:val="0"/>
                <w:color w:val="auto"/>
                <w:sz w:val="21"/>
                <w:szCs w:val="21"/>
                <w:highlight w:val="none"/>
                <w:u w:val="none"/>
              </w:rPr>
            </w:pPr>
          </w:p>
        </w:tc>
      </w:tr>
      <w:tr w14:paraId="6D076F7D">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8A0E1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583EC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8EE97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四帮一</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1D9F8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DD76D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展示四帮一相关业务信息（针对精神障碍患者的帮扶体系），页面提供增加、修改、查询、导入、导出功能。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AB8A22">
            <w:pPr>
              <w:jc w:val="center"/>
              <w:rPr>
                <w:rFonts w:hint="eastAsia" w:ascii="宋体" w:hAnsi="宋体" w:eastAsia="宋体" w:cs="宋体"/>
                <w:i w:val="0"/>
                <w:color w:val="auto"/>
                <w:sz w:val="21"/>
                <w:szCs w:val="21"/>
                <w:highlight w:val="none"/>
                <w:u w:val="none"/>
              </w:rPr>
            </w:pPr>
          </w:p>
        </w:tc>
      </w:tr>
      <w:tr w14:paraId="6CAC247F">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8DA95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D5155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6C877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刀具管理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001843">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7D7FA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展示刀具相关信息，页面提供查询功能。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5AE066">
            <w:pPr>
              <w:jc w:val="center"/>
              <w:rPr>
                <w:rFonts w:hint="eastAsia" w:ascii="宋体" w:hAnsi="宋体" w:eastAsia="宋体" w:cs="宋体"/>
                <w:i w:val="0"/>
                <w:color w:val="auto"/>
                <w:sz w:val="21"/>
                <w:szCs w:val="21"/>
                <w:highlight w:val="none"/>
                <w:u w:val="none"/>
              </w:rPr>
            </w:pPr>
          </w:p>
        </w:tc>
      </w:tr>
      <w:tr w14:paraId="5C6C8979">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666E6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F6A60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69BA8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警员信息管理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371551">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67BF5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展示警员相关信息，页面提供增删改查和导出功能。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861B49">
            <w:pPr>
              <w:jc w:val="center"/>
              <w:rPr>
                <w:rFonts w:hint="eastAsia" w:ascii="宋体" w:hAnsi="宋体" w:eastAsia="宋体" w:cs="宋体"/>
                <w:i w:val="0"/>
                <w:color w:val="auto"/>
                <w:sz w:val="21"/>
                <w:szCs w:val="21"/>
                <w:highlight w:val="none"/>
                <w:u w:val="none"/>
              </w:rPr>
            </w:pPr>
          </w:p>
        </w:tc>
      </w:tr>
      <w:tr w14:paraId="768D57A0">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268C4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0E14A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3F902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农药管理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A7998C">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E1CDA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展示农药相关信息，页面提供查询功能。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A341A9">
            <w:pPr>
              <w:jc w:val="center"/>
              <w:rPr>
                <w:rFonts w:hint="eastAsia" w:ascii="宋体" w:hAnsi="宋体" w:eastAsia="宋体" w:cs="宋体"/>
                <w:i w:val="0"/>
                <w:color w:val="auto"/>
                <w:sz w:val="21"/>
                <w:szCs w:val="21"/>
                <w:highlight w:val="none"/>
                <w:u w:val="none"/>
              </w:rPr>
            </w:pPr>
          </w:p>
        </w:tc>
      </w:tr>
      <w:tr w14:paraId="4A1D9C0B">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10DB3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2BE12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AB33D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小区派出所关系</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DE52B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03D28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展示小区与所属派出所的对应关系，页面提供增删改查和导出功能。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8045CE">
            <w:pPr>
              <w:jc w:val="center"/>
              <w:rPr>
                <w:rFonts w:hint="eastAsia" w:ascii="宋体" w:hAnsi="宋体" w:eastAsia="宋体" w:cs="宋体"/>
                <w:i w:val="0"/>
                <w:color w:val="auto"/>
                <w:sz w:val="21"/>
                <w:szCs w:val="21"/>
                <w:highlight w:val="none"/>
                <w:u w:val="none"/>
              </w:rPr>
            </w:pPr>
          </w:p>
        </w:tc>
      </w:tr>
      <w:tr w14:paraId="530472A6">
        <w:tblPrEx>
          <w:shd w:val="clear" w:color="auto" w:fill="auto"/>
          <w:tblCellMar>
            <w:top w:w="0" w:type="dxa"/>
            <w:left w:w="0" w:type="dxa"/>
            <w:bottom w:w="0" w:type="dxa"/>
            <w:right w:w="0" w:type="dxa"/>
          </w:tblCellMar>
        </w:tblPrEx>
        <w:trPr>
          <w:trHeight w:val="189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054F2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EBFA0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A45A1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问题案件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17565F">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2A394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问题案件相关信息，页面提供修改、查询、导出功能。标注内容栏中红色为负面清单案件，绿色为非负面清单案件。页面左上角统计当前年份未整改的负面清单案件数量。点击推送按钮可将案件信息推送给相关负责人，点击详情按钮可查看案件的详细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9E4D95">
            <w:pPr>
              <w:jc w:val="center"/>
              <w:rPr>
                <w:rFonts w:hint="eastAsia" w:ascii="宋体" w:hAnsi="宋体" w:eastAsia="宋体" w:cs="宋体"/>
                <w:i w:val="0"/>
                <w:color w:val="auto"/>
                <w:sz w:val="21"/>
                <w:szCs w:val="21"/>
                <w:highlight w:val="none"/>
                <w:u w:val="none"/>
              </w:rPr>
            </w:pPr>
          </w:p>
        </w:tc>
      </w:tr>
      <w:tr w14:paraId="59CB273B">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46CD9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FF12E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F4166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支付宝数据</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4A0A28">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7A1C9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展示支付宝业务的相关信息，页面提供查询和导出功能。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04020B">
            <w:pPr>
              <w:jc w:val="center"/>
              <w:rPr>
                <w:rFonts w:hint="eastAsia" w:ascii="宋体" w:hAnsi="宋体" w:eastAsia="宋体" w:cs="宋体"/>
                <w:i w:val="0"/>
                <w:color w:val="auto"/>
                <w:sz w:val="21"/>
                <w:szCs w:val="21"/>
                <w:highlight w:val="none"/>
                <w:u w:val="none"/>
              </w:rPr>
            </w:pPr>
          </w:p>
        </w:tc>
      </w:tr>
      <w:tr w14:paraId="09C1A880">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DAF37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AF73A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B0C10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支付宝农药数据</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1C477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9D914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展示支付宝业务中农药相关的信息，页面提供查询和导出功能。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263F0B">
            <w:pPr>
              <w:jc w:val="center"/>
              <w:rPr>
                <w:rFonts w:hint="eastAsia" w:ascii="宋体" w:hAnsi="宋体" w:eastAsia="宋体" w:cs="宋体"/>
                <w:i w:val="0"/>
                <w:color w:val="auto"/>
                <w:sz w:val="21"/>
                <w:szCs w:val="21"/>
                <w:highlight w:val="none"/>
                <w:u w:val="none"/>
              </w:rPr>
            </w:pPr>
          </w:p>
        </w:tc>
      </w:tr>
      <w:tr w14:paraId="0C837C42">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92B73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C7FFD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E9215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支付宝刀具数据</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A3928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5470E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展示支付宝业务中刀具相关的信息，页面提供查询和导出功能。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76E9EB">
            <w:pPr>
              <w:jc w:val="center"/>
              <w:rPr>
                <w:rFonts w:hint="eastAsia" w:ascii="宋体" w:hAnsi="宋体" w:eastAsia="宋体" w:cs="宋体"/>
                <w:i w:val="0"/>
                <w:color w:val="auto"/>
                <w:sz w:val="21"/>
                <w:szCs w:val="21"/>
                <w:highlight w:val="none"/>
                <w:u w:val="none"/>
              </w:rPr>
            </w:pPr>
          </w:p>
        </w:tc>
      </w:tr>
      <w:tr w14:paraId="4F5B6D2C">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4EBF1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CA2A2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E35E0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群租房信息核查</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186EC1">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47E2F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展示群租房相关信息，页面提供编辑和查询功能。 该模块集中展示各类预警信息，包括以下子模块：</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9936AD">
            <w:pPr>
              <w:jc w:val="center"/>
              <w:rPr>
                <w:rFonts w:hint="eastAsia" w:ascii="宋体" w:hAnsi="宋体" w:eastAsia="宋体" w:cs="宋体"/>
                <w:i w:val="0"/>
                <w:color w:val="auto"/>
                <w:sz w:val="21"/>
                <w:szCs w:val="21"/>
                <w:highlight w:val="none"/>
                <w:u w:val="none"/>
              </w:rPr>
            </w:pPr>
          </w:p>
        </w:tc>
      </w:tr>
      <w:tr w14:paraId="2C58C2E9">
        <w:tblPrEx>
          <w:shd w:val="clear" w:color="auto" w:fill="auto"/>
          <w:tblCellMar>
            <w:top w:w="0" w:type="dxa"/>
            <w:left w:w="0" w:type="dxa"/>
            <w:bottom w:w="0" w:type="dxa"/>
            <w:right w:w="0" w:type="dxa"/>
          </w:tblCellMar>
        </w:tblPrEx>
        <w:trPr>
          <w:trHeight w:val="216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B9019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83D13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3F307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出租屋预警</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F292A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BA5E4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分类展示出租屋预警信息，可切换查看不同类型。页面提供查询和导出功能。点击统计按钮可弹出各类出租屋预警的统计数量，点击各预警类型可查看相关派出所的处理统计信息。点击详情按钮展示预警详细信息，点击推送按钮发送消息提醒相关负责人处理，点击核否按钮确认案件状态已处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5D6B73">
            <w:pPr>
              <w:jc w:val="center"/>
              <w:rPr>
                <w:rFonts w:hint="eastAsia" w:ascii="宋体" w:hAnsi="宋体" w:eastAsia="宋体" w:cs="宋体"/>
                <w:i w:val="0"/>
                <w:color w:val="auto"/>
                <w:sz w:val="21"/>
                <w:szCs w:val="21"/>
                <w:highlight w:val="none"/>
                <w:u w:val="none"/>
              </w:rPr>
            </w:pPr>
          </w:p>
        </w:tc>
      </w:tr>
      <w:tr w14:paraId="1EAF9A2C">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576CB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001B2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5D2FA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精神病预警</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522D1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3E3BDC">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功能与出租屋预警类似，针对精神障碍患者的预警信息进行管理。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4380AF">
            <w:pPr>
              <w:jc w:val="center"/>
              <w:rPr>
                <w:rFonts w:hint="eastAsia" w:ascii="宋体" w:hAnsi="宋体" w:eastAsia="宋体" w:cs="宋体"/>
                <w:i w:val="0"/>
                <w:color w:val="auto"/>
                <w:sz w:val="21"/>
                <w:szCs w:val="21"/>
                <w:highlight w:val="none"/>
                <w:u w:val="none"/>
              </w:rPr>
            </w:pPr>
          </w:p>
        </w:tc>
      </w:tr>
      <w:tr w14:paraId="62603CEF">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62583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2870C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A0994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人工预警</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6026E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A43BD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功能与上述类似，支持人工录入的预警信息管理。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22E848">
            <w:pPr>
              <w:jc w:val="center"/>
              <w:rPr>
                <w:rFonts w:hint="eastAsia" w:ascii="宋体" w:hAnsi="宋体" w:eastAsia="宋体" w:cs="宋体"/>
                <w:i w:val="0"/>
                <w:color w:val="auto"/>
                <w:sz w:val="21"/>
                <w:szCs w:val="21"/>
                <w:highlight w:val="none"/>
                <w:u w:val="none"/>
              </w:rPr>
            </w:pPr>
          </w:p>
        </w:tc>
      </w:tr>
      <w:tr w14:paraId="044EFCB2">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50E04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25E2A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3E757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实有人口预警</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57A69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51D93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功能与上述类似，针对实有人口的预警信息进行管理。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B6DDA0">
            <w:pPr>
              <w:jc w:val="center"/>
              <w:rPr>
                <w:rFonts w:hint="eastAsia" w:ascii="宋体" w:hAnsi="宋体" w:eastAsia="宋体" w:cs="宋体"/>
                <w:i w:val="0"/>
                <w:color w:val="auto"/>
                <w:sz w:val="21"/>
                <w:szCs w:val="21"/>
                <w:highlight w:val="none"/>
                <w:u w:val="none"/>
              </w:rPr>
            </w:pPr>
          </w:p>
        </w:tc>
      </w:tr>
      <w:tr w14:paraId="2585A336">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A7FF2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6F161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E7F70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帮教转化预警</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75BB46">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787FE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功能与上述类似，针对帮教转化人员的预警信息进行管理。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2B6D05">
            <w:pPr>
              <w:jc w:val="center"/>
              <w:rPr>
                <w:rFonts w:hint="eastAsia" w:ascii="宋体" w:hAnsi="宋体" w:eastAsia="宋体" w:cs="宋体"/>
                <w:i w:val="0"/>
                <w:color w:val="auto"/>
                <w:sz w:val="21"/>
                <w:szCs w:val="21"/>
                <w:highlight w:val="none"/>
                <w:u w:val="none"/>
              </w:rPr>
            </w:pPr>
          </w:p>
        </w:tc>
      </w:tr>
      <w:tr w14:paraId="62CB7BDE">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F8F48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75346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7289F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平安校园预警</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CEB63B">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A2CED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展示平安校园相关的预警信息。点击详情按钮可查看内容详细信息，点击抓拍按钮可查看监控点位的抓拍实况及人员信息。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E1DB88">
            <w:pPr>
              <w:jc w:val="center"/>
              <w:rPr>
                <w:rFonts w:hint="eastAsia" w:ascii="宋体" w:hAnsi="宋体" w:eastAsia="宋体" w:cs="宋体"/>
                <w:i w:val="0"/>
                <w:color w:val="auto"/>
                <w:sz w:val="21"/>
                <w:szCs w:val="21"/>
                <w:highlight w:val="none"/>
                <w:u w:val="none"/>
              </w:rPr>
            </w:pPr>
          </w:p>
        </w:tc>
      </w:tr>
      <w:tr w14:paraId="4274BB23">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50F0E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4E05B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7F0CE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平安校园风险库</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80C86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14E71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功能与平安校园预警类似，用于管理校园风险信息。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22D12B">
            <w:pPr>
              <w:jc w:val="center"/>
              <w:rPr>
                <w:rFonts w:hint="eastAsia" w:ascii="宋体" w:hAnsi="宋体" w:eastAsia="宋体" w:cs="宋体"/>
                <w:i w:val="0"/>
                <w:color w:val="auto"/>
                <w:sz w:val="21"/>
                <w:szCs w:val="21"/>
                <w:highlight w:val="none"/>
                <w:u w:val="none"/>
              </w:rPr>
            </w:pPr>
          </w:p>
        </w:tc>
      </w:tr>
      <w:tr w14:paraId="1A8C3F26">
        <w:tblPrEx>
          <w:shd w:val="clear" w:color="auto" w:fill="auto"/>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012C5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9D042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12224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撤管列表</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1E951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7BE76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展示撤管相关信息，页面提供增加和查询功能。点击添加撤管人员申请可弹出添加窗口，填写相关信息并支持上传附件。</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CA72AB">
            <w:pPr>
              <w:jc w:val="center"/>
              <w:rPr>
                <w:rFonts w:hint="eastAsia" w:ascii="宋体" w:hAnsi="宋体" w:eastAsia="宋体" w:cs="宋体"/>
                <w:i w:val="0"/>
                <w:color w:val="auto"/>
                <w:sz w:val="21"/>
                <w:szCs w:val="21"/>
                <w:highlight w:val="none"/>
                <w:u w:val="none"/>
              </w:rPr>
            </w:pPr>
          </w:p>
        </w:tc>
      </w:tr>
      <w:tr w14:paraId="612438A0">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A97E2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0FA6E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7E460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撤管审批</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CCBF2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9B8AF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展示撤管审批列表信息，页面提供查询功能。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2A2D0F">
            <w:pPr>
              <w:jc w:val="center"/>
              <w:rPr>
                <w:rFonts w:hint="eastAsia" w:ascii="宋体" w:hAnsi="宋体" w:eastAsia="宋体" w:cs="宋体"/>
                <w:i w:val="0"/>
                <w:color w:val="auto"/>
                <w:sz w:val="21"/>
                <w:szCs w:val="21"/>
                <w:highlight w:val="none"/>
                <w:u w:val="none"/>
              </w:rPr>
            </w:pPr>
          </w:p>
        </w:tc>
      </w:tr>
      <w:tr w14:paraId="7A9E9212">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3D0AC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97B78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7BBB1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自我检查</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BB303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45099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展示自我检查完成情况信息，页面提供查询功能。点击上报按钮弹出上报窗口，可上传图片文件完成上报。</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4695FF">
            <w:pPr>
              <w:jc w:val="center"/>
              <w:rPr>
                <w:rFonts w:hint="eastAsia" w:ascii="宋体" w:hAnsi="宋体" w:eastAsia="宋体" w:cs="宋体"/>
                <w:i w:val="0"/>
                <w:color w:val="auto"/>
                <w:sz w:val="21"/>
                <w:szCs w:val="21"/>
                <w:highlight w:val="none"/>
                <w:u w:val="none"/>
              </w:rPr>
            </w:pPr>
          </w:p>
        </w:tc>
      </w:tr>
      <w:tr w14:paraId="2CAB28E5">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81D76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405DA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27E2A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谈心谈话</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BB26D8">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F2723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功能与自我检查类似，用于管理民警谈心谈话情况的上报。</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027AB3">
            <w:pPr>
              <w:jc w:val="center"/>
              <w:rPr>
                <w:rFonts w:hint="eastAsia" w:ascii="宋体" w:hAnsi="宋体" w:eastAsia="宋体" w:cs="宋体"/>
                <w:i w:val="0"/>
                <w:color w:val="auto"/>
                <w:sz w:val="21"/>
                <w:szCs w:val="21"/>
                <w:highlight w:val="none"/>
                <w:u w:val="none"/>
              </w:rPr>
            </w:pPr>
          </w:p>
        </w:tc>
      </w:tr>
      <w:tr w14:paraId="343E4928">
        <w:tblPrEx>
          <w:shd w:val="clear" w:color="auto" w:fill="auto"/>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D511F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9CC84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06718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绩效任务销号</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7898E2">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09FB5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展示绩效任务销号相关信息，页面提供增删改查和导入功能。点击设置截止日期可弹出日期修改窗口，根据业务需要设置任务截止日期。</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7A6C26">
            <w:pPr>
              <w:jc w:val="center"/>
              <w:rPr>
                <w:rFonts w:hint="eastAsia" w:ascii="宋体" w:hAnsi="宋体" w:eastAsia="宋体" w:cs="宋体"/>
                <w:i w:val="0"/>
                <w:color w:val="auto"/>
                <w:sz w:val="21"/>
                <w:szCs w:val="21"/>
                <w:highlight w:val="none"/>
                <w:u w:val="none"/>
              </w:rPr>
            </w:pPr>
          </w:p>
        </w:tc>
      </w:tr>
      <w:tr w14:paraId="33BB7FD3">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BE128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8BA7E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32B01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绩效指标销号</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2F245F">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F149C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展示绩效指标销号相关信息，页面功能与绩效任务销号类似。</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889EBA">
            <w:pPr>
              <w:jc w:val="center"/>
              <w:rPr>
                <w:rFonts w:hint="eastAsia" w:ascii="宋体" w:hAnsi="宋体" w:eastAsia="宋体" w:cs="宋体"/>
                <w:i w:val="0"/>
                <w:color w:val="auto"/>
                <w:sz w:val="21"/>
                <w:szCs w:val="21"/>
                <w:highlight w:val="none"/>
                <w:u w:val="none"/>
              </w:rPr>
            </w:pPr>
          </w:p>
        </w:tc>
      </w:tr>
      <w:tr w14:paraId="50BBAC53">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4D561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0A99C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2BF5B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绩效通报</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1B7DB8">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3F789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展示绩效通报相关信息，页面功能与上述类似。</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C3F6C1">
            <w:pPr>
              <w:jc w:val="center"/>
              <w:rPr>
                <w:rFonts w:hint="eastAsia" w:ascii="宋体" w:hAnsi="宋体" w:eastAsia="宋体" w:cs="宋体"/>
                <w:i w:val="0"/>
                <w:color w:val="auto"/>
                <w:sz w:val="21"/>
                <w:szCs w:val="21"/>
                <w:highlight w:val="none"/>
                <w:u w:val="none"/>
              </w:rPr>
            </w:pPr>
          </w:p>
        </w:tc>
      </w:tr>
      <w:tr w14:paraId="44CCC726">
        <w:tblPrEx>
          <w:shd w:val="clear" w:color="auto" w:fill="auto"/>
          <w:tblCellMar>
            <w:top w:w="0" w:type="dxa"/>
            <w:left w:w="0" w:type="dxa"/>
            <w:bottom w:w="0" w:type="dxa"/>
            <w:right w:w="0" w:type="dxa"/>
          </w:tblCellMar>
        </w:tblPrEx>
        <w:trPr>
          <w:trHeight w:val="13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2716E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60D1E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DC978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任务列表</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05C83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C5F05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展示校园隐患相关任务信息，页面提供查询和新增功能。点击操作栏的下发详情按钮可跳转至下发详情页面，该页面提供查询和导出功能。点击检查详情按钮可跳转至检查详情页面。</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B43962">
            <w:pPr>
              <w:jc w:val="center"/>
              <w:rPr>
                <w:rFonts w:hint="eastAsia" w:ascii="宋体" w:hAnsi="宋体" w:eastAsia="宋体" w:cs="宋体"/>
                <w:i w:val="0"/>
                <w:color w:val="auto"/>
                <w:sz w:val="21"/>
                <w:szCs w:val="21"/>
                <w:highlight w:val="none"/>
                <w:u w:val="none"/>
              </w:rPr>
            </w:pPr>
          </w:p>
        </w:tc>
      </w:tr>
      <w:tr w14:paraId="1CE263E6">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93EC9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90824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875C7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隐患列表</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8963E3">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65190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展示存在隐患信息的学校相关信息，页面提供查询和导出功能。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D3061C">
            <w:pPr>
              <w:jc w:val="center"/>
              <w:rPr>
                <w:rFonts w:hint="eastAsia" w:ascii="宋体" w:hAnsi="宋体" w:eastAsia="宋体" w:cs="宋体"/>
                <w:i w:val="0"/>
                <w:color w:val="auto"/>
                <w:sz w:val="21"/>
                <w:szCs w:val="21"/>
                <w:highlight w:val="none"/>
                <w:u w:val="none"/>
              </w:rPr>
            </w:pPr>
          </w:p>
        </w:tc>
      </w:tr>
      <w:tr w14:paraId="4E4E38BE">
        <w:tblPrEx>
          <w:shd w:val="clear" w:color="auto" w:fill="auto"/>
          <w:tblCellMar>
            <w:top w:w="0" w:type="dxa"/>
            <w:left w:w="0" w:type="dxa"/>
            <w:bottom w:w="0" w:type="dxa"/>
            <w:right w:w="0" w:type="dxa"/>
          </w:tblCellMar>
        </w:tblPrEx>
        <w:trPr>
          <w:trHeight w:val="540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EAD0A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FE981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426F1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三大人口分类管理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2ACFC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9C1B3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页面左侧分别展示三大人口板块，具体如下： （1）户籍人口 核心指标：展示当月户籍人口总数，以及户籍人口在本地的数量、流出到区外的人口数量、流出到市外的人口数量。图表类型：支持折线图和柱状图两种展示方式，可切换查看人口变化趋势、年龄分布、性别比例、学历构成等维度的统计分析。 （2）流动人口 核心指标：展示当月流动人口总数，以及从市内流入、市外流入、省外流入的人数。图表类型：采用雷达图展示市内、市外、省外流动人口的分布情况，用户可通过点击标签切换查看不同区域的流动人口分布。 （3）特殊人员 核心指标：展示特殊人员总人数，以及各类特殊人员（如涉毒人员、精神障碍患者等）的具体人数。图表类型：以列表形式呈现各类特殊人员数据，用户点击某一类特殊人员后，可查看该类下所有特殊人员的详细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B105FE">
            <w:pPr>
              <w:jc w:val="center"/>
              <w:rPr>
                <w:rFonts w:hint="eastAsia" w:ascii="宋体" w:hAnsi="宋体" w:eastAsia="宋体" w:cs="宋体"/>
                <w:i w:val="0"/>
                <w:color w:val="auto"/>
                <w:sz w:val="21"/>
                <w:szCs w:val="21"/>
                <w:highlight w:val="none"/>
                <w:u w:val="none"/>
              </w:rPr>
            </w:pPr>
          </w:p>
        </w:tc>
      </w:tr>
      <w:tr w14:paraId="08273411">
        <w:tblPrEx>
          <w:shd w:val="clear" w:color="auto" w:fill="auto"/>
          <w:tblCellMar>
            <w:top w:w="0" w:type="dxa"/>
            <w:left w:w="0" w:type="dxa"/>
            <w:bottom w:w="0" w:type="dxa"/>
            <w:right w:w="0" w:type="dxa"/>
          </w:tblCellMar>
        </w:tblPrEx>
        <w:trPr>
          <w:trHeight w:val="162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D9BA8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E1E0E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C7EF4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实有人口监测</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D98DF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2802C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展示今日登记新生儿数、实有人口数。提供“实有人口”按钮，跳转至亭湖区人口数据管理页面。数据管理页面包含：敲门行动、警网通、户籍人口等数据。支持查看模型规则描述（点击感叹号按钮）。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98956D">
            <w:pPr>
              <w:jc w:val="center"/>
              <w:rPr>
                <w:rFonts w:hint="eastAsia" w:ascii="宋体" w:hAnsi="宋体" w:eastAsia="宋体" w:cs="宋体"/>
                <w:i w:val="0"/>
                <w:color w:val="auto"/>
                <w:sz w:val="21"/>
                <w:szCs w:val="21"/>
                <w:highlight w:val="none"/>
                <w:u w:val="none"/>
              </w:rPr>
            </w:pPr>
          </w:p>
        </w:tc>
      </w:tr>
      <w:tr w14:paraId="40F9A050">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0DF50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1673C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0BFCB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人员预警系统</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CE95B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B1AFD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统计：模型数、预警数、已签收数、已反馈数。滚动列表展示人员预警分析。支持点击预警查看详情、推送、核否等操作。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6BC114">
            <w:pPr>
              <w:jc w:val="center"/>
              <w:rPr>
                <w:rFonts w:hint="eastAsia" w:ascii="宋体" w:hAnsi="宋体" w:eastAsia="宋体" w:cs="宋体"/>
                <w:i w:val="0"/>
                <w:color w:val="auto"/>
                <w:sz w:val="21"/>
                <w:szCs w:val="21"/>
                <w:highlight w:val="none"/>
                <w:u w:val="none"/>
              </w:rPr>
            </w:pPr>
          </w:p>
        </w:tc>
      </w:tr>
      <w:tr w14:paraId="7291C335">
        <w:tblPrEx>
          <w:shd w:val="clear" w:color="auto" w:fill="auto"/>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16667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576C6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ED5CA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重点人口管理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CF49D4">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9A101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展示当月重点人口数。派出所选择器（按派出所筛选）。新增列管/撤管人数趋势（时间段）。按派出所查看各类人员人数（弹框详情）。</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6DD293">
            <w:pPr>
              <w:jc w:val="center"/>
              <w:rPr>
                <w:rFonts w:hint="eastAsia" w:ascii="宋体" w:hAnsi="宋体" w:eastAsia="宋体" w:cs="宋体"/>
                <w:i w:val="0"/>
                <w:color w:val="auto"/>
                <w:sz w:val="21"/>
                <w:szCs w:val="21"/>
                <w:highlight w:val="none"/>
                <w:u w:val="none"/>
              </w:rPr>
            </w:pPr>
          </w:p>
        </w:tc>
      </w:tr>
      <w:tr w14:paraId="43D372C0">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854CA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724C6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3139A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轨迹分析</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31DD27">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B020D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滚动展示：姓名、抓拍次数、抓拍时间、抓拍地点。支持点击查看轨迹分析详情。“更多”按钮查看表格形式的所有轨迹分析。</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91A1D9">
            <w:pPr>
              <w:jc w:val="center"/>
              <w:rPr>
                <w:rFonts w:hint="eastAsia" w:ascii="宋体" w:hAnsi="宋体" w:eastAsia="宋体" w:cs="宋体"/>
                <w:i w:val="0"/>
                <w:color w:val="auto"/>
                <w:sz w:val="21"/>
                <w:szCs w:val="21"/>
                <w:highlight w:val="none"/>
                <w:u w:val="none"/>
              </w:rPr>
            </w:pPr>
          </w:p>
        </w:tc>
      </w:tr>
      <w:tr w14:paraId="1700C617">
        <w:tblPrEx>
          <w:shd w:val="clear" w:color="auto" w:fill="auto"/>
          <w:tblCellMar>
            <w:top w:w="0" w:type="dxa"/>
            <w:left w:w="0" w:type="dxa"/>
            <w:bottom w:w="0" w:type="dxa"/>
            <w:right w:w="0" w:type="dxa"/>
          </w:tblCellMar>
        </w:tblPrEx>
        <w:trPr>
          <w:trHeight w:val="189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8FE90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498BC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3DAE5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地图可视化</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BA184F">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92820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点击“地图”按钮切换中间区域为地图界面。默认展示派出所管辖范围图层。底部分布数据：区域名称、小区数量、户籍人口、流动人口、实有人口、特殊人口、重点人口。支持下钻交互：派出所 → 警务区 → 网格。选中派出所时弹框展示该所人员详情。</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A63679">
            <w:pPr>
              <w:jc w:val="center"/>
              <w:rPr>
                <w:rFonts w:hint="eastAsia" w:ascii="宋体" w:hAnsi="宋体" w:eastAsia="宋体" w:cs="宋体"/>
                <w:i w:val="0"/>
                <w:color w:val="auto"/>
                <w:sz w:val="21"/>
                <w:szCs w:val="21"/>
                <w:highlight w:val="none"/>
                <w:u w:val="none"/>
              </w:rPr>
            </w:pPr>
          </w:p>
        </w:tc>
      </w:tr>
      <w:tr w14:paraId="09DD8AC2">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1F3C7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E3069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9885A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丰富的第三方数据对接</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9A7A5B">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F290F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对接海康、海致等36个第三方接口。涵盖：常住/流动/重点人口、安全隐患、预警模型、抓拍轨迹、精神障碍患者关联等。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0B8B9E">
            <w:pPr>
              <w:jc w:val="center"/>
              <w:rPr>
                <w:rFonts w:hint="eastAsia" w:ascii="宋体" w:hAnsi="宋体" w:eastAsia="宋体" w:cs="宋体"/>
                <w:i w:val="0"/>
                <w:color w:val="auto"/>
                <w:sz w:val="21"/>
                <w:szCs w:val="21"/>
                <w:highlight w:val="none"/>
                <w:u w:val="none"/>
              </w:rPr>
            </w:pPr>
          </w:p>
        </w:tc>
      </w:tr>
      <w:tr w14:paraId="58DB253E">
        <w:tblPrEx>
          <w:shd w:val="clear" w:color="auto" w:fill="auto"/>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3D940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71F54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F3A86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房屋概况</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A2AD9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74722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核心指标：展示标准地址数、居住房屋数、出租房总数、群租房总数。图表类型：柱状图展示各月份数据统计，支持切换查看群租房或出租房。</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369588">
            <w:pPr>
              <w:jc w:val="center"/>
              <w:rPr>
                <w:rFonts w:hint="eastAsia" w:ascii="宋体" w:hAnsi="宋体" w:eastAsia="宋体" w:cs="宋体"/>
                <w:i w:val="0"/>
                <w:color w:val="auto"/>
                <w:sz w:val="21"/>
                <w:szCs w:val="21"/>
                <w:highlight w:val="none"/>
                <w:u w:val="none"/>
              </w:rPr>
            </w:pPr>
          </w:p>
        </w:tc>
      </w:tr>
      <w:tr w14:paraId="40032A2A">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F3F80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813E8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7DCBA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群（出）租房检查</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CC134D">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6B955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核心指标：展示应检数、已检数、未检数。图表类型：仪表图展示当月完成率和上月完成率，直观反映检查进度。</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485F7B">
            <w:pPr>
              <w:jc w:val="center"/>
              <w:rPr>
                <w:rFonts w:hint="eastAsia" w:ascii="宋体" w:hAnsi="宋体" w:eastAsia="宋体" w:cs="宋体"/>
                <w:i w:val="0"/>
                <w:color w:val="auto"/>
                <w:sz w:val="21"/>
                <w:szCs w:val="21"/>
                <w:highlight w:val="none"/>
                <w:u w:val="none"/>
              </w:rPr>
            </w:pPr>
          </w:p>
        </w:tc>
      </w:tr>
      <w:tr w14:paraId="36728D53">
        <w:tblPrEx>
          <w:shd w:val="clear" w:color="auto" w:fill="auto"/>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351A3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A9811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106FB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隐患预警</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9EF68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66B65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轮播展示预警信息（如安全隐患、违规出租等）。点击单条数据可查看详细信息。点击“查看更多”弹出隐患预警全量信息列表。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739B59">
            <w:pPr>
              <w:jc w:val="center"/>
              <w:rPr>
                <w:rFonts w:hint="eastAsia" w:ascii="宋体" w:hAnsi="宋体" w:eastAsia="宋体" w:cs="宋体"/>
                <w:i w:val="0"/>
                <w:color w:val="auto"/>
                <w:sz w:val="21"/>
                <w:szCs w:val="21"/>
                <w:highlight w:val="none"/>
                <w:u w:val="none"/>
              </w:rPr>
            </w:pPr>
          </w:p>
        </w:tc>
      </w:tr>
      <w:tr w14:paraId="0BA318EB">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B259C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4D73E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71622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数据中心</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F88C5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41063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按年、月、日维度统计各项类别的数量。支持切换查看地图界面，展示房屋分布位置。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689CA0">
            <w:pPr>
              <w:jc w:val="center"/>
              <w:rPr>
                <w:rFonts w:hint="eastAsia" w:ascii="宋体" w:hAnsi="宋体" w:eastAsia="宋体" w:cs="宋体"/>
                <w:i w:val="0"/>
                <w:color w:val="auto"/>
                <w:sz w:val="21"/>
                <w:szCs w:val="21"/>
                <w:highlight w:val="none"/>
                <w:u w:val="none"/>
              </w:rPr>
            </w:pPr>
          </w:p>
        </w:tc>
      </w:tr>
      <w:tr w14:paraId="51B45EEF">
        <w:tblPrEx>
          <w:shd w:val="clear" w:color="auto" w:fill="auto"/>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81CA1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4DFFC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FED94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实时动态</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E7587A">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427B6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轮播展示出租屋实时动态信息（如新增出租、检查记录等）。点击每条数据展开详情页面。点击“查看更多”跳转隐患管理平台。</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0F1C36">
            <w:pPr>
              <w:jc w:val="center"/>
              <w:rPr>
                <w:rFonts w:hint="eastAsia" w:ascii="宋体" w:hAnsi="宋体" w:eastAsia="宋体" w:cs="宋体"/>
                <w:i w:val="0"/>
                <w:color w:val="auto"/>
                <w:sz w:val="21"/>
                <w:szCs w:val="21"/>
                <w:highlight w:val="none"/>
                <w:u w:val="none"/>
              </w:rPr>
            </w:pPr>
          </w:p>
        </w:tc>
      </w:tr>
      <w:tr w14:paraId="69EE086E">
        <w:tblPrEx>
          <w:shd w:val="clear" w:color="auto" w:fill="auto"/>
          <w:tblCellMar>
            <w:top w:w="0" w:type="dxa"/>
            <w:left w:w="0" w:type="dxa"/>
            <w:bottom w:w="0" w:type="dxa"/>
            <w:right w:w="0" w:type="dxa"/>
          </w:tblCellMar>
        </w:tblPrEx>
        <w:trPr>
          <w:trHeight w:val="162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CD106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806DA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7DE61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承租人概况</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D9D0DC">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520E0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上方区域：展示出租房承租人数、群租房承租人数。中间区域：展示各类重点关注对象人数（如人员、精神障碍患者等）。下方区域：条形图展示人群分布情况。支持查看列表信息、全息档案、详情窗口。</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845A11">
            <w:pPr>
              <w:jc w:val="center"/>
              <w:rPr>
                <w:rFonts w:hint="eastAsia" w:ascii="宋体" w:hAnsi="宋体" w:eastAsia="宋体" w:cs="宋体"/>
                <w:i w:val="0"/>
                <w:color w:val="auto"/>
                <w:sz w:val="21"/>
                <w:szCs w:val="21"/>
                <w:highlight w:val="none"/>
                <w:u w:val="none"/>
              </w:rPr>
            </w:pPr>
          </w:p>
        </w:tc>
      </w:tr>
      <w:tr w14:paraId="6BE64A62">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56981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ADCD0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8CD02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信息来源</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DB188B">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73235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饼图展示各项信息来源的比率（如网格员上报、系统对接、人工录入等）。点击对应类别弹出详情信息窗口。点击“查看更多”弹出全量信息来源列表。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BA8A42">
            <w:pPr>
              <w:jc w:val="center"/>
              <w:rPr>
                <w:rFonts w:hint="eastAsia" w:ascii="宋体" w:hAnsi="宋体" w:eastAsia="宋体" w:cs="宋体"/>
                <w:i w:val="0"/>
                <w:color w:val="auto"/>
                <w:sz w:val="21"/>
                <w:szCs w:val="21"/>
                <w:highlight w:val="none"/>
                <w:u w:val="none"/>
              </w:rPr>
            </w:pPr>
          </w:p>
        </w:tc>
      </w:tr>
      <w:tr w14:paraId="7BEC2820">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94BAC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59730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EB5C7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人员预警</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59D17C">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C04D2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展示人员预警数据信息（如承租人涉警、涉羟、精神障碍等关联预警）。点击“查看更多”弹出人员预警信息详情窗口。</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6D8E3C">
            <w:pPr>
              <w:jc w:val="center"/>
              <w:rPr>
                <w:rFonts w:hint="eastAsia" w:ascii="宋体" w:hAnsi="宋体" w:eastAsia="宋体" w:cs="宋体"/>
                <w:i w:val="0"/>
                <w:color w:val="auto"/>
                <w:sz w:val="21"/>
                <w:szCs w:val="21"/>
                <w:highlight w:val="none"/>
                <w:u w:val="none"/>
              </w:rPr>
            </w:pPr>
          </w:p>
        </w:tc>
      </w:tr>
      <w:tr w14:paraId="28641F70">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BF859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0F316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DCAE7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租客管理平台</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023013">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136A1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通过点击各模块右上角“查看更多”跳转至租客管理平台。提供租客信息的综合管理功能。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DAE367">
            <w:pPr>
              <w:jc w:val="center"/>
              <w:rPr>
                <w:rFonts w:hint="eastAsia" w:ascii="宋体" w:hAnsi="宋体" w:eastAsia="宋体" w:cs="宋体"/>
                <w:i w:val="0"/>
                <w:color w:val="auto"/>
                <w:sz w:val="21"/>
                <w:szCs w:val="21"/>
                <w:highlight w:val="none"/>
                <w:u w:val="none"/>
              </w:rPr>
            </w:pPr>
          </w:p>
        </w:tc>
      </w:tr>
      <w:tr w14:paraId="0C2122B6">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50F1B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CD846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村居治安驾驶舱模块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7A008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地图可视化展示</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701B5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A6127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亭湖区地图作为核心展示区域。直观展示各区域预警分布情况。支持地图缩放、拖拽等基础交互。</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0AEC6E">
            <w:pPr>
              <w:jc w:val="center"/>
              <w:rPr>
                <w:rFonts w:hint="eastAsia" w:ascii="宋体" w:hAnsi="宋体" w:eastAsia="宋体" w:cs="宋体"/>
                <w:i w:val="0"/>
                <w:color w:val="auto"/>
                <w:sz w:val="21"/>
                <w:szCs w:val="21"/>
                <w:highlight w:val="none"/>
                <w:u w:val="none"/>
              </w:rPr>
            </w:pPr>
          </w:p>
        </w:tc>
      </w:tr>
      <w:tr w14:paraId="0BDCAAFC">
        <w:tblPrEx>
          <w:shd w:val="clear" w:color="auto" w:fill="auto"/>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5D9F9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55372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村居治安驾驶舱模块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8C811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预警未处置数量统计</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F0EC88">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FBCAB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实时统计并展示当前未处置的预警总数。作为核心KPI指标，突出展示在界面显著位置。支持点击查看未处置预警详情。</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06EA00">
            <w:pPr>
              <w:jc w:val="center"/>
              <w:rPr>
                <w:rFonts w:hint="eastAsia" w:ascii="宋体" w:hAnsi="宋体" w:eastAsia="宋体" w:cs="宋体"/>
                <w:i w:val="0"/>
                <w:color w:val="auto"/>
                <w:sz w:val="21"/>
                <w:szCs w:val="21"/>
                <w:highlight w:val="none"/>
                <w:u w:val="none"/>
              </w:rPr>
            </w:pPr>
          </w:p>
        </w:tc>
      </w:tr>
      <w:tr w14:paraId="6D3A67DA">
        <w:tblPrEx>
          <w:shd w:val="clear" w:color="auto" w:fill="auto"/>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9646E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256B1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村居治安驾驶舱模块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4540C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多类别预警切换</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9A61AF">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B06B5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下方区域展示各类别预警UI。支持切换查看不同类别的预警信息。预警类别涵盖：人口预警、房屋预警、精神障碍预警、安全隐患预警等。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52097B">
            <w:pPr>
              <w:jc w:val="center"/>
              <w:rPr>
                <w:rFonts w:hint="eastAsia" w:ascii="宋体" w:hAnsi="宋体" w:eastAsia="宋体" w:cs="宋体"/>
                <w:i w:val="0"/>
                <w:color w:val="auto"/>
                <w:sz w:val="21"/>
                <w:szCs w:val="21"/>
                <w:highlight w:val="none"/>
                <w:u w:val="none"/>
              </w:rPr>
            </w:pPr>
          </w:p>
        </w:tc>
      </w:tr>
      <w:tr w14:paraId="0296DF85">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0D0EF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16FCF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村居治安驾驶舱模块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8DB50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日期时间展示</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FC3C2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BF1C0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顶部区域展示当前日期时间。为预警数据提供时间戳参考。</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9583A3">
            <w:pPr>
              <w:jc w:val="center"/>
              <w:rPr>
                <w:rFonts w:hint="eastAsia" w:ascii="宋体" w:hAnsi="宋体" w:eastAsia="宋体" w:cs="宋体"/>
                <w:i w:val="0"/>
                <w:color w:val="auto"/>
                <w:sz w:val="21"/>
                <w:szCs w:val="21"/>
                <w:highlight w:val="none"/>
                <w:u w:val="none"/>
              </w:rPr>
            </w:pPr>
          </w:p>
        </w:tc>
      </w:tr>
      <w:tr w14:paraId="29BFB8D7">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8491B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A9BF9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村居治安驾驶舱模块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CB912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预警管理后台联动</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1E4B8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2CBB4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与《基础管控中心》的预警管理后台联动。支持预警的签收、反馈、处置等完整流程。形成“展示-预警-处置-反馈”的业务闭环。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97202D">
            <w:pPr>
              <w:jc w:val="center"/>
              <w:rPr>
                <w:rFonts w:hint="eastAsia" w:ascii="宋体" w:hAnsi="宋体" w:eastAsia="宋体" w:cs="宋体"/>
                <w:i w:val="0"/>
                <w:color w:val="auto"/>
                <w:sz w:val="21"/>
                <w:szCs w:val="21"/>
                <w:highlight w:val="none"/>
                <w:u w:val="none"/>
              </w:rPr>
            </w:pPr>
          </w:p>
        </w:tc>
      </w:tr>
      <w:tr w14:paraId="5F588F61">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1241A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A1C27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85A21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日常工作（F01）</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C5BAD3">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83AB1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（1）排队管理 制度：展示业务办理排队制度文件及通知。排队列表：分页展示排队数据，支持条件搜索、导出、打印详情。</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D4A0C5">
            <w:pPr>
              <w:jc w:val="center"/>
              <w:rPr>
                <w:rFonts w:hint="eastAsia" w:ascii="宋体" w:hAnsi="宋体" w:eastAsia="宋体" w:cs="宋体"/>
                <w:i w:val="0"/>
                <w:color w:val="auto"/>
                <w:sz w:val="21"/>
                <w:szCs w:val="21"/>
                <w:highlight w:val="none"/>
                <w:u w:val="none"/>
              </w:rPr>
            </w:pPr>
          </w:p>
        </w:tc>
      </w:tr>
      <w:tr w14:paraId="39F645B2">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AE7D2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EF7FC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E9737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日常工作（F01）</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F0BED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文件管理</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1392C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（2）文件管理 我的文件：文件操作信息管理。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6B9EF3">
            <w:pPr>
              <w:jc w:val="center"/>
              <w:rPr>
                <w:rFonts w:hint="eastAsia" w:ascii="宋体" w:hAnsi="宋体" w:eastAsia="宋体" w:cs="宋体"/>
                <w:i w:val="0"/>
                <w:color w:val="auto"/>
                <w:sz w:val="21"/>
                <w:szCs w:val="21"/>
                <w:highlight w:val="none"/>
                <w:u w:val="none"/>
              </w:rPr>
            </w:pPr>
          </w:p>
        </w:tc>
      </w:tr>
      <w:tr w14:paraId="1BCD9EA3">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4BA35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BE559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774ED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日常工作（F01）</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149A1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人员管理</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6C0B3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（3）人员管理 民警：增删改查、导入导出。辅警：增删改查、导入导出。工勤人员：增删改查、导出。外包单位：增删改查、导入导出、下载模板。</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489C85">
            <w:pPr>
              <w:jc w:val="center"/>
              <w:rPr>
                <w:rFonts w:hint="eastAsia" w:ascii="宋体" w:hAnsi="宋体" w:eastAsia="宋体" w:cs="宋体"/>
                <w:i w:val="0"/>
                <w:color w:val="auto"/>
                <w:sz w:val="21"/>
                <w:szCs w:val="21"/>
                <w:highlight w:val="none"/>
                <w:u w:val="none"/>
              </w:rPr>
            </w:pPr>
          </w:p>
        </w:tc>
      </w:tr>
      <w:tr w14:paraId="37D6AE31">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E8F5E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6A20C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CE5D2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日常工作（F01）</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92234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设备管理</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76CA6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（4）设备管理 对讲机、车载、执法记录仪、手机：增删改查、导入导出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405D13">
            <w:pPr>
              <w:jc w:val="center"/>
              <w:rPr>
                <w:rFonts w:hint="eastAsia" w:ascii="宋体" w:hAnsi="宋体" w:eastAsia="宋体" w:cs="宋体"/>
                <w:i w:val="0"/>
                <w:color w:val="auto"/>
                <w:sz w:val="21"/>
                <w:szCs w:val="21"/>
                <w:highlight w:val="none"/>
                <w:u w:val="none"/>
              </w:rPr>
            </w:pPr>
          </w:p>
        </w:tc>
      </w:tr>
      <w:tr w14:paraId="314C33E8">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1D676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29E7E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82B6B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日常工作（F01）</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0581F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机构管理</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9B1FB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（5）基础数据 重点机构：机构信息、监控点位、保安人员管理。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F00AFD">
            <w:pPr>
              <w:jc w:val="center"/>
              <w:rPr>
                <w:rFonts w:hint="eastAsia" w:ascii="宋体" w:hAnsi="宋体" w:eastAsia="宋体" w:cs="宋体"/>
                <w:i w:val="0"/>
                <w:color w:val="auto"/>
                <w:sz w:val="21"/>
                <w:szCs w:val="21"/>
                <w:highlight w:val="none"/>
                <w:u w:val="none"/>
              </w:rPr>
            </w:pPr>
          </w:p>
        </w:tc>
      </w:tr>
      <w:tr w14:paraId="356ED9C7">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61FD2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508BF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0094E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日常工作（F01）</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5B2A1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饮酒报备</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0172D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（6）报备 报备制度：制度文件展示。报备：报备信息查询、审批。</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5731D4">
            <w:pPr>
              <w:jc w:val="center"/>
              <w:rPr>
                <w:rFonts w:hint="eastAsia" w:ascii="宋体" w:hAnsi="宋体" w:eastAsia="宋体" w:cs="宋体"/>
                <w:i w:val="0"/>
                <w:color w:val="auto"/>
                <w:sz w:val="21"/>
                <w:szCs w:val="21"/>
                <w:highlight w:val="none"/>
                <w:u w:val="none"/>
              </w:rPr>
            </w:pPr>
          </w:p>
        </w:tc>
      </w:tr>
      <w:tr w14:paraId="43BDF315">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FA778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2624C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E94C7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日常工作（F01）</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4A709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自我测评</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E39BA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（7）评价 SCL-90得分数据列表，支持查看各项得分明细。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7021B8">
            <w:pPr>
              <w:jc w:val="center"/>
              <w:rPr>
                <w:rFonts w:hint="eastAsia" w:ascii="宋体" w:hAnsi="宋体" w:eastAsia="宋体" w:cs="宋体"/>
                <w:i w:val="0"/>
                <w:color w:val="auto"/>
                <w:sz w:val="21"/>
                <w:szCs w:val="21"/>
                <w:highlight w:val="none"/>
                <w:u w:val="none"/>
              </w:rPr>
            </w:pPr>
          </w:p>
        </w:tc>
      </w:tr>
      <w:tr w14:paraId="069B3F11">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B66F7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19552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863DB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日常工作（F01）</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F9B69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综合下载</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B1542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（8）综合下载 常用文件/软件下载。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892574">
            <w:pPr>
              <w:jc w:val="center"/>
              <w:rPr>
                <w:rFonts w:hint="eastAsia" w:ascii="宋体" w:hAnsi="宋体" w:eastAsia="宋体" w:cs="宋体"/>
                <w:i w:val="0"/>
                <w:color w:val="auto"/>
                <w:sz w:val="21"/>
                <w:szCs w:val="21"/>
                <w:highlight w:val="none"/>
                <w:u w:val="none"/>
              </w:rPr>
            </w:pPr>
          </w:p>
        </w:tc>
      </w:tr>
      <w:tr w14:paraId="3BC0E3EC">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F7878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68350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5E751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日常工作（F01）</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74302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警情</w:t>
            </w:r>
            <w:r>
              <w:rPr>
                <w:rFonts w:hint="eastAsia" w:ascii="宋体" w:hAnsi="宋体" w:cs="宋体"/>
                <w:i w:val="0"/>
                <w:color w:val="auto"/>
                <w:kern w:val="0"/>
                <w:sz w:val="21"/>
                <w:szCs w:val="21"/>
                <w:highlight w:val="none"/>
                <w:u w:val="none"/>
                <w:lang w:val="en-US" w:eastAsia="zh-CN" w:bidi="ar"/>
              </w:rPr>
              <w:t>分析</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554BF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（9）警情监测 警情案件监测数据，支持处置、推送相关负责人。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F202FC">
            <w:pPr>
              <w:jc w:val="center"/>
              <w:rPr>
                <w:rFonts w:hint="eastAsia" w:ascii="宋体" w:hAnsi="宋体" w:eastAsia="宋体" w:cs="宋体"/>
                <w:i w:val="0"/>
                <w:color w:val="auto"/>
                <w:sz w:val="21"/>
                <w:szCs w:val="21"/>
                <w:highlight w:val="none"/>
                <w:u w:val="none"/>
              </w:rPr>
            </w:pPr>
          </w:p>
        </w:tc>
      </w:tr>
      <w:tr w14:paraId="2A41ADB4">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55E77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208C6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FF7E9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AI工具（F02）</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FD16C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知识论坛</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2F773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智慧论坛：交流、研提的主阵地。</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C39A26">
            <w:pPr>
              <w:jc w:val="center"/>
              <w:rPr>
                <w:rFonts w:hint="eastAsia" w:ascii="宋体" w:hAnsi="宋体" w:eastAsia="宋体" w:cs="宋体"/>
                <w:i w:val="0"/>
                <w:color w:val="auto"/>
                <w:sz w:val="21"/>
                <w:szCs w:val="21"/>
                <w:highlight w:val="none"/>
                <w:u w:val="none"/>
              </w:rPr>
            </w:pPr>
          </w:p>
        </w:tc>
      </w:tr>
      <w:tr w14:paraId="0BB18C12">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16D82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CE1A5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4B0E2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AI工具（F02）</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DD1B9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亭警察助手</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3DF68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亭警助手-赋能源头接警：根据手机号研判人员信息、历史警情、前科劣迹。</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666A43">
            <w:pPr>
              <w:jc w:val="center"/>
              <w:rPr>
                <w:rFonts w:hint="eastAsia" w:ascii="宋体" w:hAnsi="宋体" w:eastAsia="宋体" w:cs="宋体"/>
                <w:i w:val="0"/>
                <w:color w:val="auto"/>
                <w:sz w:val="21"/>
                <w:szCs w:val="21"/>
                <w:highlight w:val="none"/>
                <w:u w:val="none"/>
              </w:rPr>
            </w:pPr>
          </w:p>
        </w:tc>
      </w:tr>
      <w:tr w14:paraId="630B7585">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DC7EA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666F8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3B5DD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AI工具（F02）</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1317E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亭警察助手</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6A74A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亭警助手-赋能处警反馈：一键填充规范模板、关联涉警人员信息。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83BB78">
            <w:pPr>
              <w:jc w:val="center"/>
              <w:rPr>
                <w:rFonts w:hint="eastAsia" w:ascii="宋体" w:hAnsi="宋体" w:eastAsia="宋体" w:cs="宋体"/>
                <w:i w:val="0"/>
                <w:color w:val="auto"/>
                <w:sz w:val="21"/>
                <w:szCs w:val="21"/>
                <w:highlight w:val="none"/>
                <w:u w:val="none"/>
              </w:rPr>
            </w:pPr>
          </w:p>
        </w:tc>
      </w:tr>
      <w:tr w14:paraId="676CE726">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0B642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7F645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3ED4D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AI工具（F02）</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47D6D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亭警察助手</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93B23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亭警助手-赋能质量监督：处警类别智能判别。</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BE187B">
            <w:pPr>
              <w:jc w:val="center"/>
              <w:rPr>
                <w:rFonts w:hint="eastAsia" w:ascii="宋体" w:hAnsi="宋体" w:eastAsia="宋体" w:cs="宋体"/>
                <w:i w:val="0"/>
                <w:color w:val="auto"/>
                <w:sz w:val="21"/>
                <w:szCs w:val="21"/>
                <w:highlight w:val="none"/>
                <w:u w:val="none"/>
              </w:rPr>
            </w:pPr>
          </w:p>
        </w:tc>
      </w:tr>
      <w:tr w14:paraId="77542B41">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EED61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43BED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D542A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AI工具（F02）</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87FC5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亭警察助手</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03F36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亭警助手-赋能统计分析：日常警情、案件统计。</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91A7BC">
            <w:pPr>
              <w:jc w:val="center"/>
              <w:rPr>
                <w:rFonts w:hint="eastAsia" w:ascii="宋体" w:hAnsi="宋体" w:eastAsia="宋体" w:cs="宋体"/>
                <w:i w:val="0"/>
                <w:color w:val="auto"/>
                <w:sz w:val="21"/>
                <w:szCs w:val="21"/>
                <w:highlight w:val="none"/>
                <w:u w:val="none"/>
              </w:rPr>
            </w:pPr>
          </w:p>
        </w:tc>
      </w:tr>
      <w:tr w14:paraId="00ADBE52">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1D4D0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837D6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734B2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AI工具（F02）</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0948D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亭警察助手</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A70A7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笔录补全：询问受害人后一键辅助生成细节分问。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2E12A6">
            <w:pPr>
              <w:jc w:val="center"/>
              <w:rPr>
                <w:rFonts w:hint="eastAsia" w:ascii="宋体" w:hAnsi="宋体" w:eastAsia="宋体" w:cs="宋体"/>
                <w:i w:val="0"/>
                <w:color w:val="auto"/>
                <w:sz w:val="21"/>
                <w:szCs w:val="21"/>
                <w:highlight w:val="none"/>
                <w:u w:val="none"/>
              </w:rPr>
            </w:pPr>
          </w:p>
        </w:tc>
      </w:tr>
      <w:tr w14:paraId="2207DAE8">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64F10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C8742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14744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AI工具（F02）</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8E57C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亭警察助手</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F6057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关系图谱助手：材料形成思维导图。</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129103">
            <w:pPr>
              <w:jc w:val="center"/>
              <w:rPr>
                <w:rFonts w:hint="eastAsia" w:ascii="宋体" w:hAnsi="宋体" w:eastAsia="宋体" w:cs="宋体"/>
                <w:i w:val="0"/>
                <w:color w:val="auto"/>
                <w:sz w:val="21"/>
                <w:szCs w:val="21"/>
                <w:highlight w:val="none"/>
                <w:u w:val="none"/>
              </w:rPr>
            </w:pPr>
          </w:p>
        </w:tc>
      </w:tr>
      <w:tr w14:paraId="771C31B5">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6D054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9454C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3DB30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AI工具（F02）</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AFAAF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亭警察助手</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E1ED0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图片排版助手：图片自动排版</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C92446">
            <w:pPr>
              <w:jc w:val="center"/>
              <w:rPr>
                <w:rFonts w:hint="eastAsia" w:ascii="宋体" w:hAnsi="宋体" w:eastAsia="宋体" w:cs="宋体"/>
                <w:i w:val="0"/>
                <w:color w:val="auto"/>
                <w:sz w:val="21"/>
                <w:szCs w:val="21"/>
                <w:highlight w:val="none"/>
                <w:u w:val="none"/>
              </w:rPr>
            </w:pPr>
          </w:p>
        </w:tc>
      </w:tr>
      <w:tr w14:paraId="54893BCA">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BA1DB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A84F8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C5909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AI工具（F02）</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67F6C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亭警察助手</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4A201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语音识别助手：会议录音文字转换（Funsound工具）。</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EC881E">
            <w:pPr>
              <w:jc w:val="center"/>
              <w:rPr>
                <w:rFonts w:hint="eastAsia" w:ascii="宋体" w:hAnsi="宋体" w:eastAsia="宋体" w:cs="宋体"/>
                <w:i w:val="0"/>
                <w:color w:val="auto"/>
                <w:sz w:val="21"/>
                <w:szCs w:val="21"/>
                <w:highlight w:val="none"/>
                <w:u w:val="none"/>
              </w:rPr>
            </w:pPr>
          </w:p>
        </w:tc>
      </w:tr>
      <w:tr w14:paraId="5D4A6238">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72DAD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D2987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85430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AI工具（F02）</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CCAAD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亭警察助手</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82BB8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警情搜索：警情/案件数据管理，支持方案保存。</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A45401">
            <w:pPr>
              <w:jc w:val="center"/>
              <w:rPr>
                <w:rFonts w:hint="eastAsia" w:ascii="宋体" w:hAnsi="宋体" w:eastAsia="宋体" w:cs="宋体"/>
                <w:i w:val="0"/>
                <w:color w:val="auto"/>
                <w:sz w:val="21"/>
                <w:szCs w:val="21"/>
                <w:highlight w:val="none"/>
                <w:u w:val="none"/>
              </w:rPr>
            </w:pPr>
          </w:p>
        </w:tc>
      </w:tr>
      <w:tr w14:paraId="6FEBE68B">
        <w:tblPrEx>
          <w:shd w:val="clear" w:color="auto" w:fill="auto"/>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06426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AF6F2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30C08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系统管理（F03）</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5F5298">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CD474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用户管理：增删改查、配置用户角色。授权管理：添加/删除授权人员。模块使用统计：展示各模块使用人、部门、使用次数。</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041FB7">
            <w:pPr>
              <w:jc w:val="center"/>
              <w:rPr>
                <w:rFonts w:hint="eastAsia" w:ascii="宋体" w:hAnsi="宋体" w:eastAsia="宋体" w:cs="宋体"/>
                <w:i w:val="0"/>
                <w:color w:val="auto"/>
                <w:sz w:val="21"/>
                <w:szCs w:val="21"/>
                <w:highlight w:val="none"/>
                <w:u w:val="none"/>
              </w:rPr>
            </w:pPr>
          </w:p>
        </w:tc>
      </w:tr>
      <w:tr w14:paraId="367EF656">
        <w:tblPrEx>
          <w:shd w:val="clear" w:color="auto" w:fill="auto"/>
          <w:tblCellMar>
            <w:top w:w="0" w:type="dxa"/>
            <w:left w:w="0" w:type="dxa"/>
            <w:bottom w:w="0" w:type="dxa"/>
            <w:right w:w="0" w:type="dxa"/>
          </w:tblCellMar>
        </w:tblPrEx>
        <w:trPr>
          <w:trHeight w:val="243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59E26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D84F6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9B780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监督激励（F04）</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86D8D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F8B29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（1）反向监督 首页：多维度统计展示监督情况。事项登记：监督者添加事项记录，审核整改（督察大队/法制大队）。我的事项：被通报者查看事项并提交整改。人员分析：个人被通报数量与得分。单位分析：各单位得分统计。曝光平台：查看所有“公开”事项记录。统计分析：各派出所事项类型问题数和整改率。</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0C1B89">
            <w:pPr>
              <w:jc w:val="center"/>
              <w:rPr>
                <w:rFonts w:hint="eastAsia" w:ascii="宋体" w:hAnsi="宋体" w:eastAsia="宋体" w:cs="宋体"/>
                <w:i w:val="0"/>
                <w:color w:val="auto"/>
                <w:sz w:val="21"/>
                <w:szCs w:val="21"/>
                <w:highlight w:val="none"/>
                <w:u w:val="none"/>
              </w:rPr>
            </w:pPr>
          </w:p>
        </w:tc>
      </w:tr>
      <w:tr w14:paraId="521138FF">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26025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31B4E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3F85A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监督激励（F04）</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61F7CA">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5DA94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（2）正向激励 首页：多维度统计展示激励情况。激励登记：激励记录的增删改查、导入导出。民意审核：审核民警发布的“警情民意”。</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072320">
            <w:pPr>
              <w:jc w:val="center"/>
              <w:rPr>
                <w:rFonts w:hint="eastAsia" w:ascii="宋体" w:hAnsi="宋体" w:eastAsia="宋体" w:cs="宋体"/>
                <w:i w:val="0"/>
                <w:color w:val="auto"/>
                <w:sz w:val="21"/>
                <w:szCs w:val="21"/>
                <w:highlight w:val="none"/>
                <w:u w:val="none"/>
              </w:rPr>
            </w:pPr>
          </w:p>
        </w:tc>
      </w:tr>
      <w:tr w14:paraId="47059E61">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6D6A1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9FC92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F6B0A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登录方式</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567DA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AFF3FC">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手机验证码登录、证书登录。</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888A34">
            <w:pPr>
              <w:jc w:val="center"/>
              <w:rPr>
                <w:rFonts w:hint="eastAsia" w:ascii="宋体" w:hAnsi="宋体" w:eastAsia="宋体" w:cs="宋体"/>
                <w:i w:val="0"/>
                <w:color w:val="auto"/>
                <w:sz w:val="21"/>
                <w:szCs w:val="21"/>
                <w:highlight w:val="none"/>
                <w:u w:val="none"/>
              </w:rPr>
            </w:pPr>
          </w:p>
        </w:tc>
      </w:tr>
      <w:tr w14:paraId="79E8E44D">
        <w:tblPrEx>
          <w:shd w:val="clear" w:color="auto" w:fill="auto"/>
          <w:tblCellMar>
            <w:top w:w="0" w:type="dxa"/>
            <w:left w:w="0" w:type="dxa"/>
            <w:bottom w:w="0" w:type="dxa"/>
            <w:right w:w="0" w:type="dxa"/>
          </w:tblCellMar>
        </w:tblPrEx>
        <w:trPr>
          <w:trHeight w:val="243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20048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9B29A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村居后台管理模块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8B4B4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用户列表</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D03A44">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1D0B3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用于分页展示系统所有用户的基本信息。列表展示的字段包括：用户名、昵称、电子邮箱、手机号、头像、登录时间、登录IP、是否管理员标识、账号状态以及操作按钮。页面提供编辑和导出功能，支持按条件查询筛选。为了提升操作效率，用户点击登录IP列或状态列的对应值时，系统会自动以该值为条件进行快速搜索。</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B7B71C">
            <w:pPr>
              <w:jc w:val="center"/>
              <w:rPr>
                <w:rFonts w:hint="eastAsia" w:ascii="宋体" w:hAnsi="宋体" w:eastAsia="宋体" w:cs="宋体"/>
                <w:i w:val="0"/>
                <w:color w:val="auto"/>
                <w:sz w:val="21"/>
                <w:szCs w:val="21"/>
                <w:highlight w:val="none"/>
                <w:u w:val="none"/>
              </w:rPr>
            </w:pPr>
          </w:p>
        </w:tc>
      </w:tr>
      <w:tr w14:paraId="43BF95EE">
        <w:tblPrEx>
          <w:shd w:val="clear" w:color="auto" w:fill="auto"/>
          <w:tblCellMar>
            <w:top w:w="0" w:type="dxa"/>
            <w:left w:w="0" w:type="dxa"/>
            <w:bottom w:w="0" w:type="dxa"/>
            <w:right w:w="0" w:type="dxa"/>
          </w:tblCellMar>
        </w:tblPrEx>
        <w:trPr>
          <w:trHeight w:val="243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CC541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DD88E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村居后台管理模块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937B0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隐患信息</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5343B2">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DB956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按状态分为三个分类页面：全部、已核查、未核查，用户可点击对应类别切换查看不同状态的隐患信息。列表展示的字段包括：ID、Yhuid、隐患分类、录入时间、所属辖区、隐患地址、检查情况、状态、推送信息以及创建时间。页面提供编辑、导入、导出功能，支持条件查询筛选。点击状态列的对应值可快速搜索该状态下的所有隐患记录。</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A7B391">
            <w:pPr>
              <w:jc w:val="center"/>
              <w:rPr>
                <w:rFonts w:hint="eastAsia" w:ascii="宋体" w:hAnsi="宋体" w:eastAsia="宋体" w:cs="宋体"/>
                <w:i w:val="0"/>
                <w:color w:val="auto"/>
                <w:sz w:val="21"/>
                <w:szCs w:val="21"/>
                <w:highlight w:val="none"/>
                <w:u w:val="none"/>
              </w:rPr>
            </w:pPr>
          </w:p>
        </w:tc>
      </w:tr>
      <w:tr w14:paraId="2F5F5C92">
        <w:tblPrEx>
          <w:shd w:val="clear" w:color="auto" w:fill="auto"/>
          <w:tblCellMar>
            <w:top w:w="0" w:type="dxa"/>
            <w:left w:w="0" w:type="dxa"/>
            <w:bottom w:w="0" w:type="dxa"/>
            <w:right w:w="0" w:type="dxa"/>
          </w:tblCellMar>
        </w:tblPrEx>
        <w:trPr>
          <w:trHeight w:val="270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218B2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BE1D4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村居后台管理模块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29415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随访管理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304397">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1CA39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按状态分为三个分类页面：全部、已随访、未随访，用户可点击对应类别切换查看不同状态的随访记录。列表展示的字段包括：ID、Jf_id、民警姓名、民警手机号、精神病人姓名、开始时间、结束时间、地址、状态、创建时间以及随访时间。页面提供编辑、导入、导出功能，支持条件查询筛选。点击状态列的对应值可快速搜索该状态下的所有随访记录。</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806375">
            <w:pPr>
              <w:jc w:val="center"/>
              <w:rPr>
                <w:rFonts w:hint="eastAsia" w:ascii="宋体" w:hAnsi="宋体" w:eastAsia="宋体" w:cs="宋体"/>
                <w:i w:val="0"/>
                <w:color w:val="auto"/>
                <w:sz w:val="21"/>
                <w:szCs w:val="21"/>
                <w:highlight w:val="none"/>
                <w:u w:val="none"/>
              </w:rPr>
            </w:pPr>
          </w:p>
        </w:tc>
      </w:tr>
      <w:tr w14:paraId="798E44D3">
        <w:tblPrEx>
          <w:shd w:val="clear" w:color="auto" w:fill="auto"/>
          <w:tblCellMar>
            <w:top w:w="0" w:type="dxa"/>
            <w:left w:w="0" w:type="dxa"/>
            <w:bottom w:w="0" w:type="dxa"/>
            <w:right w:w="0" w:type="dxa"/>
          </w:tblCellMar>
        </w:tblPrEx>
        <w:trPr>
          <w:trHeight w:val="297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025C3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7330F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村居后台管理模块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67721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预警信息</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C3557A">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46E67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按状态分为四个分类页面：全部、待签收、已处置、处置中，用户可点击对应类别切换查看不同状态的预警信息。列表展示的字段包括：ID、预警编号、姓名、预警标题、预警模块、预警类型、预警操作、预警级别、预警时间、民警姓名、民警手机号、状态、推送信息以及创建时间。页面提供导入、导出功能，支持条件查询筛选。点击状态列或推送列的对应值可快速搜索相关预警记录。</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8630FC">
            <w:pPr>
              <w:jc w:val="center"/>
              <w:rPr>
                <w:rFonts w:hint="eastAsia" w:ascii="宋体" w:hAnsi="宋体" w:eastAsia="宋体" w:cs="宋体"/>
                <w:i w:val="0"/>
                <w:color w:val="auto"/>
                <w:sz w:val="21"/>
                <w:szCs w:val="21"/>
                <w:highlight w:val="none"/>
                <w:u w:val="none"/>
              </w:rPr>
            </w:pPr>
          </w:p>
        </w:tc>
      </w:tr>
      <w:tr w14:paraId="6726C2AF">
        <w:tblPrEx>
          <w:shd w:val="clear" w:color="auto" w:fill="auto"/>
          <w:tblCellMar>
            <w:top w:w="0" w:type="dxa"/>
            <w:left w:w="0" w:type="dxa"/>
            <w:bottom w:w="0" w:type="dxa"/>
            <w:right w:w="0" w:type="dxa"/>
          </w:tblCellMar>
        </w:tblPrEx>
        <w:trPr>
          <w:trHeight w:val="35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0A76E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23DC4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村居后台管理模块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3264E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API访问监测分析</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568681">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65F3E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该模块是系统的API监控与分析中心，分为三个子模块： （1）基础数据模块：按不同时间维度通过多种图表形式展示API访问的核心指标，包括请求次数、平均处理时间、错误率占比以及接口总数等信息。 （2）趋势数据模块：通过五张折线图展示API访问的变化趋势，具体包括：每分钟请求次数、每分钟平均处理时间、每小时请求次数、每小时平均处理时间、每天请求次数。 （3）请求列表模块：分页展示所有API请求的详细信息。列表字段包括：ID、用户名、请求地址、请求方法、IP地址、UA信息。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4E2F47">
            <w:pPr>
              <w:jc w:val="center"/>
              <w:rPr>
                <w:rFonts w:hint="eastAsia" w:ascii="宋体" w:hAnsi="宋体" w:eastAsia="宋体" w:cs="宋体"/>
                <w:i w:val="0"/>
                <w:color w:val="auto"/>
                <w:sz w:val="21"/>
                <w:szCs w:val="21"/>
                <w:highlight w:val="none"/>
                <w:u w:val="none"/>
              </w:rPr>
            </w:pPr>
          </w:p>
        </w:tc>
      </w:tr>
      <w:tr w14:paraId="03EEB44D">
        <w:tblPrEx>
          <w:shd w:val="clear" w:color="auto" w:fill="auto"/>
          <w:tblCellMar>
            <w:top w:w="0" w:type="dxa"/>
            <w:left w:w="0" w:type="dxa"/>
            <w:bottom w:w="0" w:type="dxa"/>
            <w:right w:w="0" w:type="dxa"/>
          </w:tblCellMar>
        </w:tblPrEx>
        <w:trPr>
          <w:trHeight w:val="13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70C65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5D2DB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村居文件传输模块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4DCFB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项目概述</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79CE3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5E124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文件传输是亭安小程序的功能模块之一，用于在移动端进行文件传输和共享。支持图片、文档等类型文件的发送和接收，方便警务人员之间快速传递工作材料。</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C3E1C4">
            <w:pPr>
              <w:jc w:val="center"/>
              <w:rPr>
                <w:rFonts w:hint="eastAsia" w:ascii="宋体" w:hAnsi="宋体" w:eastAsia="宋体" w:cs="宋体"/>
                <w:i w:val="0"/>
                <w:color w:val="auto"/>
                <w:sz w:val="21"/>
                <w:szCs w:val="21"/>
                <w:highlight w:val="none"/>
                <w:u w:val="none"/>
              </w:rPr>
            </w:pPr>
          </w:p>
        </w:tc>
      </w:tr>
      <w:tr w14:paraId="37A3E61B">
        <w:tblPrEx>
          <w:shd w:val="clear" w:color="auto" w:fill="auto"/>
          <w:tblCellMar>
            <w:top w:w="0" w:type="dxa"/>
            <w:left w:w="0" w:type="dxa"/>
            <w:bottom w:w="0" w:type="dxa"/>
            <w:right w:w="0" w:type="dxa"/>
          </w:tblCellMar>
        </w:tblPrEx>
        <w:trPr>
          <w:trHeight w:val="13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EF6C0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6E8E8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村居事项报修模块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0B4A6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报修单查看与跟踪</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60C371">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83A23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检修列表页展示所有报修单（按状态分类）。检修详情页展示完整报修信息和流程进度。支持状态流转可视化（已提交 → 已分配 → 已检修 → 已完成）。</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57C169">
            <w:pPr>
              <w:jc w:val="center"/>
              <w:rPr>
                <w:rFonts w:hint="eastAsia" w:ascii="宋体" w:hAnsi="宋体" w:eastAsia="宋体" w:cs="宋体"/>
                <w:i w:val="0"/>
                <w:color w:val="auto"/>
                <w:sz w:val="21"/>
                <w:szCs w:val="21"/>
                <w:highlight w:val="none"/>
                <w:u w:val="none"/>
              </w:rPr>
            </w:pPr>
          </w:p>
        </w:tc>
      </w:tr>
      <w:tr w14:paraId="02A45B4A">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383DF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B601E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村居事项报修模块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EE67D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分配检修人</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5EAA5B">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1BBCD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报修部门民警可将报修单分配给本部门检修人。支持选择检修人并确认分配。分配后报修单状态更新为“已分配”。</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AA241A">
            <w:pPr>
              <w:jc w:val="center"/>
              <w:rPr>
                <w:rFonts w:hint="eastAsia" w:ascii="宋体" w:hAnsi="宋体" w:eastAsia="宋体" w:cs="宋体"/>
                <w:i w:val="0"/>
                <w:color w:val="auto"/>
                <w:sz w:val="21"/>
                <w:szCs w:val="21"/>
                <w:highlight w:val="none"/>
                <w:u w:val="none"/>
              </w:rPr>
            </w:pPr>
          </w:p>
        </w:tc>
      </w:tr>
      <w:tr w14:paraId="3FFF468C">
        <w:tblPrEx>
          <w:shd w:val="clear" w:color="auto" w:fill="auto"/>
          <w:tblCellMar>
            <w:top w:w="0" w:type="dxa"/>
            <w:left w:w="0" w:type="dxa"/>
            <w:bottom w:w="0" w:type="dxa"/>
            <w:right w:w="0" w:type="dxa"/>
          </w:tblCellMar>
        </w:tblPrEx>
        <w:trPr>
          <w:trHeight w:val="13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9DB7B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D000F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村居事项报修模块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00992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录入检修结果</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7B1CF7">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95BF5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检修人接收分配任务后，在检修页面录入检修结果。录入内容包括：检修情况描述、处理方式、完成时间等。提交后报修单状态更新为“已完成”，流程结束。</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391F99">
            <w:pPr>
              <w:jc w:val="center"/>
              <w:rPr>
                <w:rFonts w:hint="eastAsia" w:ascii="宋体" w:hAnsi="宋体" w:eastAsia="宋体" w:cs="宋体"/>
                <w:i w:val="0"/>
                <w:color w:val="auto"/>
                <w:sz w:val="21"/>
                <w:szCs w:val="21"/>
                <w:highlight w:val="none"/>
                <w:u w:val="none"/>
              </w:rPr>
            </w:pPr>
          </w:p>
        </w:tc>
      </w:tr>
      <w:tr w14:paraId="5AAA9C64">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3584A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CE733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村居事项报修模块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7AE60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流程闭环管理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71AF3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B7B8B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报修单从录入 → 分配 → 检修 → 完成，形成完整闭环。每个环节均有操作入口和状态记录。支持流程追溯与历史查看。</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B74411">
            <w:pPr>
              <w:jc w:val="center"/>
              <w:rPr>
                <w:rFonts w:hint="eastAsia" w:ascii="宋体" w:hAnsi="宋体" w:eastAsia="宋体" w:cs="宋体"/>
                <w:i w:val="0"/>
                <w:color w:val="auto"/>
                <w:sz w:val="21"/>
                <w:szCs w:val="21"/>
                <w:highlight w:val="none"/>
                <w:u w:val="none"/>
              </w:rPr>
            </w:pPr>
          </w:p>
        </w:tc>
      </w:tr>
      <w:tr w14:paraId="68CB91C6">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D4F37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D7A57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村居事项报修模块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D4CEE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H5 移动端适配</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4F3B07">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81ACC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基于 H5 技术，支持手机/平板等移动设备访问。界面简洁，操作便捷，适合一线民警现场使用。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93FF3B">
            <w:pPr>
              <w:jc w:val="center"/>
              <w:rPr>
                <w:rFonts w:hint="eastAsia" w:ascii="宋体" w:hAnsi="宋体" w:eastAsia="宋体" w:cs="宋体"/>
                <w:i w:val="0"/>
                <w:color w:val="auto"/>
                <w:sz w:val="21"/>
                <w:szCs w:val="21"/>
                <w:highlight w:val="none"/>
                <w:u w:val="none"/>
              </w:rPr>
            </w:pPr>
          </w:p>
        </w:tc>
      </w:tr>
      <w:tr w14:paraId="228F2524">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F039C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FD6E6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村居随手拍模块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FD77D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快速拍摄入口</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F4686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B5045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用户（民警）通过 H5 首页或悬浮按钮快速进入拍摄界面。一键启动相机，支持连拍和多图选择。拍照后即时预览，支持重拍或确认上传。</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C804B8">
            <w:pPr>
              <w:jc w:val="center"/>
              <w:rPr>
                <w:rFonts w:hint="eastAsia" w:ascii="宋体" w:hAnsi="宋体" w:eastAsia="宋体" w:cs="宋体"/>
                <w:i w:val="0"/>
                <w:color w:val="auto"/>
                <w:sz w:val="21"/>
                <w:szCs w:val="21"/>
                <w:highlight w:val="none"/>
                <w:u w:val="none"/>
              </w:rPr>
            </w:pPr>
          </w:p>
        </w:tc>
      </w:tr>
      <w:tr w14:paraId="40C53499">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26E11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18B72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村居随手拍模块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A18D5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地理位置自动获取</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1F27DA">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44320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拍照时自动获取当前 GPS 地理位置信息。照片嵌入经纬度、地址名称等水印信息。支持地图校正和手动调整定位。确保拍摄地点真实可追溯。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053FAE">
            <w:pPr>
              <w:jc w:val="center"/>
              <w:rPr>
                <w:rFonts w:hint="eastAsia" w:ascii="宋体" w:hAnsi="宋体" w:eastAsia="宋体" w:cs="宋体"/>
                <w:i w:val="0"/>
                <w:color w:val="auto"/>
                <w:sz w:val="21"/>
                <w:szCs w:val="21"/>
                <w:highlight w:val="none"/>
                <w:u w:val="none"/>
              </w:rPr>
            </w:pPr>
          </w:p>
        </w:tc>
      </w:tr>
      <w:tr w14:paraId="62D33436">
        <w:tblPrEx>
          <w:shd w:val="clear" w:color="auto" w:fill="auto"/>
          <w:tblCellMar>
            <w:top w:w="0" w:type="dxa"/>
            <w:left w:w="0" w:type="dxa"/>
            <w:bottom w:w="0" w:type="dxa"/>
            <w:right w:w="0" w:type="dxa"/>
          </w:tblCellMar>
        </w:tblPrEx>
        <w:trPr>
          <w:trHeight w:val="13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F1A27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FDD22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村居随手拍模块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3BB60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现场拍照上传</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60DC58">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020A7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支持高清拍照或从相册选择图片。自动添加时间、地点、拍摄人信息水印。支持添加文字说明和标签分类。拍照后即时上传，离线时本地缓存待网络恢复后自动同步。</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D2F5A9">
            <w:pPr>
              <w:jc w:val="center"/>
              <w:rPr>
                <w:rFonts w:hint="eastAsia" w:ascii="宋体" w:hAnsi="宋体" w:eastAsia="宋体" w:cs="宋体"/>
                <w:i w:val="0"/>
                <w:color w:val="auto"/>
                <w:sz w:val="21"/>
                <w:szCs w:val="21"/>
                <w:highlight w:val="none"/>
                <w:u w:val="none"/>
              </w:rPr>
            </w:pPr>
          </w:p>
        </w:tc>
      </w:tr>
      <w:tr w14:paraId="0FB6DBEE">
        <w:tblPrEx>
          <w:shd w:val="clear" w:color="auto" w:fill="auto"/>
          <w:tblCellMar>
            <w:top w:w="0" w:type="dxa"/>
            <w:left w:w="0" w:type="dxa"/>
            <w:bottom w:w="0" w:type="dxa"/>
            <w:right w:w="0" w:type="dxa"/>
          </w:tblCellMar>
        </w:tblPrEx>
        <w:trPr>
          <w:trHeight w:val="13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52285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B6A91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村居亭搜模块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784D3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多维度人员模糊检索</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96BCD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5287A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支持通过身份证、手机号、车牌号、农机号等关键标识快速定位人员。支持年龄段、性别、籍贯、姓名等模糊条件组合筛选。多字段灵活输入，智能匹配返回结果。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0CD3AE">
            <w:pPr>
              <w:jc w:val="center"/>
              <w:rPr>
                <w:rFonts w:hint="eastAsia" w:ascii="宋体" w:hAnsi="宋体" w:eastAsia="宋体" w:cs="宋体"/>
                <w:i w:val="0"/>
                <w:color w:val="auto"/>
                <w:sz w:val="21"/>
                <w:szCs w:val="21"/>
                <w:highlight w:val="none"/>
                <w:u w:val="none"/>
              </w:rPr>
            </w:pPr>
          </w:p>
        </w:tc>
      </w:tr>
      <w:tr w14:paraId="5AF994A1">
        <w:tblPrEx>
          <w:shd w:val="clear" w:color="auto" w:fill="auto"/>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4F8E1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684C7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村居亭搜模块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CBBAE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单位信息模糊查询</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7FD9A1">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B9ACE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支持通过单位名称、单位地址进行模糊检索。快速定位目标单位，展示单位基本信息。列表页清晰展示查询结果，便于浏览和选择。</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3DF23D">
            <w:pPr>
              <w:jc w:val="center"/>
              <w:rPr>
                <w:rFonts w:hint="eastAsia" w:ascii="宋体" w:hAnsi="宋体" w:eastAsia="宋体" w:cs="宋体"/>
                <w:i w:val="0"/>
                <w:color w:val="auto"/>
                <w:sz w:val="21"/>
                <w:szCs w:val="21"/>
                <w:highlight w:val="none"/>
                <w:u w:val="none"/>
              </w:rPr>
            </w:pPr>
          </w:p>
        </w:tc>
      </w:tr>
      <w:tr w14:paraId="337D3351">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2C366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FDD2F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村居亭搜模块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89E9F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场所码快捷查询</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B8917A">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0F81A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支持场所码精准查询。快速定位特定场所信息，满足疫情防控或治安管理需求。</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4EDE63">
            <w:pPr>
              <w:jc w:val="center"/>
              <w:rPr>
                <w:rFonts w:hint="eastAsia" w:ascii="宋体" w:hAnsi="宋体" w:eastAsia="宋体" w:cs="宋体"/>
                <w:i w:val="0"/>
                <w:color w:val="auto"/>
                <w:sz w:val="21"/>
                <w:szCs w:val="21"/>
                <w:highlight w:val="none"/>
                <w:u w:val="none"/>
              </w:rPr>
            </w:pPr>
          </w:p>
        </w:tc>
      </w:tr>
      <w:tr w14:paraId="7084A473">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895C3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64564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村居亭搜模块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629EC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列表页结果展示</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3DE78C">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75C6A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查询结果以列表形式统一展示。关键信息卡片化呈现，一目了然。支持点击查看详情，查看完整信息。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E0E609">
            <w:pPr>
              <w:jc w:val="center"/>
              <w:rPr>
                <w:rFonts w:hint="eastAsia" w:ascii="宋体" w:hAnsi="宋体" w:eastAsia="宋体" w:cs="宋体"/>
                <w:i w:val="0"/>
                <w:color w:val="auto"/>
                <w:sz w:val="21"/>
                <w:szCs w:val="21"/>
                <w:highlight w:val="none"/>
                <w:u w:val="none"/>
              </w:rPr>
            </w:pPr>
          </w:p>
        </w:tc>
      </w:tr>
      <w:tr w14:paraId="36078079">
        <w:tblPrEx>
          <w:tblCellMar>
            <w:top w:w="0" w:type="dxa"/>
            <w:left w:w="0" w:type="dxa"/>
            <w:bottom w:w="0" w:type="dxa"/>
            <w:right w:w="0" w:type="dxa"/>
          </w:tblCellMar>
        </w:tblPrEx>
        <w:trPr>
          <w:trHeight w:val="13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6F11A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64F23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村居赋能接处警模块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7A5DC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首页信息聚合</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A76AF3">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6F70F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民警接警警情列表集中展示，快速掌握待处理任务。应急作战列表实时更新，重大警情一目了然。派警通知提醒与应急作战通知提醒双通道推送，确保信息不遗漏。</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9DBFA6">
            <w:pPr>
              <w:jc w:val="center"/>
              <w:rPr>
                <w:rFonts w:hint="eastAsia" w:ascii="宋体" w:hAnsi="宋体" w:eastAsia="宋体" w:cs="宋体"/>
                <w:i w:val="0"/>
                <w:color w:val="auto"/>
                <w:sz w:val="21"/>
                <w:szCs w:val="21"/>
                <w:highlight w:val="none"/>
                <w:u w:val="none"/>
              </w:rPr>
            </w:pPr>
          </w:p>
        </w:tc>
      </w:tr>
      <w:tr w14:paraId="46D3ECFF">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D13CE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89D45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村居赋能接处警模块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F0BF4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警情详情可视化</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1A2423">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EE564C">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平台派警警情详情内容完整展示，关键信息清晰呈现。当前警情位置地图展示，支持导航定位，快速抵达现场。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ACA6C0">
            <w:pPr>
              <w:jc w:val="center"/>
              <w:rPr>
                <w:rFonts w:hint="eastAsia" w:ascii="宋体" w:hAnsi="宋体" w:eastAsia="宋体" w:cs="宋体"/>
                <w:i w:val="0"/>
                <w:color w:val="auto"/>
                <w:sz w:val="21"/>
                <w:szCs w:val="21"/>
                <w:highlight w:val="none"/>
                <w:u w:val="none"/>
              </w:rPr>
            </w:pPr>
          </w:p>
        </w:tc>
      </w:tr>
      <w:tr w14:paraId="7DF6A9B0">
        <w:tblPrEx>
          <w:shd w:val="clear" w:color="auto" w:fill="auto"/>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2CC34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CF3EA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村居赋能接处警模块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ED9BE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智能接警处置</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0E9556">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A5022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民警一键接警，操作简便快捷。自动发送当前民警实时位置H5短信，便于报警人识别。实时推送接警状态和数据给平台，实现信息同步。</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2BF1D8">
            <w:pPr>
              <w:jc w:val="center"/>
              <w:rPr>
                <w:rFonts w:hint="eastAsia" w:ascii="宋体" w:hAnsi="宋体" w:eastAsia="宋体" w:cs="宋体"/>
                <w:i w:val="0"/>
                <w:color w:val="auto"/>
                <w:sz w:val="21"/>
                <w:szCs w:val="21"/>
                <w:highlight w:val="none"/>
                <w:u w:val="none"/>
              </w:rPr>
            </w:pPr>
          </w:p>
        </w:tc>
      </w:tr>
      <w:tr w14:paraId="7231CC5C">
        <w:tblPrEx>
          <w:tblCellMar>
            <w:top w:w="0" w:type="dxa"/>
            <w:left w:w="0" w:type="dxa"/>
            <w:bottom w:w="0" w:type="dxa"/>
            <w:right w:w="0" w:type="dxa"/>
          </w:tblCellMar>
        </w:tblPrEx>
        <w:trPr>
          <w:trHeight w:val="162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1E73F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CF0F2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村居赋能接处警模块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8C08A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赋能支撑研判</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6BF847">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7249B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派警自动研判报警人信息和历史报警信息，提供决策参考。根据关键字智能推送法律支撑信息，现场执法有据可依。赋能支撑列表分类展示，未读数量醒目标识。支持已读标记和详情查看，赋能支撑语音录音上传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DA502E">
            <w:pPr>
              <w:jc w:val="center"/>
              <w:rPr>
                <w:rFonts w:hint="eastAsia" w:ascii="宋体" w:hAnsi="宋体" w:eastAsia="宋体" w:cs="宋体"/>
                <w:i w:val="0"/>
                <w:color w:val="auto"/>
                <w:sz w:val="21"/>
                <w:szCs w:val="21"/>
                <w:highlight w:val="none"/>
                <w:u w:val="none"/>
              </w:rPr>
            </w:pPr>
          </w:p>
        </w:tc>
      </w:tr>
      <w:tr w14:paraId="3D4F7683">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7C9FD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C21C4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村居赋能接处警模块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29A5A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到达现场确认</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DAFA9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05B9E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民警到达现场一键确认，状态实时更新。自动推送到达现场状态和数据给平台，轨迹可追溯。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93A30D">
            <w:pPr>
              <w:jc w:val="center"/>
              <w:rPr>
                <w:rFonts w:hint="eastAsia" w:ascii="宋体" w:hAnsi="宋体" w:eastAsia="宋体" w:cs="宋体"/>
                <w:i w:val="0"/>
                <w:color w:val="auto"/>
                <w:sz w:val="21"/>
                <w:szCs w:val="21"/>
                <w:highlight w:val="none"/>
                <w:u w:val="none"/>
              </w:rPr>
            </w:pPr>
          </w:p>
        </w:tc>
      </w:tr>
      <w:tr w14:paraId="123D58C9">
        <w:tblPrEx>
          <w:shd w:val="clear" w:color="auto" w:fill="auto"/>
          <w:tblCellMar>
            <w:top w:w="0" w:type="dxa"/>
            <w:left w:w="0" w:type="dxa"/>
            <w:bottom w:w="0" w:type="dxa"/>
            <w:right w:w="0" w:type="dxa"/>
          </w:tblCellMar>
        </w:tblPrEx>
        <w:trPr>
          <w:trHeight w:val="162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EBCC2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E11D6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村居赋能接处警模块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CCB85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现场信息管理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7450B1">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C6B19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现场人员管理：列表展示、新增录入、身份证/姓名/性别/出生日期搜索全市常住/暂住人口、信息编辑删除。现场车辆管理：列表展示、录入、编辑、删除。现场取证：拍摄现场照片并上传、现场信息备注保存。</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F12D2B">
            <w:pPr>
              <w:jc w:val="center"/>
              <w:rPr>
                <w:rFonts w:hint="eastAsia" w:ascii="宋体" w:hAnsi="宋体" w:eastAsia="宋体" w:cs="宋体"/>
                <w:i w:val="0"/>
                <w:color w:val="auto"/>
                <w:sz w:val="21"/>
                <w:szCs w:val="21"/>
                <w:highlight w:val="none"/>
                <w:u w:val="none"/>
              </w:rPr>
            </w:pPr>
          </w:p>
        </w:tc>
      </w:tr>
      <w:tr w14:paraId="7B9747C2">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8766A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5FB9A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村居赋能接处警模块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AB423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警情标签分类</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57ED98">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C979E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已选择警情标签直观展示，便于快速识别。警情标签字典表支持多选，标签选择后即时保存。</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FD543E">
            <w:pPr>
              <w:jc w:val="center"/>
              <w:rPr>
                <w:rFonts w:hint="eastAsia" w:ascii="宋体" w:hAnsi="宋体" w:eastAsia="宋体" w:cs="宋体"/>
                <w:i w:val="0"/>
                <w:color w:val="auto"/>
                <w:sz w:val="21"/>
                <w:szCs w:val="21"/>
                <w:highlight w:val="none"/>
                <w:u w:val="none"/>
              </w:rPr>
            </w:pPr>
          </w:p>
        </w:tc>
      </w:tr>
      <w:tr w14:paraId="2FB55F7C">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378D3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4E41E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村居赋能接处警模块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CAAB1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现场结案反馈</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FB985D">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8F558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更新现场已结状态，流程闭环管理。推送现场已结状态和数据给平台，完成处置归档。</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6EB8A4">
            <w:pPr>
              <w:jc w:val="center"/>
              <w:rPr>
                <w:rFonts w:hint="eastAsia" w:ascii="宋体" w:hAnsi="宋体" w:eastAsia="宋体" w:cs="宋体"/>
                <w:i w:val="0"/>
                <w:color w:val="auto"/>
                <w:sz w:val="21"/>
                <w:szCs w:val="21"/>
                <w:highlight w:val="none"/>
                <w:u w:val="none"/>
              </w:rPr>
            </w:pPr>
          </w:p>
        </w:tc>
      </w:tr>
      <w:tr w14:paraId="394E59AA">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27BB1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03CB0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村居赋能接处警模块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2262E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应急作战协同</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8A8724">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5A979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接收应急作战背景和搜捕目标推送，情报实时同步。应急作战详情完整展示，参战民警一键参战并推送平台。</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45BF9C">
            <w:pPr>
              <w:jc w:val="center"/>
              <w:rPr>
                <w:rFonts w:hint="eastAsia" w:ascii="宋体" w:hAnsi="宋体" w:eastAsia="宋体" w:cs="宋体"/>
                <w:i w:val="0"/>
                <w:color w:val="auto"/>
                <w:sz w:val="21"/>
                <w:szCs w:val="21"/>
                <w:highlight w:val="none"/>
                <w:u w:val="none"/>
              </w:rPr>
            </w:pPr>
          </w:p>
        </w:tc>
      </w:tr>
      <w:tr w14:paraId="3823B9F4">
        <w:tblPrEx>
          <w:shd w:val="clear" w:color="auto" w:fill="auto"/>
          <w:tblCellMar>
            <w:top w:w="0" w:type="dxa"/>
            <w:left w:w="0" w:type="dxa"/>
            <w:bottom w:w="0" w:type="dxa"/>
            <w:right w:w="0" w:type="dxa"/>
          </w:tblCellMar>
        </w:tblPrEx>
        <w:trPr>
          <w:trHeight w:val="162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EC08A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55867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村居赋能接处警模块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5AB4D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情报指令响应</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7E1D23">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951E6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未读情报指令数量实时展示，提醒及时处理。情报指令已读功能，阅读状态可追踪。推送情报指令通知提醒，确保指令必达。指令列表分类管理，支持“已收到”“已到达”状态反馈并推送平台。</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68AF69">
            <w:pPr>
              <w:jc w:val="center"/>
              <w:rPr>
                <w:rFonts w:hint="eastAsia" w:ascii="宋体" w:hAnsi="宋体" w:eastAsia="宋体" w:cs="宋体"/>
                <w:i w:val="0"/>
                <w:color w:val="auto"/>
                <w:sz w:val="21"/>
                <w:szCs w:val="21"/>
                <w:highlight w:val="none"/>
                <w:u w:val="none"/>
              </w:rPr>
            </w:pPr>
          </w:p>
        </w:tc>
      </w:tr>
      <w:tr w14:paraId="0B8CC170">
        <w:tblPrEx>
          <w:shd w:val="clear" w:color="auto" w:fill="auto"/>
          <w:tblCellMar>
            <w:top w:w="0" w:type="dxa"/>
            <w:left w:w="0" w:type="dxa"/>
            <w:bottom w:w="0" w:type="dxa"/>
            <w:right w:w="0" w:type="dxa"/>
          </w:tblCellMar>
        </w:tblPrEx>
        <w:trPr>
          <w:trHeight w:val="13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DA86C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9446A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村居赋能接处警模块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F150A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多元信息上报</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43BA12">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62469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现场照片保存并推送给平台，影像资料实时回传。现场语音录入保存并推送给平台，快速记录关键信息。现场文字输入保存并推送给平台，灵活适配不同场景。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1EF245">
            <w:pPr>
              <w:jc w:val="center"/>
              <w:rPr>
                <w:rFonts w:hint="eastAsia" w:ascii="宋体" w:hAnsi="宋体" w:eastAsia="宋体" w:cs="宋体"/>
                <w:i w:val="0"/>
                <w:color w:val="auto"/>
                <w:sz w:val="21"/>
                <w:szCs w:val="21"/>
                <w:highlight w:val="none"/>
                <w:u w:val="none"/>
              </w:rPr>
            </w:pPr>
          </w:p>
        </w:tc>
      </w:tr>
      <w:tr w14:paraId="14986E67">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274E8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C2565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村居赋能接处警模块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44B92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安全身份认证</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FAF216">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15E5A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通过警务通SDK获取当前设备民警身份信息，确保使用安全。账号密码登录与加密卡一键登录双模式，兼顾便捷与安全。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600D31">
            <w:pPr>
              <w:jc w:val="center"/>
              <w:rPr>
                <w:rFonts w:hint="eastAsia" w:ascii="宋体" w:hAnsi="宋体" w:eastAsia="宋体" w:cs="宋体"/>
                <w:i w:val="0"/>
                <w:color w:val="auto"/>
                <w:sz w:val="21"/>
                <w:szCs w:val="21"/>
                <w:highlight w:val="none"/>
                <w:u w:val="none"/>
              </w:rPr>
            </w:pPr>
          </w:p>
        </w:tc>
      </w:tr>
      <w:tr w14:paraId="46CEA365">
        <w:tblPrEx>
          <w:shd w:val="clear" w:color="auto" w:fill="auto"/>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18A84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CB532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村居赋能接处警模块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1AC7D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个人中心管理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5BD586">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A2FA6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展示民警姓名和警号，身份标识清晰。支持修改当前用户登录密码，自主管理账户安全。一键退出登录当前用户，操作便捷。</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936C07">
            <w:pPr>
              <w:jc w:val="center"/>
              <w:rPr>
                <w:rFonts w:hint="eastAsia" w:ascii="宋体" w:hAnsi="宋体" w:eastAsia="宋体" w:cs="宋体"/>
                <w:i w:val="0"/>
                <w:color w:val="auto"/>
                <w:sz w:val="21"/>
                <w:szCs w:val="21"/>
                <w:highlight w:val="none"/>
                <w:u w:val="none"/>
              </w:rPr>
            </w:pPr>
          </w:p>
        </w:tc>
      </w:tr>
      <w:tr w14:paraId="65B1BE22">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D013C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0D450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村居摄像头点位检查模块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B750D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点位选择</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781027">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C96CA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按派出所、警务区、网格筛选，支持名称/编号模糊搜索，列表展示位置、类型、所属单位。</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F7AEC9">
            <w:pPr>
              <w:jc w:val="center"/>
              <w:rPr>
                <w:rFonts w:hint="eastAsia" w:ascii="宋体" w:hAnsi="宋体" w:eastAsia="宋体" w:cs="宋体"/>
                <w:i w:val="0"/>
                <w:color w:val="auto"/>
                <w:sz w:val="21"/>
                <w:szCs w:val="21"/>
                <w:highlight w:val="none"/>
                <w:u w:val="none"/>
              </w:rPr>
            </w:pPr>
          </w:p>
        </w:tc>
      </w:tr>
      <w:tr w14:paraId="57759B42">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3915C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8C251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村居摄像头点位检查模块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E018A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检查填写</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B60B7D">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82722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选择正常/离线/画面模糊/角度偏移/设备损坏等结果，填写异常描述及处理建议，支持现场拍照。</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AAD497">
            <w:pPr>
              <w:jc w:val="center"/>
              <w:rPr>
                <w:rFonts w:hint="eastAsia" w:ascii="宋体" w:hAnsi="宋体" w:eastAsia="宋体" w:cs="宋体"/>
                <w:i w:val="0"/>
                <w:color w:val="auto"/>
                <w:sz w:val="21"/>
                <w:szCs w:val="21"/>
                <w:highlight w:val="none"/>
                <w:u w:val="none"/>
              </w:rPr>
            </w:pPr>
          </w:p>
        </w:tc>
      </w:tr>
      <w:tr w14:paraId="6483CA2E">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9A6EA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DDD8E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村居摄像头点位检查模块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A07F7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信息自动填充</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5BB032">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7BFAB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自动获取检查人姓名、单位、警号、检查时间及GPS位置。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D901CF">
            <w:pPr>
              <w:jc w:val="center"/>
              <w:rPr>
                <w:rFonts w:hint="eastAsia" w:ascii="宋体" w:hAnsi="宋体" w:eastAsia="宋体" w:cs="宋体"/>
                <w:i w:val="0"/>
                <w:color w:val="auto"/>
                <w:sz w:val="21"/>
                <w:szCs w:val="21"/>
                <w:highlight w:val="none"/>
                <w:u w:val="none"/>
              </w:rPr>
            </w:pPr>
          </w:p>
        </w:tc>
      </w:tr>
      <w:tr w14:paraId="0DB9B3FE">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D8BF4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EF1B9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村居摄像头点位检查模块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6B3A1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提交与同步</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B31C4D">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48B33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表单校验后一键提交，支持离线暂存、网络恢复后自动同步，生成检查单号。</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F4D239">
            <w:pPr>
              <w:jc w:val="center"/>
              <w:rPr>
                <w:rFonts w:hint="eastAsia" w:ascii="宋体" w:hAnsi="宋体" w:eastAsia="宋体" w:cs="宋体"/>
                <w:i w:val="0"/>
                <w:color w:val="auto"/>
                <w:sz w:val="21"/>
                <w:szCs w:val="21"/>
                <w:highlight w:val="none"/>
                <w:u w:val="none"/>
              </w:rPr>
            </w:pPr>
          </w:p>
        </w:tc>
      </w:tr>
      <w:tr w14:paraId="5416C4B0">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9D1C7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D5A6A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村居摄像头点位检查模块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7E3A2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历史查询</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CA921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51D51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按时间、点位、检查人、结果筛选，支持详情查看及报表导出。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C2B5EF">
            <w:pPr>
              <w:jc w:val="center"/>
              <w:rPr>
                <w:rFonts w:hint="eastAsia" w:ascii="宋体" w:hAnsi="宋体" w:eastAsia="宋体" w:cs="宋体"/>
                <w:i w:val="0"/>
                <w:color w:val="auto"/>
                <w:sz w:val="21"/>
                <w:szCs w:val="21"/>
                <w:highlight w:val="none"/>
                <w:u w:val="none"/>
              </w:rPr>
            </w:pPr>
          </w:p>
        </w:tc>
      </w:tr>
      <w:tr w14:paraId="657F7195">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5FA74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A57A6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村居感知运维模块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A4D1B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双端协同设计</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A97F4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71967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Web管理后台：面向公安人员、系统管理员，提供全局配置、数据管理与监控。小程序端：面向运维人员和群众，支持设备绑定、报修、运维操作。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A5AA27">
            <w:pPr>
              <w:jc w:val="center"/>
              <w:rPr>
                <w:rFonts w:hint="eastAsia" w:ascii="宋体" w:hAnsi="宋体" w:eastAsia="宋体" w:cs="宋体"/>
                <w:i w:val="0"/>
                <w:color w:val="auto"/>
                <w:sz w:val="21"/>
                <w:szCs w:val="21"/>
                <w:highlight w:val="none"/>
                <w:u w:val="none"/>
              </w:rPr>
            </w:pPr>
          </w:p>
        </w:tc>
      </w:tr>
      <w:tr w14:paraId="4879C47E">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3605C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262B5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村居感知运维模块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F381B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运维管理闭环</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0ED206">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0ECA5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二维码绑定 → 点位/设备信息管理 → 运维记录（群众举报 + 运维人员提交）→ 维修跟踪。支持设备与二维码绑定，批量操作，提升运维效率。</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E03EAB">
            <w:pPr>
              <w:jc w:val="center"/>
              <w:rPr>
                <w:rFonts w:hint="eastAsia" w:ascii="宋体" w:hAnsi="宋体" w:eastAsia="宋体" w:cs="宋体"/>
                <w:i w:val="0"/>
                <w:color w:val="auto"/>
                <w:sz w:val="21"/>
                <w:szCs w:val="21"/>
                <w:highlight w:val="none"/>
                <w:u w:val="none"/>
              </w:rPr>
            </w:pPr>
          </w:p>
        </w:tc>
      </w:tr>
      <w:tr w14:paraId="0D39F1AA">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2FE71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47F65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村居感知运维模块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C5BF0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调解管理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FE972B">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61012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支持调解新闻、案例的编辑与发布，用于宣传或案例展示。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9511E1">
            <w:pPr>
              <w:jc w:val="center"/>
              <w:rPr>
                <w:rFonts w:hint="eastAsia" w:ascii="宋体" w:hAnsi="宋体" w:eastAsia="宋体" w:cs="宋体"/>
                <w:i w:val="0"/>
                <w:color w:val="auto"/>
                <w:sz w:val="21"/>
                <w:szCs w:val="21"/>
                <w:highlight w:val="none"/>
                <w:u w:val="none"/>
              </w:rPr>
            </w:pPr>
          </w:p>
        </w:tc>
      </w:tr>
      <w:tr w14:paraId="3694B38F">
        <w:tblPrEx>
          <w:shd w:val="clear" w:color="auto" w:fill="auto"/>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DB53F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C7918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村居感知运维模块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7F3FE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系统管理能力完善</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20A27B">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13414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用户、角色、部门、菜单、权限、日志等模块齐全，支持细粒度的权限控制。支持按部门、用户名、手机号、状态、时间等多维度查询。</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5AC44F">
            <w:pPr>
              <w:jc w:val="center"/>
              <w:rPr>
                <w:rFonts w:hint="eastAsia" w:ascii="宋体" w:hAnsi="宋体" w:eastAsia="宋体" w:cs="宋体"/>
                <w:i w:val="0"/>
                <w:color w:val="auto"/>
                <w:sz w:val="21"/>
                <w:szCs w:val="21"/>
                <w:highlight w:val="none"/>
                <w:u w:val="none"/>
              </w:rPr>
            </w:pPr>
          </w:p>
        </w:tc>
      </w:tr>
      <w:tr w14:paraId="0C0F1FB8">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B82A9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7A7FA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村居感知运维模块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2C179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群众参与机制</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0374E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863FF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群众通过扫码即可提交报修信息，降低报修门槛，提升问题响应速度。</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ADDD65">
            <w:pPr>
              <w:jc w:val="center"/>
              <w:rPr>
                <w:rFonts w:hint="eastAsia" w:ascii="宋体" w:hAnsi="宋体" w:eastAsia="宋体" w:cs="宋体"/>
                <w:i w:val="0"/>
                <w:color w:val="auto"/>
                <w:sz w:val="21"/>
                <w:szCs w:val="21"/>
                <w:highlight w:val="none"/>
                <w:u w:val="none"/>
              </w:rPr>
            </w:pPr>
          </w:p>
        </w:tc>
      </w:tr>
      <w:tr w14:paraId="42138A0F">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3A848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787DE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村居感知运维模块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90579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日志审计</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6309D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6E845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记录用户登录、增删改查等操作，便于追踪和审计。</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23051F">
            <w:pPr>
              <w:jc w:val="center"/>
              <w:rPr>
                <w:rFonts w:hint="eastAsia" w:ascii="宋体" w:hAnsi="宋体" w:eastAsia="宋体" w:cs="宋体"/>
                <w:i w:val="0"/>
                <w:color w:val="auto"/>
                <w:sz w:val="21"/>
                <w:szCs w:val="21"/>
                <w:highlight w:val="none"/>
                <w:u w:val="none"/>
              </w:rPr>
            </w:pPr>
          </w:p>
        </w:tc>
      </w:tr>
      <w:tr w14:paraId="34ABCB43">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0741C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C07DB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村居感知运维模块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449F6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多项目、多设备统一管理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B9A38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79060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支持不同项目的点位信息、设备信息统一导入与监控。</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B4CBDF">
            <w:pPr>
              <w:jc w:val="center"/>
              <w:rPr>
                <w:rFonts w:hint="eastAsia" w:ascii="宋体" w:hAnsi="宋体" w:eastAsia="宋体" w:cs="宋体"/>
                <w:i w:val="0"/>
                <w:color w:val="auto"/>
                <w:sz w:val="21"/>
                <w:szCs w:val="21"/>
                <w:highlight w:val="none"/>
                <w:u w:val="none"/>
              </w:rPr>
            </w:pPr>
          </w:p>
        </w:tc>
      </w:tr>
      <w:tr w14:paraId="0DEC5E68">
        <w:tblPrEx>
          <w:tblCellMar>
            <w:top w:w="0" w:type="dxa"/>
            <w:left w:w="0" w:type="dxa"/>
            <w:bottom w:w="0" w:type="dxa"/>
            <w:right w:w="0" w:type="dxa"/>
          </w:tblCellMar>
        </w:tblPrEx>
        <w:trPr>
          <w:trHeight w:val="13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A8003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A2882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村居警情标签模块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EB7B6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警情质量管控</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87A18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3C3C9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33项问题数据：接处警规范性检查。七何要素问题：何人、何事、何时、何地、何因、何物、何果要素完整性。发生原因问题、警情属性问题、重复警情问题。警情整改：问题闭环跟踪。</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7DD125">
            <w:pPr>
              <w:jc w:val="center"/>
              <w:rPr>
                <w:rFonts w:hint="eastAsia" w:ascii="宋体" w:hAnsi="宋体" w:eastAsia="宋体" w:cs="宋体"/>
                <w:i w:val="0"/>
                <w:color w:val="auto"/>
                <w:sz w:val="21"/>
                <w:szCs w:val="21"/>
                <w:highlight w:val="none"/>
                <w:u w:val="none"/>
              </w:rPr>
            </w:pPr>
          </w:p>
        </w:tc>
      </w:tr>
      <w:tr w14:paraId="16939A90">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7BC69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2B53C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村居警情标签模块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25CE0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敏感警情监控</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516D13">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301F4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敏感词库管理（增删改查）。敏感警情自动识别与列表展示。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40B5CC">
            <w:pPr>
              <w:jc w:val="center"/>
              <w:rPr>
                <w:rFonts w:hint="eastAsia" w:ascii="宋体" w:hAnsi="宋体" w:eastAsia="宋体" w:cs="宋体"/>
                <w:i w:val="0"/>
                <w:color w:val="auto"/>
                <w:sz w:val="21"/>
                <w:szCs w:val="21"/>
                <w:highlight w:val="none"/>
                <w:u w:val="none"/>
              </w:rPr>
            </w:pPr>
          </w:p>
        </w:tc>
      </w:tr>
      <w:tr w14:paraId="7C2BB370">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ED069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1ECBE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村居警情标签模块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8E07F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推送管理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29F334">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C6CAE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模板管理（添加、编辑、删除、推送）。推送记录追溯。支持批量推送到指定单位。</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8F416C">
            <w:pPr>
              <w:jc w:val="center"/>
              <w:rPr>
                <w:rFonts w:hint="eastAsia" w:ascii="宋体" w:hAnsi="宋体" w:eastAsia="宋体" w:cs="宋体"/>
                <w:i w:val="0"/>
                <w:color w:val="auto"/>
                <w:sz w:val="21"/>
                <w:szCs w:val="21"/>
                <w:highlight w:val="none"/>
                <w:u w:val="none"/>
              </w:rPr>
            </w:pPr>
          </w:p>
        </w:tc>
      </w:tr>
      <w:tr w14:paraId="7735B0F1">
        <w:tblPrEx>
          <w:shd w:val="clear" w:color="auto" w:fill="auto"/>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A4F4B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73FAD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村居警情标签模块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DF102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警情治理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FD8778">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6AEDA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分类治理：四类纠纷、涉赌、涉娼、精神病人、涉校涉生警情。批量推送/无需推送。全量数据查询与详情查看。统计分析图表展示。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527C97">
            <w:pPr>
              <w:jc w:val="center"/>
              <w:rPr>
                <w:rFonts w:hint="eastAsia" w:ascii="宋体" w:hAnsi="宋体" w:eastAsia="宋体" w:cs="宋体"/>
                <w:i w:val="0"/>
                <w:color w:val="auto"/>
                <w:sz w:val="21"/>
                <w:szCs w:val="21"/>
                <w:highlight w:val="none"/>
                <w:u w:val="none"/>
              </w:rPr>
            </w:pPr>
          </w:p>
        </w:tc>
      </w:tr>
      <w:tr w14:paraId="2599B397">
        <w:tblPrEx>
          <w:shd w:val="clear" w:color="auto" w:fill="auto"/>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4498A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41EC6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村居警情标签模块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FC623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系统管理能力</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239C2B">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3AADA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标签管理（树形结构，支持目录/标签两种节点类型）。标签属性集（属性值配置，支持多级属性值）。支持属性导入/导出。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4784F1">
            <w:pPr>
              <w:jc w:val="center"/>
              <w:rPr>
                <w:rFonts w:hint="eastAsia" w:ascii="宋体" w:hAnsi="宋体" w:eastAsia="宋体" w:cs="宋体"/>
                <w:i w:val="0"/>
                <w:color w:val="auto"/>
                <w:sz w:val="21"/>
                <w:szCs w:val="21"/>
                <w:highlight w:val="none"/>
                <w:u w:val="none"/>
              </w:rPr>
            </w:pPr>
          </w:p>
        </w:tc>
      </w:tr>
      <w:tr w14:paraId="0AA7D487">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EE721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A6608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村居警情标签模块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6E0D8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第三方数据对接</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B595C1">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94796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对接市局接警数据接口。对接市局处警数据接口。</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6D2CCC">
            <w:pPr>
              <w:jc w:val="center"/>
              <w:rPr>
                <w:rFonts w:hint="eastAsia" w:ascii="宋体" w:hAnsi="宋体" w:eastAsia="宋体" w:cs="宋体"/>
                <w:i w:val="0"/>
                <w:color w:val="auto"/>
                <w:sz w:val="21"/>
                <w:szCs w:val="21"/>
                <w:highlight w:val="none"/>
                <w:u w:val="none"/>
              </w:rPr>
            </w:pPr>
          </w:p>
        </w:tc>
      </w:tr>
      <w:tr w14:paraId="61C46F55">
        <w:tblPrEx>
          <w:shd w:val="clear" w:color="auto" w:fill="auto"/>
          <w:tblCellMar>
            <w:top w:w="0" w:type="dxa"/>
            <w:left w:w="0" w:type="dxa"/>
            <w:bottom w:w="0" w:type="dxa"/>
            <w:right w:w="0" w:type="dxa"/>
          </w:tblCellMar>
        </w:tblPrEx>
        <w:trPr>
          <w:trHeight w:val="297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F5464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0CEED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村居案例宣传模块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BFEF0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案例录入提交</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F8D812">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01EFC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填写诈骗类型、涉案金额、发生地点、简要案情等信息，电子签名后提交入库。 2.视频观看 支持反诈宣传视频在线播放，可用于宣传展示。 3.海报展示 提供反诈海报案例展示与查看，方便宣传素材调用。 4.分类检索 按刷单返利、冒充公检法、杀猪盘、虚假贷款等诈骗类型快速筛选案例。 5.资源库管理 自动记录提交人、提交时间及签名信息，形成反诈宣传资源库，支持后续统计与素材复用。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31A7C8">
            <w:pPr>
              <w:jc w:val="center"/>
              <w:rPr>
                <w:rFonts w:hint="eastAsia" w:ascii="宋体" w:hAnsi="宋体" w:eastAsia="宋体" w:cs="宋体"/>
                <w:i w:val="0"/>
                <w:color w:val="auto"/>
                <w:sz w:val="21"/>
                <w:szCs w:val="21"/>
                <w:highlight w:val="none"/>
                <w:u w:val="none"/>
              </w:rPr>
            </w:pPr>
          </w:p>
        </w:tc>
      </w:tr>
      <w:tr w14:paraId="7F40D90D">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DFBB4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183DF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19DBD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可视化综合展示</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D4A2EA">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CF8A9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园区概况总览（各式图表统计）。支持地图可视化（缩放、拖动查看园区区域）。全屏切换功能。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59B73D">
            <w:pPr>
              <w:jc w:val="center"/>
              <w:rPr>
                <w:rFonts w:hint="eastAsia" w:ascii="宋体" w:hAnsi="宋体" w:eastAsia="宋体" w:cs="宋体"/>
                <w:i w:val="0"/>
                <w:color w:val="auto"/>
                <w:sz w:val="21"/>
                <w:szCs w:val="21"/>
                <w:highlight w:val="none"/>
                <w:u w:val="none"/>
              </w:rPr>
            </w:pPr>
          </w:p>
        </w:tc>
      </w:tr>
      <w:tr w14:paraId="103FFC8B">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1B17E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2BBB3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0508D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今日值班管理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C7770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2CC6C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展示当日值班民辅警及网格长（轮播展示）。支持值班人员替换和删除。点击模块跳转值班人员详情。</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E86D81">
            <w:pPr>
              <w:jc w:val="center"/>
              <w:rPr>
                <w:rFonts w:hint="eastAsia" w:ascii="宋体" w:hAnsi="宋体" w:eastAsia="宋体" w:cs="宋体"/>
                <w:i w:val="0"/>
                <w:color w:val="auto"/>
                <w:sz w:val="21"/>
                <w:szCs w:val="21"/>
                <w:highlight w:val="none"/>
                <w:u w:val="none"/>
              </w:rPr>
            </w:pPr>
          </w:p>
        </w:tc>
      </w:tr>
      <w:tr w14:paraId="33BBF225">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F5159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BDD76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13C2D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警企联动</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22F337">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CACEF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饼状图统计园区求助问题及数量。柱状图展示求助问题分类统计。点击图表分类跳转详情页面。</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998F3C">
            <w:pPr>
              <w:jc w:val="center"/>
              <w:rPr>
                <w:rFonts w:hint="eastAsia" w:ascii="宋体" w:hAnsi="宋体" w:eastAsia="宋体" w:cs="宋体"/>
                <w:i w:val="0"/>
                <w:color w:val="auto"/>
                <w:sz w:val="21"/>
                <w:szCs w:val="21"/>
                <w:highlight w:val="none"/>
                <w:u w:val="none"/>
              </w:rPr>
            </w:pPr>
          </w:p>
        </w:tc>
      </w:tr>
      <w:tr w14:paraId="54C8B2E4">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D4221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7D9E5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CA959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警情分析</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9F40E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DF321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饼状图+条形图按年份分类展示警情信息。支持按身份证号或姓名条件查询。点击颜色分类跳转详情。</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152078">
            <w:pPr>
              <w:jc w:val="center"/>
              <w:rPr>
                <w:rFonts w:hint="eastAsia" w:ascii="宋体" w:hAnsi="宋体" w:eastAsia="宋体" w:cs="宋体"/>
                <w:i w:val="0"/>
                <w:color w:val="auto"/>
                <w:sz w:val="21"/>
                <w:szCs w:val="21"/>
                <w:highlight w:val="none"/>
                <w:u w:val="none"/>
              </w:rPr>
            </w:pPr>
          </w:p>
        </w:tc>
      </w:tr>
      <w:tr w14:paraId="682F51FF">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7BA16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E9741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88865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预警分析</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F750E6">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AE244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按年份分类展示预警总数、求助预警总数。未反馈/已反馈数量统计。点击字段跳转详情。</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185651">
            <w:pPr>
              <w:jc w:val="center"/>
              <w:rPr>
                <w:rFonts w:hint="eastAsia" w:ascii="宋体" w:hAnsi="宋体" w:eastAsia="宋体" w:cs="宋体"/>
                <w:i w:val="0"/>
                <w:color w:val="auto"/>
                <w:sz w:val="21"/>
                <w:szCs w:val="21"/>
                <w:highlight w:val="none"/>
                <w:u w:val="none"/>
              </w:rPr>
            </w:pPr>
          </w:p>
        </w:tc>
      </w:tr>
      <w:tr w14:paraId="2FD85A97">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4526D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F650A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91F81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重点监控</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570488">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3454D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远程摄像头实时画面接入。支持点位画面实时查看。支持监控上墙显示。多摄像头切换查看。</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706E0E">
            <w:pPr>
              <w:jc w:val="center"/>
              <w:rPr>
                <w:rFonts w:hint="eastAsia" w:ascii="宋体" w:hAnsi="宋体" w:eastAsia="宋体" w:cs="宋体"/>
                <w:i w:val="0"/>
                <w:color w:val="auto"/>
                <w:sz w:val="21"/>
                <w:szCs w:val="21"/>
                <w:highlight w:val="none"/>
                <w:u w:val="none"/>
              </w:rPr>
            </w:pPr>
          </w:p>
        </w:tc>
      </w:tr>
      <w:tr w14:paraId="4558AC0D">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B6767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9E3AA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D643D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服务企业展示</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8246E1">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5D03F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园区点位巡逻路线图展示。饼状图统计服务数据。全屏查看巡逻路线。</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2F652F">
            <w:pPr>
              <w:jc w:val="center"/>
              <w:rPr>
                <w:rFonts w:hint="eastAsia" w:ascii="宋体" w:hAnsi="宋体" w:eastAsia="宋体" w:cs="宋体"/>
                <w:i w:val="0"/>
                <w:color w:val="auto"/>
                <w:sz w:val="21"/>
                <w:szCs w:val="21"/>
                <w:highlight w:val="none"/>
                <w:u w:val="none"/>
              </w:rPr>
            </w:pPr>
          </w:p>
        </w:tc>
      </w:tr>
      <w:tr w14:paraId="18E919C1">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B2B75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2C4E5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59620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侧边栏导航</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B5E7F4">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4FA21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园区概况、警务人员、人口管理、警企联动、重点监控、服务企业。</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C39D40">
            <w:pPr>
              <w:jc w:val="center"/>
              <w:rPr>
                <w:rFonts w:hint="eastAsia" w:ascii="宋体" w:hAnsi="宋体" w:eastAsia="宋体" w:cs="宋体"/>
                <w:i w:val="0"/>
                <w:color w:val="auto"/>
                <w:sz w:val="21"/>
                <w:szCs w:val="21"/>
                <w:highlight w:val="none"/>
                <w:u w:val="none"/>
              </w:rPr>
            </w:pPr>
          </w:p>
        </w:tc>
      </w:tr>
      <w:tr w14:paraId="62B789B0">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CA07D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C9102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AFF3A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治安状况管理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F0255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2032D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警情查询（条件搜索、Excel导出）。案件查询（条件搜索、Excel导出）。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EFD123">
            <w:pPr>
              <w:jc w:val="center"/>
              <w:rPr>
                <w:rFonts w:hint="eastAsia" w:ascii="宋体" w:hAnsi="宋体" w:eastAsia="宋体" w:cs="宋体"/>
                <w:i w:val="0"/>
                <w:color w:val="auto"/>
                <w:sz w:val="21"/>
                <w:szCs w:val="21"/>
                <w:highlight w:val="none"/>
                <w:u w:val="none"/>
              </w:rPr>
            </w:pPr>
          </w:p>
        </w:tc>
      </w:tr>
      <w:tr w14:paraId="043F2659">
        <w:tblPrEx>
          <w:tblCellMar>
            <w:top w:w="0" w:type="dxa"/>
            <w:left w:w="0" w:type="dxa"/>
            <w:bottom w:w="0" w:type="dxa"/>
            <w:right w:w="0" w:type="dxa"/>
          </w:tblCellMar>
        </w:tblPrEx>
        <w:trPr>
          <w:trHeight w:val="189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A327D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8BB0D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EF98D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智能研判</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ABB1F3">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1EEBE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人员分析：人员记录查询、预警信息查询、在逃告警查询、人脸布控（新增布控、布控记录）。车辆分析：同行记录查询、预警信息查询、车辆布控。告警模型：9类告警模型数据展示，支持条件搜索。模型说明：9类告警模型说明，支持自定义修改。</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160A5B">
            <w:pPr>
              <w:jc w:val="center"/>
              <w:rPr>
                <w:rFonts w:hint="eastAsia" w:ascii="宋体" w:hAnsi="宋体" w:eastAsia="宋体" w:cs="宋体"/>
                <w:i w:val="0"/>
                <w:color w:val="auto"/>
                <w:sz w:val="21"/>
                <w:szCs w:val="21"/>
                <w:highlight w:val="none"/>
                <w:u w:val="none"/>
              </w:rPr>
            </w:pPr>
          </w:p>
        </w:tc>
      </w:tr>
      <w:tr w14:paraId="645FC461">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C0CEA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80227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FC550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劳务管理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354141">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1AE95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背景审查（条件搜索、Excel导入）。中介信息（增删改查、导入导出、批量操作）。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226785">
            <w:pPr>
              <w:jc w:val="center"/>
              <w:rPr>
                <w:rFonts w:hint="eastAsia" w:ascii="宋体" w:hAnsi="宋体" w:eastAsia="宋体" w:cs="宋体"/>
                <w:i w:val="0"/>
                <w:color w:val="auto"/>
                <w:sz w:val="21"/>
                <w:szCs w:val="21"/>
                <w:highlight w:val="none"/>
                <w:u w:val="none"/>
              </w:rPr>
            </w:pPr>
          </w:p>
        </w:tc>
      </w:tr>
      <w:tr w14:paraId="2C5B64DB">
        <w:tblPrEx>
          <w:shd w:val="clear" w:color="auto" w:fill="auto"/>
          <w:tblCellMar>
            <w:top w:w="0" w:type="dxa"/>
            <w:left w:w="0" w:type="dxa"/>
            <w:bottom w:w="0" w:type="dxa"/>
            <w:right w:w="0" w:type="dxa"/>
          </w:tblCellMar>
        </w:tblPrEx>
        <w:trPr>
          <w:trHeight w:val="162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7BB15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F6C8B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856F7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园区信息管理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05E15F">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A672D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企业信息（增删改查、导入导出、批量操作）。人员信息（增删改查、导入导出、批量操作）。场所信息（增删改查、导入导出）。出租屋信息（增删改查、导入导出、户主/租客管理）。危化品（增删改查、导入导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082375">
            <w:pPr>
              <w:jc w:val="center"/>
              <w:rPr>
                <w:rFonts w:hint="eastAsia" w:ascii="宋体" w:hAnsi="宋体" w:eastAsia="宋体" w:cs="宋体"/>
                <w:i w:val="0"/>
                <w:color w:val="auto"/>
                <w:sz w:val="21"/>
                <w:szCs w:val="21"/>
                <w:highlight w:val="none"/>
                <w:u w:val="none"/>
              </w:rPr>
            </w:pPr>
          </w:p>
        </w:tc>
      </w:tr>
      <w:tr w14:paraId="211D24D2">
        <w:tblPrEx>
          <w:shd w:val="clear" w:color="auto" w:fill="auto"/>
          <w:tblCellMar>
            <w:top w:w="0" w:type="dxa"/>
            <w:left w:w="0" w:type="dxa"/>
            <w:bottom w:w="0" w:type="dxa"/>
            <w:right w:w="0" w:type="dxa"/>
          </w:tblCellMar>
        </w:tblPrEx>
        <w:trPr>
          <w:trHeight w:val="243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EF50D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3ABB0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FA473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服务企业管理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6C5F36">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85FF4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巡更情况（列表展示）。青洋卫士档案（条件搜索）。前科人员（增删改查、导入导出）。精神障碍患者（增删改查、导入导出）。反诈宣传（条件搜索、Excel导入）。户籍办理（条件搜索、Excel导入）。企业安保（巡逻信息、重点门岗、宿管在岗、安保部门、安保公司、安保人员，支持增删改查、导入导出、模板下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C1A56F">
            <w:pPr>
              <w:jc w:val="center"/>
              <w:rPr>
                <w:rFonts w:hint="eastAsia" w:ascii="宋体" w:hAnsi="宋体" w:eastAsia="宋体" w:cs="宋体"/>
                <w:i w:val="0"/>
                <w:color w:val="auto"/>
                <w:sz w:val="21"/>
                <w:szCs w:val="21"/>
                <w:highlight w:val="none"/>
                <w:u w:val="none"/>
              </w:rPr>
            </w:pPr>
          </w:p>
        </w:tc>
      </w:tr>
      <w:tr w14:paraId="54F542DB">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BD93F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67BA8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7A2DE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系统管理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E4F73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39599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用户权限管理（分页展示各权限用户信息）。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DDDF31">
            <w:pPr>
              <w:jc w:val="center"/>
              <w:rPr>
                <w:rFonts w:hint="eastAsia" w:ascii="宋体" w:hAnsi="宋体" w:eastAsia="宋体" w:cs="宋体"/>
                <w:i w:val="0"/>
                <w:color w:val="auto"/>
                <w:sz w:val="21"/>
                <w:szCs w:val="21"/>
                <w:highlight w:val="none"/>
                <w:u w:val="none"/>
              </w:rPr>
            </w:pPr>
          </w:p>
        </w:tc>
      </w:tr>
      <w:tr w14:paraId="4744E773">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90781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7B4B9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32944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用户操作</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A7216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C4579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返回首页大屏（房屋图标）。后台菜单切换（齿轮图标）。退出登录（关机图标）。</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A5C7B6">
            <w:pPr>
              <w:jc w:val="center"/>
              <w:rPr>
                <w:rFonts w:hint="eastAsia" w:ascii="宋体" w:hAnsi="宋体" w:eastAsia="宋体" w:cs="宋体"/>
                <w:i w:val="0"/>
                <w:color w:val="auto"/>
                <w:sz w:val="21"/>
                <w:szCs w:val="21"/>
                <w:highlight w:val="none"/>
                <w:u w:val="none"/>
              </w:rPr>
            </w:pPr>
          </w:p>
        </w:tc>
      </w:tr>
      <w:tr w14:paraId="7B72244B">
        <w:tblPrEx>
          <w:shd w:val="clear" w:color="auto" w:fill="auto"/>
          <w:tblCellMar>
            <w:top w:w="0" w:type="dxa"/>
            <w:left w:w="0" w:type="dxa"/>
            <w:bottom w:w="0" w:type="dxa"/>
            <w:right w:w="0" w:type="dxa"/>
          </w:tblCellMar>
        </w:tblPrEx>
        <w:trPr>
          <w:trHeight w:val="513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C5DA2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1461C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CF4B8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亭镜管理（人员画像与考评）</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D5CBF2">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C6245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个人档案：我的档案（个人基本信息查看）、我的画像（人员综合画像展示）、负面清单（个人负面记录）、正面清单（个人正面记录）、画像列表（全员画像列表）。 共性评价（五维评价体系）：贡献值（工作贡献量化评分）、荣誉值（获得荣誉量化评分）、考勤值（出勤情况量化评分）、能力值（业务能力量化评分）、警纪值（纪律遵守量化评分）。 个性评价（岗位分类评价）：接处警评价（接处警岗位绩效评价）、社区民警评价（社区民警岗位评价）、办案民警评价（办案民警岗位评价）、户籍窗口评价（户籍窗口服务评价）。 标签管理：人员标签配置与管理。 考评管理：负面考评（负面行为考评管理）、正面考评（正面行为考评管理）、考评申诉（考评结果申诉处理）。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70DC4F">
            <w:pPr>
              <w:jc w:val="center"/>
              <w:rPr>
                <w:rFonts w:hint="eastAsia" w:ascii="宋体" w:hAnsi="宋体" w:eastAsia="宋体" w:cs="宋体"/>
                <w:i w:val="0"/>
                <w:color w:val="auto"/>
                <w:sz w:val="21"/>
                <w:szCs w:val="21"/>
                <w:highlight w:val="none"/>
                <w:u w:val="none"/>
              </w:rPr>
            </w:pPr>
          </w:p>
        </w:tc>
      </w:tr>
      <w:tr w14:paraId="66123653">
        <w:tblPrEx>
          <w:shd w:val="clear" w:color="auto" w:fill="auto"/>
          <w:tblCellMar>
            <w:top w:w="0" w:type="dxa"/>
            <w:left w:w="0" w:type="dxa"/>
            <w:bottom w:w="0" w:type="dxa"/>
            <w:right w:w="0" w:type="dxa"/>
          </w:tblCellMar>
        </w:tblPrEx>
        <w:trPr>
          <w:trHeight w:val="40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57FD6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7BFB3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62F81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云帆管理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C5E7BF">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3C75A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队伍主管评价模块支持主管对下属人员进行季度或年度综合评价，评价维度涵盖工作态度、业务能力、团队协作、执行力等指标，评价结果自动关联至人员画像。评价记录管理功能支持查看历史评价列表，按时间、被评价人、评价等级等条件筛选，支持评价记录的编辑、删除及导出，确保评价过程可追溯。 绩效评价模块支持对人员进行月度、季度、年度绩效考核，考核规则可根据岗位类型灵活配置。绩效结果统计以图表形式展示绩效分布情况（优秀、良好、合格、待改进），支持按部门、岗位、时间范围筛选查看，并支持绩效数据导出用于评优评先参考。</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F805D9">
            <w:pPr>
              <w:jc w:val="center"/>
              <w:rPr>
                <w:rFonts w:hint="eastAsia" w:ascii="宋体" w:hAnsi="宋体" w:eastAsia="宋体" w:cs="宋体"/>
                <w:i w:val="0"/>
                <w:color w:val="auto"/>
                <w:sz w:val="21"/>
                <w:szCs w:val="21"/>
                <w:highlight w:val="none"/>
                <w:u w:val="none"/>
              </w:rPr>
            </w:pPr>
          </w:p>
        </w:tc>
      </w:tr>
      <w:tr w14:paraId="417F3B3C">
        <w:tblPrEx>
          <w:shd w:val="clear" w:color="auto" w:fill="auto"/>
          <w:tblCellMar>
            <w:top w:w="0" w:type="dxa"/>
            <w:left w:w="0" w:type="dxa"/>
            <w:bottom w:w="0" w:type="dxa"/>
            <w:right w:w="0" w:type="dxa"/>
          </w:tblCellMar>
        </w:tblPrEx>
        <w:trPr>
          <w:trHeight w:val="37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9AD58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0D262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19425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出差管理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551AA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9F6CB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出差列表展示所有出差记录，包括出差人员、目的地、起止时间、出差事由、审批状态等字段，支持按姓名、部门、时间范围、审批状态等多条件组合筛选查询。 出差报备模块支持人员在线提交出差申请，填写出差地点、时间、事由及同行人员等信息，提交后进入审批流程，审批状态实时更新，支持查看审批进度。 乘机申请模块专门针对需乘坐飞机出差的场景，支持填写航班信息、出发地、目的地、乘机时间等详细信息，与出差报备联动，提交后同步至审批流程，审批通过后可生成乘机记录用于报销与归档。</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6E9735">
            <w:pPr>
              <w:jc w:val="center"/>
              <w:rPr>
                <w:rFonts w:hint="eastAsia" w:ascii="宋体" w:hAnsi="宋体" w:eastAsia="宋体" w:cs="宋体"/>
                <w:i w:val="0"/>
                <w:color w:val="auto"/>
                <w:sz w:val="21"/>
                <w:szCs w:val="21"/>
                <w:highlight w:val="none"/>
                <w:u w:val="none"/>
              </w:rPr>
            </w:pPr>
          </w:p>
        </w:tc>
      </w:tr>
      <w:tr w14:paraId="48764683">
        <w:tblPrEx>
          <w:tblCellMar>
            <w:top w:w="0" w:type="dxa"/>
            <w:left w:w="0" w:type="dxa"/>
            <w:bottom w:w="0" w:type="dxa"/>
            <w:right w:w="0" w:type="dxa"/>
          </w:tblCellMar>
        </w:tblPrEx>
        <w:trPr>
          <w:trHeight w:val="297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B2460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967B7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83D0A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数据管理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DF6DEC">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82227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档案登记模块支持管理员录入或导入人员档案信息，包含姓名、性别、出生日期、政治面貌、学历、职级、所属部门、联系电话、入职时间等基础字段，支持档案的增删改查及批量导入导出操作。 从警经历模块用于管理警务人员的从业经历信息，记录任职单位、任职岗位、任职起止时间、职务变动、主要工作内容等，支持按人员姓名查询经历列表，支持经历的编辑、删除及导出，形成完整的个人职业发展档案。</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103053">
            <w:pPr>
              <w:jc w:val="center"/>
              <w:rPr>
                <w:rFonts w:hint="eastAsia" w:ascii="宋体" w:hAnsi="宋体" w:eastAsia="宋体" w:cs="宋体"/>
                <w:i w:val="0"/>
                <w:color w:val="auto"/>
                <w:sz w:val="21"/>
                <w:szCs w:val="21"/>
                <w:highlight w:val="none"/>
                <w:u w:val="none"/>
              </w:rPr>
            </w:pPr>
          </w:p>
        </w:tc>
      </w:tr>
      <w:tr w14:paraId="069447B4">
        <w:tblPrEx>
          <w:tblCellMar>
            <w:top w:w="0" w:type="dxa"/>
            <w:left w:w="0" w:type="dxa"/>
            <w:bottom w:w="0" w:type="dxa"/>
            <w:right w:w="0" w:type="dxa"/>
          </w:tblCellMar>
        </w:tblPrEx>
        <w:trPr>
          <w:trHeight w:val="189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FB5AB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C1DE9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7DF0C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队伍研判模块</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AEA82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22D67C">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队伍研判模块提供跳转至队伍管理平台大屏的快捷入口，大屏集中展示队伍整体分析数据，包括人员概况、出勤统计、绩效分布、正负面清单汇总、出差与请假趋势等核心指标。通过可视化图表与地图标注，辅助管理层进行队伍态势研判与决策分析。</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97070C">
            <w:pPr>
              <w:jc w:val="center"/>
              <w:rPr>
                <w:rFonts w:hint="eastAsia" w:ascii="宋体" w:hAnsi="宋体" w:eastAsia="宋体" w:cs="宋体"/>
                <w:i w:val="0"/>
                <w:color w:val="auto"/>
                <w:sz w:val="21"/>
                <w:szCs w:val="21"/>
                <w:highlight w:val="none"/>
                <w:u w:val="none"/>
              </w:rPr>
            </w:pPr>
          </w:p>
        </w:tc>
      </w:tr>
      <w:tr w14:paraId="5DA63683">
        <w:tblPrEx>
          <w:shd w:val="clear" w:color="auto" w:fill="auto"/>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608CD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8A252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FE54C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项目概述</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1FD8E8">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8A0B2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单一功能模块</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3A067B">
            <w:pPr>
              <w:jc w:val="center"/>
              <w:rPr>
                <w:rFonts w:hint="eastAsia" w:ascii="宋体" w:hAnsi="宋体" w:eastAsia="宋体" w:cs="宋体"/>
                <w:i w:val="0"/>
                <w:color w:val="auto"/>
                <w:sz w:val="21"/>
                <w:szCs w:val="21"/>
                <w:highlight w:val="none"/>
                <w:u w:val="none"/>
              </w:rPr>
            </w:pPr>
          </w:p>
        </w:tc>
      </w:tr>
      <w:tr w14:paraId="45440419">
        <w:tblPrEx>
          <w:tblCellMar>
            <w:top w:w="0" w:type="dxa"/>
            <w:left w:w="0" w:type="dxa"/>
            <w:bottom w:w="0" w:type="dxa"/>
            <w:right w:w="0" w:type="dxa"/>
          </w:tblCellMar>
        </w:tblPrEx>
        <w:trPr>
          <w:trHeight w:val="13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03BB7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1E2F8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F616D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外宿人员登记</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8D6202">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9FF4F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支持住宿人员在线提交外宿申请，填写姓名、工号、外宿时间、外宿事由、紧急联系人等信息。表单提交后自动同步至后台管理端，便于园区安保人员掌握人员外宿动态，确保园区住宿安全。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1E28F3">
            <w:pPr>
              <w:jc w:val="center"/>
              <w:rPr>
                <w:rFonts w:hint="eastAsia" w:ascii="宋体" w:hAnsi="宋体" w:eastAsia="宋体" w:cs="宋体"/>
                <w:i w:val="0"/>
                <w:color w:val="auto"/>
                <w:sz w:val="21"/>
                <w:szCs w:val="21"/>
                <w:highlight w:val="none"/>
                <w:u w:val="none"/>
              </w:rPr>
            </w:pPr>
          </w:p>
        </w:tc>
      </w:tr>
      <w:tr w14:paraId="2A16A8C8">
        <w:tblPrEx>
          <w:shd w:val="clear" w:color="auto" w:fill="auto"/>
          <w:tblCellMar>
            <w:top w:w="0" w:type="dxa"/>
            <w:left w:w="0" w:type="dxa"/>
            <w:bottom w:w="0" w:type="dxa"/>
            <w:right w:w="0" w:type="dxa"/>
          </w:tblCellMar>
        </w:tblPrEx>
        <w:trPr>
          <w:trHeight w:val="162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61B88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24807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9058A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报警求助</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C22663">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EFF8A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提供一键报警与求助通道。用户可填写求助类型（治安问题、医疗急救、火情隐患、纠纷调解等）、事发地点（支持定位获取）、现场情况描述及现场图片上传。提交后系统实时推送至园区警务站或安保中心，便于快速响应处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10C706">
            <w:pPr>
              <w:jc w:val="center"/>
              <w:rPr>
                <w:rFonts w:hint="eastAsia" w:ascii="宋体" w:hAnsi="宋体" w:eastAsia="宋体" w:cs="宋体"/>
                <w:i w:val="0"/>
                <w:color w:val="auto"/>
                <w:sz w:val="21"/>
                <w:szCs w:val="21"/>
                <w:highlight w:val="none"/>
                <w:u w:val="none"/>
              </w:rPr>
            </w:pPr>
          </w:p>
        </w:tc>
      </w:tr>
      <w:tr w14:paraId="59E457C5">
        <w:tblPrEx>
          <w:shd w:val="clear" w:color="auto" w:fill="auto"/>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DE2EF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D8389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村居项目管理模块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B4BC5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展示大屏</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CDEC5D">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E8FFE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展示本项目各类关键设备。</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0281F6">
            <w:pPr>
              <w:jc w:val="center"/>
              <w:rPr>
                <w:rFonts w:hint="eastAsia" w:ascii="宋体" w:hAnsi="宋体" w:eastAsia="宋体" w:cs="宋体"/>
                <w:i w:val="0"/>
                <w:color w:val="auto"/>
                <w:sz w:val="21"/>
                <w:szCs w:val="21"/>
                <w:highlight w:val="none"/>
                <w:u w:val="none"/>
              </w:rPr>
            </w:pPr>
          </w:p>
        </w:tc>
      </w:tr>
      <w:tr w14:paraId="2127273A">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819CB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1905B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村居项目管理模块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DB22E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车辆油耗管理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BF2994">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FB3A4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记录油耗数据，支持增删改查与导入导出。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2EEB6A">
            <w:pPr>
              <w:jc w:val="center"/>
              <w:rPr>
                <w:rFonts w:hint="eastAsia" w:ascii="宋体" w:hAnsi="宋体" w:eastAsia="宋体" w:cs="宋体"/>
                <w:i w:val="0"/>
                <w:color w:val="auto"/>
                <w:sz w:val="21"/>
                <w:szCs w:val="21"/>
                <w:highlight w:val="none"/>
                <w:u w:val="none"/>
              </w:rPr>
            </w:pPr>
          </w:p>
        </w:tc>
      </w:tr>
      <w:tr w14:paraId="33E965D6">
        <w:tblPrEx>
          <w:shd w:val="clear" w:color="auto" w:fill="auto"/>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F4DD4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E6D17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村居项目管理模块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35BED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辅材管理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829F96">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AABA7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管理各施工队耗材使用情况。</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7D0B5A">
            <w:pPr>
              <w:jc w:val="center"/>
              <w:rPr>
                <w:rFonts w:hint="eastAsia" w:ascii="宋体" w:hAnsi="宋体" w:eastAsia="宋体" w:cs="宋体"/>
                <w:i w:val="0"/>
                <w:color w:val="auto"/>
                <w:sz w:val="21"/>
                <w:szCs w:val="21"/>
                <w:highlight w:val="none"/>
                <w:u w:val="none"/>
              </w:rPr>
            </w:pPr>
          </w:p>
        </w:tc>
      </w:tr>
      <w:tr w14:paraId="5339DEDD">
        <w:tblPrEx>
          <w:shd w:val="clear" w:color="auto" w:fill="auto"/>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BC521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0F815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村居项目管理模块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5BA33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摄像头管理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E8B6EF">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C6C2C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记录摄像头的发放与使用。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AAB495">
            <w:pPr>
              <w:jc w:val="center"/>
              <w:rPr>
                <w:rFonts w:hint="eastAsia" w:ascii="宋体" w:hAnsi="宋体" w:eastAsia="宋体" w:cs="宋体"/>
                <w:i w:val="0"/>
                <w:color w:val="auto"/>
                <w:sz w:val="21"/>
                <w:szCs w:val="21"/>
                <w:highlight w:val="none"/>
                <w:u w:val="none"/>
              </w:rPr>
            </w:pPr>
          </w:p>
        </w:tc>
      </w:tr>
      <w:tr w14:paraId="5FF52F47">
        <w:tblPrEx>
          <w:shd w:val="clear" w:color="auto" w:fill="auto"/>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3A008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6F85B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村居项目管理模块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82C08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施工单位管理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870A2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CDC26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管理外包单位信息及服务情况。</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A826D6">
            <w:pPr>
              <w:jc w:val="center"/>
              <w:rPr>
                <w:rFonts w:hint="eastAsia" w:ascii="宋体" w:hAnsi="宋体" w:eastAsia="宋体" w:cs="宋体"/>
                <w:i w:val="0"/>
                <w:color w:val="auto"/>
                <w:sz w:val="21"/>
                <w:szCs w:val="21"/>
                <w:highlight w:val="none"/>
                <w:u w:val="none"/>
              </w:rPr>
            </w:pPr>
          </w:p>
        </w:tc>
      </w:tr>
      <w:tr w14:paraId="6916A8AA">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A4F4E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B9A26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村居项目管理模块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78034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车辆管理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976B12">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6EE38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记录使用单位、品牌型号、车牌号、车辆类型等信息。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2E3C91">
            <w:pPr>
              <w:jc w:val="center"/>
              <w:rPr>
                <w:rFonts w:hint="eastAsia" w:ascii="宋体" w:hAnsi="宋体" w:eastAsia="宋体" w:cs="宋体"/>
                <w:i w:val="0"/>
                <w:color w:val="auto"/>
                <w:sz w:val="21"/>
                <w:szCs w:val="21"/>
                <w:highlight w:val="none"/>
                <w:u w:val="none"/>
              </w:rPr>
            </w:pPr>
          </w:p>
        </w:tc>
      </w:tr>
      <w:tr w14:paraId="03637395">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50B30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C3AA8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村居项目管理模块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8709B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资产管理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70B021">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D37F9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管理资产编码、资产类别、品名、规格型号、使用部门、责任人、领用人、数量、价格等资产明细。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22E178">
            <w:pPr>
              <w:jc w:val="center"/>
              <w:rPr>
                <w:rFonts w:hint="eastAsia" w:ascii="宋体" w:hAnsi="宋体" w:eastAsia="宋体" w:cs="宋体"/>
                <w:i w:val="0"/>
                <w:color w:val="auto"/>
                <w:sz w:val="21"/>
                <w:szCs w:val="21"/>
                <w:highlight w:val="none"/>
                <w:u w:val="none"/>
              </w:rPr>
            </w:pPr>
          </w:p>
        </w:tc>
      </w:tr>
      <w:tr w14:paraId="7C686A78">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BDFEE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D5995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村居项目管理模块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02677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装备管理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2635B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7E11B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管理项目中应急装备、单车装备、单警装备。</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DB54E3">
            <w:pPr>
              <w:jc w:val="center"/>
              <w:rPr>
                <w:rFonts w:hint="eastAsia" w:ascii="宋体" w:hAnsi="宋体" w:eastAsia="宋体" w:cs="宋体"/>
                <w:i w:val="0"/>
                <w:color w:val="auto"/>
                <w:sz w:val="21"/>
                <w:szCs w:val="21"/>
                <w:highlight w:val="none"/>
                <w:u w:val="none"/>
              </w:rPr>
            </w:pPr>
          </w:p>
        </w:tc>
      </w:tr>
      <w:tr w14:paraId="70670E27">
        <w:tblPrEx>
          <w:shd w:val="clear" w:color="auto" w:fill="auto"/>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00B64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CB167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8C67B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社区人员统计</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E744D2">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DE545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分类统计社区人员数量。</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9DD5C1">
            <w:pPr>
              <w:jc w:val="center"/>
              <w:rPr>
                <w:rFonts w:hint="eastAsia" w:ascii="宋体" w:hAnsi="宋体" w:eastAsia="宋体" w:cs="宋体"/>
                <w:i w:val="0"/>
                <w:color w:val="auto"/>
                <w:sz w:val="21"/>
                <w:szCs w:val="21"/>
                <w:highlight w:val="none"/>
                <w:u w:val="none"/>
              </w:rPr>
            </w:pPr>
          </w:p>
        </w:tc>
      </w:tr>
      <w:tr w14:paraId="43A9BEAD">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76E86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6E895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4DD0D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人员记录管理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F51373">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91BE4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社区人员事项记录，支持按人员问题、时间、形式、是否按时化解、内容分类、问题类型等维度进行查询与统计。</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E9078F">
            <w:pPr>
              <w:jc w:val="center"/>
              <w:rPr>
                <w:rFonts w:hint="eastAsia" w:ascii="宋体" w:hAnsi="宋体" w:eastAsia="宋体" w:cs="宋体"/>
                <w:i w:val="0"/>
                <w:color w:val="auto"/>
                <w:sz w:val="21"/>
                <w:szCs w:val="21"/>
                <w:highlight w:val="none"/>
                <w:u w:val="none"/>
              </w:rPr>
            </w:pPr>
          </w:p>
        </w:tc>
      </w:tr>
      <w:tr w14:paraId="5B1F9D3F">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A2601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68D92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A8E36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人员管理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1902F4">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9E6C5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管理社区人员基本信息，支持按姓名、身份证号等条件进行查询。</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A03177">
            <w:pPr>
              <w:jc w:val="center"/>
              <w:rPr>
                <w:rFonts w:hint="eastAsia" w:ascii="宋体" w:hAnsi="宋体" w:eastAsia="宋体" w:cs="宋体"/>
                <w:i w:val="0"/>
                <w:color w:val="auto"/>
                <w:sz w:val="21"/>
                <w:szCs w:val="21"/>
                <w:highlight w:val="none"/>
                <w:u w:val="none"/>
              </w:rPr>
            </w:pPr>
          </w:p>
        </w:tc>
      </w:tr>
      <w:tr w14:paraId="0870B061">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E397B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2D1B3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14D7D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标签管理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15B522">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7B44C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对社区人员矛盾纠纷进行标签化分类管理，便于精准化解。</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80636F">
            <w:pPr>
              <w:jc w:val="center"/>
              <w:rPr>
                <w:rFonts w:hint="eastAsia" w:ascii="宋体" w:hAnsi="宋体" w:eastAsia="宋体" w:cs="宋体"/>
                <w:i w:val="0"/>
                <w:color w:val="auto"/>
                <w:sz w:val="21"/>
                <w:szCs w:val="21"/>
                <w:highlight w:val="none"/>
                <w:u w:val="none"/>
              </w:rPr>
            </w:pPr>
          </w:p>
        </w:tc>
      </w:tr>
      <w:tr w14:paraId="07A02031">
        <w:tblPrEx>
          <w:shd w:val="clear" w:color="auto" w:fill="auto"/>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E21A9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FE86F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9419F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五位一体</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FF2AB1">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442FF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管理五位一体责任体系相关信息。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2B4B1E">
            <w:pPr>
              <w:jc w:val="center"/>
              <w:rPr>
                <w:rFonts w:hint="eastAsia" w:ascii="宋体" w:hAnsi="宋体" w:eastAsia="宋体" w:cs="宋体"/>
                <w:i w:val="0"/>
                <w:color w:val="auto"/>
                <w:sz w:val="21"/>
                <w:szCs w:val="21"/>
                <w:highlight w:val="none"/>
                <w:u w:val="none"/>
              </w:rPr>
            </w:pPr>
          </w:p>
        </w:tc>
      </w:tr>
      <w:tr w14:paraId="60C91110">
        <w:tblPrEx>
          <w:shd w:val="clear" w:color="auto" w:fill="auto"/>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EC272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BD59F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C142F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AA8ACD">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AA15D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监控违法嫌疑人员购票信息。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D6EAD2">
            <w:pPr>
              <w:jc w:val="center"/>
              <w:rPr>
                <w:rFonts w:hint="eastAsia" w:ascii="宋体" w:hAnsi="宋体" w:eastAsia="宋体" w:cs="宋体"/>
                <w:i w:val="0"/>
                <w:color w:val="auto"/>
                <w:sz w:val="21"/>
                <w:szCs w:val="21"/>
                <w:highlight w:val="none"/>
                <w:u w:val="none"/>
              </w:rPr>
            </w:pPr>
          </w:p>
        </w:tc>
      </w:tr>
      <w:tr w14:paraId="167F3555">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02715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F3F10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7F515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抓拍预警</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7C0F63">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71D6B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管理抓拍预警信息，展示违法嫌疑人进出社区的抓拍人、抓拍人身份证号、抓拍总次数、最新抓拍时间、最新抓拍地点、抓拍照片等数据。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37655D">
            <w:pPr>
              <w:jc w:val="center"/>
              <w:rPr>
                <w:rFonts w:hint="eastAsia" w:ascii="宋体" w:hAnsi="宋体" w:eastAsia="宋体" w:cs="宋体"/>
                <w:i w:val="0"/>
                <w:color w:val="auto"/>
                <w:sz w:val="21"/>
                <w:szCs w:val="21"/>
                <w:highlight w:val="none"/>
                <w:u w:val="none"/>
              </w:rPr>
            </w:pPr>
          </w:p>
        </w:tc>
      </w:tr>
      <w:tr w14:paraId="24B89D01">
        <w:tblPrEx>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A0950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49071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612BB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大屏</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F67B0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64AD7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可视化展示社区工作关键指标。</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A979B2">
            <w:pPr>
              <w:jc w:val="center"/>
              <w:rPr>
                <w:rFonts w:hint="eastAsia" w:ascii="宋体" w:hAnsi="宋体" w:eastAsia="宋体" w:cs="宋体"/>
                <w:i w:val="0"/>
                <w:color w:val="auto"/>
                <w:sz w:val="21"/>
                <w:szCs w:val="21"/>
                <w:highlight w:val="none"/>
                <w:u w:val="none"/>
              </w:rPr>
            </w:pPr>
          </w:p>
        </w:tc>
      </w:tr>
      <w:tr w14:paraId="3E457832">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10C69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C275F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B53BC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预警分析</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56FB5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B4281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按个人家庭、工作情况、打击处理等维度进行预警分析。</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61A0CC">
            <w:pPr>
              <w:jc w:val="center"/>
              <w:rPr>
                <w:rFonts w:hint="eastAsia" w:ascii="宋体" w:hAnsi="宋体" w:eastAsia="宋体" w:cs="宋体"/>
                <w:i w:val="0"/>
                <w:color w:val="auto"/>
                <w:sz w:val="21"/>
                <w:szCs w:val="21"/>
                <w:highlight w:val="none"/>
                <w:u w:val="none"/>
              </w:rPr>
            </w:pPr>
          </w:p>
        </w:tc>
      </w:tr>
      <w:tr w14:paraId="361E4750">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2A1A2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67618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E32FE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矛盾登记</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7BE16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CD6C9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登记矛盾事项，包含矛盾编号、人员、矛盾内容、矛盾日期、办理单位、责任民警、矛盾状态、限办日期等信息。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0758CE">
            <w:pPr>
              <w:jc w:val="center"/>
              <w:rPr>
                <w:rFonts w:hint="eastAsia" w:ascii="宋体" w:hAnsi="宋体" w:eastAsia="宋体" w:cs="宋体"/>
                <w:i w:val="0"/>
                <w:color w:val="auto"/>
                <w:sz w:val="21"/>
                <w:szCs w:val="21"/>
                <w:highlight w:val="none"/>
                <w:u w:val="none"/>
              </w:rPr>
            </w:pPr>
          </w:p>
        </w:tc>
      </w:tr>
      <w:tr w14:paraId="2B87CE1F">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88F64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3954D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11CDA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待办事项</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9F22B6">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AD3F7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展示待处理的矛盾事项，支持已审核、未处理、待审核等状态筛选。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510616">
            <w:pPr>
              <w:jc w:val="center"/>
              <w:rPr>
                <w:rFonts w:hint="eastAsia" w:ascii="宋体" w:hAnsi="宋体" w:eastAsia="宋体" w:cs="宋体"/>
                <w:i w:val="0"/>
                <w:color w:val="auto"/>
                <w:sz w:val="21"/>
                <w:szCs w:val="21"/>
                <w:highlight w:val="none"/>
                <w:u w:val="none"/>
              </w:rPr>
            </w:pPr>
          </w:p>
        </w:tc>
      </w:tr>
      <w:tr w14:paraId="2E487B8F">
        <w:tblPrEx>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90CDC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D1EF2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EE03D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已办事项</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EC3D13">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13ACD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展示已办结的矛盾事项记录。</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E0F0CF">
            <w:pPr>
              <w:jc w:val="center"/>
              <w:rPr>
                <w:rFonts w:hint="eastAsia" w:ascii="宋体" w:hAnsi="宋体" w:eastAsia="宋体" w:cs="宋体"/>
                <w:i w:val="0"/>
                <w:color w:val="auto"/>
                <w:sz w:val="21"/>
                <w:szCs w:val="21"/>
                <w:highlight w:val="none"/>
                <w:u w:val="none"/>
              </w:rPr>
            </w:pPr>
          </w:p>
        </w:tc>
      </w:tr>
      <w:tr w14:paraId="1D4D71FC">
        <w:tblPrEx>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A6A80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21E8E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A895B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档案</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37F786">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043EE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管理矛盾历史档案信息。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0D3EA7">
            <w:pPr>
              <w:jc w:val="center"/>
              <w:rPr>
                <w:rFonts w:hint="eastAsia" w:ascii="宋体" w:hAnsi="宋体" w:eastAsia="宋体" w:cs="宋体"/>
                <w:i w:val="0"/>
                <w:color w:val="auto"/>
                <w:sz w:val="21"/>
                <w:szCs w:val="21"/>
                <w:highlight w:val="none"/>
                <w:u w:val="none"/>
              </w:rPr>
            </w:pPr>
          </w:p>
        </w:tc>
      </w:tr>
      <w:tr w14:paraId="284F09B5">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D67E8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C087C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FCB5A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监督追责</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685806">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68DA0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包含矛盾督办、矛盾事项评查、三项建议、责任追究等功能。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486B03">
            <w:pPr>
              <w:jc w:val="center"/>
              <w:rPr>
                <w:rFonts w:hint="eastAsia" w:ascii="宋体" w:hAnsi="宋体" w:eastAsia="宋体" w:cs="宋体"/>
                <w:i w:val="0"/>
                <w:color w:val="auto"/>
                <w:sz w:val="21"/>
                <w:szCs w:val="21"/>
                <w:highlight w:val="none"/>
                <w:u w:val="none"/>
              </w:rPr>
            </w:pPr>
          </w:p>
        </w:tc>
      </w:tr>
      <w:tr w14:paraId="673C54FB">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1A42F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55881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9C9BB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机构矛盾统计</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F5D1C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C1173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按今日、本周、本月、本年统计矛盾数量。</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5E5297">
            <w:pPr>
              <w:jc w:val="center"/>
              <w:rPr>
                <w:rFonts w:hint="eastAsia" w:ascii="宋体" w:hAnsi="宋体" w:eastAsia="宋体" w:cs="宋体"/>
                <w:i w:val="0"/>
                <w:color w:val="auto"/>
                <w:sz w:val="21"/>
                <w:szCs w:val="21"/>
                <w:highlight w:val="none"/>
                <w:u w:val="none"/>
              </w:rPr>
            </w:pPr>
          </w:p>
        </w:tc>
      </w:tr>
      <w:tr w14:paraId="02A8DB79">
        <w:tblPrEx>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0AEAB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8F917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A06F7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通知公告</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45F36B">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54B5B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发布矛盾相关通知公告。</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AE04FB">
            <w:pPr>
              <w:jc w:val="center"/>
              <w:rPr>
                <w:rFonts w:hint="eastAsia" w:ascii="宋体" w:hAnsi="宋体" w:eastAsia="宋体" w:cs="宋体"/>
                <w:i w:val="0"/>
                <w:color w:val="auto"/>
                <w:sz w:val="21"/>
                <w:szCs w:val="21"/>
                <w:highlight w:val="none"/>
                <w:u w:val="none"/>
              </w:rPr>
            </w:pPr>
          </w:p>
        </w:tc>
      </w:tr>
      <w:tr w14:paraId="151AC50A">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63DF1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69842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38A28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人员信息管理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E59C6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D7A3D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管理矛盾纠纷人姓名、身份证、手机号、职业、住址、年收入、债务情况、家庭收入、住房情况等详细信息。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C4E5A2">
            <w:pPr>
              <w:jc w:val="center"/>
              <w:rPr>
                <w:rFonts w:hint="eastAsia" w:ascii="宋体" w:hAnsi="宋体" w:eastAsia="宋体" w:cs="宋体"/>
                <w:i w:val="0"/>
                <w:color w:val="auto"/>
                <w:sz w:val="21"/>
                <w:szCs w:val="21"/>
                <w:highlight w:val="none"/>
                <w:u w:val="none"/>
              </w:rPr>
            </w:pPr>
          </w:p>
        </w:tc>
      </w:tr>
      <w:tr w14:paraId="337F0828">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6CC0B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1332E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村居平安校园模块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72E67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学校统计</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EC6BA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94E65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按大学、高职院校、高中、初中、小学、幼儿园分类统计学校数量。</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2CBA88">
            <w:pPr>
              <w:jc w:val="center"/>
              <w:rPr>
                <w:rFonts w:hint="eastAsia" w:ascii="宋体" w:hAnsi="宋体" w:eastAsia="宋体" w:cs="宋体"/>
                <w:i w:val="0"/>
                <w:color w:val="auto"/>
                <w:sz w:val="21"/>
                <w:szCs w:val="21"/>
                <w:highlight w:val="none"/>
                <w:u w:val="none"/>
              </w:rPr>
            </w:pPr>
          </w:p>
        </w:tc>
      </w:tr>
      <w:tr w14:paraId="1D888F04">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DEA85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2A8FB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村居平安校园模块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29C93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护学力量统计</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DBA9FA">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48674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统计总警力、机动警力、保安等护学人员配置情况。</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193A60">
            <w:pPr>
              <w:jc w:val="center"/>
              <w:rPr>
                <w:rFonts w:hint="eastAsia" w:ascii="宋体" w:hAnsi="宋体" w:eastAsia="宋体" w:cs="宋体"/>
                <w:i w:val="0"/>
                <w:color w:val="auto"/>
                <w:sz w:val="21"/>
                <w:szCs w:val="21"/>
                <w:highlight w:val="none"/>
                <w:u w:val="none"/>
              </w:rPr>
            </w:pPr>
          </w:p>
        </w:tc>
      </w:tr>
      <w:tr w14:paraId="26D59DEF">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2CC98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A9B23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村居平安校园模块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71B32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地图展示</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354BB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9AAB4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在地图上展示镇区、学校、警力、保安、前端等点位分布。</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D3E875">
            <w:pPr>
              <w:jc w:val="center"/>
              <w:rPr>
                <w:rFonts w:hint="eastAsia" w:ascii="宋体" w:hAnsi="宋体" w:eastAsia="宋体" w:cs="宋体"/>
                <w:i w:val="0"/>
                <w:color w:val="auto"/>
                <w:sz w:val="21"/>
                <w:szCs w:val="21"/>
                <w:highlight w:val="none"/>
                <w:u w:val="none"/>
              </w:rPr>
            </w:pPr>
          </w:p>
        </w:tc>
      </w:tr>
      <w:tr w14:paraId="17845191">
        <w:tblPrEx>
          <w:shd w:val="clear" w:color="auto" w:fill="auto"/>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EC996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59BA9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村居平安校园模块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A7C44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当前护学任务</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C0FB73">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C34BA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实时展示正在进行的护学任务。</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CE5798">
            <w:pPr>
              <w:jc w:val="center"/>
              <w:rPr>
                <w:rFonts w:hint="eastAsia" w:ascii="宋体" w:hAnsi="宋体" w:eastAsia="宋体" w:cs="宋体"/>
                <w:i w:val="0"/>
                <w:color w:val="auto"/>
                <w:sz w:val="21"/>
                <w:szCs w:val="21"/>
                <w:highlight w:val="none"/>
                <w:u w:val="none"/>
              </w:rPr>
            </w:pPr>
          </w:p>
        </w:tc>
      </w:tr>
      <w:tr w14:paraId="0BDD7082">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41AF7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4BA7A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村居平安校园模块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17C82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预警信息</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EDF396">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14C52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展示校园安全相关预警信息，支持预警详情查看与预警处理。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F41702">
            <w:pPr>
              <w:jc w:val="center"/>
              <w:rPr>
                <w:rFonts w:hint="eastAsia" w:ascii="宋体" w:hAnsi="宋体" w:eastAsia="宋体" w:cs="宋体"/>
                <w:i w:val="0"/>
                <w:color w:val="auto"/>
                <w:sz w:val="21"/>
                <w:szCs w:val="21"/>
                <w:highlight w:val="none"/>
                <w:u w:val="none"/>
              </w:rPr>
            </w:pPr>
          </w:p>
        </w:tc>
      </w:tr>
      <w:tr w14:paraId="365B512F">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A2497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38479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村居平安校园模块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0B6AF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时间轴</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6D99C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88190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按时间顺序展示预警事件记录（如人员被抓拍等）。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9105EC">
            <w:pPr>
              <w:jc w:val="center"/>
              <w:rPr>
                <w:rFonts w:hint="eastAsia" w:ascii="宋体" w:hAnsi="宋体" w:eastAsia="宋体" w:cs="宋体"/>
                <w:i w:val="0"/>
                <w:color w:val="auto"/>
                <w:sz w:val="21"/>
                <w:szCs w:val="21"/>
                <w:highlight w:val="none"/>
                <w:u w:val="none"/>
              </w:rPr>
            </w:pPr>
          </w:p>
        </w:tc>
      </w:tr>
      <w:tr w14:paraId="2A579ED6">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C15F2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208</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5643946">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8F355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地图</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8397D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地图颜色切换</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067FF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包含字体，样式等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9C68CD">
            <w:pPr>
              <w:jc w:val="center"/>
              <w:rPr>
                <w:rFonts w:hint="eastAsia" w:ascii="宋体" w:hAnsi="宋体" w:eastAsia="宋体" w:cs="宋体"/>
                <w:i w:val="0"/>
                <w:color w:val="auto"/>
                <w:sz w:val="21"/>
                <w:szCs w:val="21"/>
                <w:highlight w:val="none"/>
                <w:u w:val="none"/>
              </w:rPr>
            </w:pPr>
          </w:p>
        </w:tc>
      </w:tr>
      <w:tr w14:paraId="6F22E860">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2FBF3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209</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B825C1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1577C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设备</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4383C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执法记录仪</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A72E3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一键播放画面、基础数据展示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BAE5F4">
            <w:pPr>
              <w:jc w:val="center"/>
              <w:rPr>
                <w:rFonts w:hint="eastAsia" w:ascii="宋体" w:hAnsi="宋体" w:eastAsia="宋体" w:cs="宋体"/>
                <w:i w:val="0"/>
                <w:color w:val="auto"/>
                <w:sz w:val="21"/>
                <w:szCs w:val="21"/>
                <w:highlight w:val="none"/>
                <w:u w:val="none"/>
              </w:rPr>
            </w:pPr>
          </w:p>
        </w:tc>
      </w:tr>
      <w:tr w14:paraId="58A4F7B4">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E770C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210</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22335AE">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32D0B4">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6E088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无人机</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EAA9D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一键播放画面、基础数据展示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038761">
            <w:pPr>
              <w:jc w:val="center"/>
              <w:rPr>
                <w:rFonts w:hint="eastAsia" w:ascii="宋体" w:hAnsi="宋体" w:eastAsia="宋体" w:cs="宋体"/>
                <w:i w:val="0"/>
                <w:color w:val="auto"/>
                <w:sz w:val="21"/>
                <w:szCs w:val="21"/>
                <w:highlight w:val="none"/>
                <w:u w:val="none"/>
              </w:rPr>
            </w:pPr>
          </w:p>
        </w:tc>
      </w:tr>
      <w:tr w14:paraId="7DFE2A32">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CACB9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211</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7C0BFBD">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8639B4">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47AE2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对讲机</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5DDAC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基础数据展示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C948CF">
            <w:pPr>
              <w:jc w:val="center"/>
              <w:rPr>
                <w:rFonts w:hint="eastAsia" w:ascii="宋体" w:hAnsi="宋体" w:eastAsia="宋体" w:cs="宋体"/>
                <w:i w:val="0"/>
                <w:color w:val="auto"/>
                <w:sz w:val="21"/>
                <w:szCs w:val="21"/>
                <w:highlight w:val="none"/>
                <w:u w:val="none"/>
              </w:rPr>
            </w:pPr>
          </w:p>
        </w:tc>
      </w:tr>
      <w:tr w14:paraId="48471BA4">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26B68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212</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366777E">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8584E3">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8E7CB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警车</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80971C">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4G车载、基础数据展示、经纬度打点</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BADC47">
            <w:pPr>
              <w:jc w:val="center"/>
              <w:rPr>
                <w:rFonts w:hint="eastAsia" w:ascii="宋体" w:hAnsi="宋体" w:eastAsia="宋体" w:cs="宋体"/>
                <w:i w:val="0"/>
                <w:color w:val="auto"/>
                <w:sz w:val="21"/>
                <w:szCs w:val="21"/>
                <w:highlight w:val="none"/>
                <w:u w:val="none"/>
              </w:rPr>
            </w:pPr>
          </w:p>
        </w:tc>
      </w:tr>
      <w:tr w14:paraId="3D2AE354">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89205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213</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98AF386">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2E4CBE">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D6580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飞鹰摩托队</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42C6F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4G车载、基础数据展示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18A633">
            <w:pPr>
              <w:jc w:val="center"/>
              <w:rPr>
                <w:rFonts w:hint="eastAsia" w:ascii="宋体" w:hAnsi="宋体" w:eastAsia="宋体" w:cs="宋体"/>
                <w:i w:val="0"/>
                <w:color w:val="auto"/>
                <w:sz w:val="21"/>
                <w:szCs w:val="21"/>
                <w:highlight w:val="none"/>
                <w:u w:val="none"/>
              </w:rPr>
            </w:pPr>
          </w:p>
        </w:tc>
      </w:tr>
      <w:tr w14:paraId="721E33CC">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F27E3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214</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6E4EAEC">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BA01F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警情数据</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3A06D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警情定位</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985BBF">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BD49DA">
            <w:pPr>
              <w:jc w:val="center"/>
              <w:rPr>
                <w:rFonts w:hint="eastAsia" w:ascii="宋体" w:hAnsi="宋体" w:eastAsia="宋体" w:cs="宋体"/>
                <w:i w:val="0"/>
                <w:color w:val="auto"/>
                <w:sz w:val="21"/>
                <w:szCs w:val="21"/>
                <w:highlight w:val="none"/>
                <w:u w:val="none"/>
              </w:rPr>
            </w:pPr>
          </w:p>
        </w:tc>
      </w:tr>
      <w:tr w14:paraId="331C197A">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3212B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215</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CC40E40">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B81D6F">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04471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警情内容</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F782A5">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B404FF">
            <w:pPr>
              <w:jc w:val="center"/>
              <w:rPr>
                <w:rFonts w:hint="eastAsia" w:ascii="宋体" w:hAnsi="宋体" w:eastAsia="宋体" w:cs="宋体"/>
                <w:i w:val="0"/>
                <w:color w:val="auto"/>
                <w:sz w:val="21"/>
                <w:szCs w:val="21"/>
                <w:highlight w:val="none"/>
                <w:u w:val="none"/>
              </w:rPr>
            </w:pPr>
          </w:p>
        </w:tc>
      </w:tr>
      <w:tr w14:paraId="23EC4E49">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4CA00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216</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C5E75C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FA0733">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4657B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经纬度打卡</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8D6B3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获取地图，搜索点位打点，同步更新最新位置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D6650C">
            <w:pPr>
              <w:jc w:val="center"/>
              <w:rPr>
                <w:rFonts w:hint="eastAsia" w:ascii="宋体" w:hAnsi="宋体" w:eastAsia="宋体" w:cs="宋体"/>
                <w:i w:val="0"/>
                <w:color w:val="auto"/>
                <w:sz w:val="21"/>
                <w:szCs w:val="21"/>
                <w:highlight w:val="none"/>
                <w:u w:val="none"/>
              </w:rPr>
            </w:pPr>
          </w:p>
        </w:tc>
      </w:tr>
      <w:tr w14:paraId="4DAAC7CC">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DFAF2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217</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8B82B34">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FD796C">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FC21C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周边视频监控</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BB971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播放视频，弹窗同一个界面展示4个画面，可查看更多视频，进行播放</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72CACF">
            <w:pPr>
              <w:jc w:val="center"/>
              <w:rPr>
                <w:rFonts w:hint="eastAsia" w:ascii="宋体" w:hAnsi="宋体" w:eastAsia="宋体" w:cs="宋体"/>
                <w:i w:val="0"/>
                <w:color w:val="auto"/>
                <w:sz w:val="21"/>
                <w:szCs w:val="21"/>
                <w:highlight w:val="none"/>
                <w:u w:val="none"/>
              </w:rPr>
            </w:pPr>
          </w:p>
        </w:tc>
      </w:tr>
      <w:tr w14:paraId="0A8E276D">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24683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218</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E3CAE9A">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3D54BB">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07FF5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调度（附近三公里高亮）</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72D50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调度执法记录仪、无人机、对讲机、警车、摩托队等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C99819">
            <w:pPr>
              <w:jc w:val="center"/>
              <w:rPr>
                <w:rFonts w:hint="eastAsia" w:ascii="宋体" w:hAnsi="宋体" w:eastAsia="宋体" w:cs="宋体"/>
                <w:i w:val="0"/>
                <w:color w:val="auto"/>
                <w:sz w:val="21"/>
                <w:szCs w:val="21"/>
                <w:highlight w:val="none"/>
                <w:u w:val="none"/>
              </w:rPr>
            </w:pPr>
          </w:p>
        </w:tc>
      </w:tr>
      <w:tr w14:paraId="6D343568">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7B25B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219</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4D6DF35">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ACC25B">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B7B86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创建群聊（与警务通对接，实用性论证）</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269C2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创建群聊、添加、删除人员、发送信息文件、聊天等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ED2613">
            <w:pPr>
              <w:jc w:val="center"/>
              <w:rPr>
                <w:rFonts w:hint="eastAsia" w:ascii="宋体" w:hAnsi="宋体" w:eastAsia="宋体" w:cs="宋体"/>
                <w:i w:val="0"/>
                <w:color w:val="auto"/>
                <w:sz w:val="21"/>
                <w:szCs w:val="21"/>
                <w:highlight w:val="none"/>
                <w:u w:val="none"/>
              </w:rPr>
            </w:pPr>
          </w:p>
        </w:tc>
      </w:tr>
      <w:tr w14:paraId="3A306B10">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AC698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220</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2381314">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0471C4">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A695A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处置全流程</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AC244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处置全流程详细数据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EEEF12">
            <w:pPr>
              <w:jc w:val="center"/>
              <w:rPr>
                <w:rFonts w:hint="eastAsia" w:ascii="宋体" w:hAnsi="宋体" w:eastAsia="宋体" w:cs="宋体"/>
                <w:i w:val="0"/>
                <w:color w:val="auto"/>
                <w:sz w:val="21"/>
                <w:szCs w:val="21"/>
                <w:highlight w:val="none"/>
                <w:u w:val="none"/>
              </w:rPr>
            </w:pPr>
          </w:p>
        </w:tc>
      </w:tr>
      <w:tr w14:paraId="57B97091">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6D1EC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221</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0D0E97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1D1A0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值班备勤</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C39A6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值班人员信息</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3D9ED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含值班单位领导、各单位指挥等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5E537C">
            <w:pPr>
              <w:jc w:val="center"/>
              <w:rPr>
                <w:rFonts w:hint="eastAsia" w:ascii="宋体" w:hAnsi="宋体" w:eastAsia="宋体" w:cs="宋体"/>
                <w:i w:val="0"/>
                <w:color w:val="auto"/>
                <w:sz w:val="21"/>
                <w:szCs w:val="21"/>
                <w:highlight w:val="none"/>
                <w:u w:val="none"/>
              </w:rPr>
            </w:pPr>
          </w:p>
        </w:tc>
      </w:tr>
      <w:tr w14:paraId="767F58DB">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0069B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222</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A56533F">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FCD5F3">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24F2E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二级列表</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48BE6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可以按条件、按值班日期搜索，展示所有值班人员信息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328F6A">
            <w:pPr>
              <w:jc w:val="center"/>
              <w:rPr>
                <w:rFonts w:hint="eastAsia" w:ascii="宋体" w:hAnsi="宋体" w:eastAsia="宋体" w:cs="宋体"/>
                <w:i w:val="0"/>
                <w:color w:val="auto"/>
                <w:sz w:val="21"/>
                <w:szCs w:val="21"/>
                <w:highlight w:val="none"/>
                <w:u w:val="none"/>
              </w:rPr>
            </w:pPr>
          </w:p>
        </w:tc>
      </w:tr>
      <w:tr w14:paraId="028C3084">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7D049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223</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5283649">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C0CBA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当日警情</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2E3E2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接警警情统计</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FF8D4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警情总数、警情列表、警情详情</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CBC768">
            <w:pPr>
              <w:jc w:val="center"/>
              <w:rPr>
                <w:rFonts w:hint="eastAsia" w:ascii="宋体" w:hAnsi="宋体" w:eastAsia="宋体" w:cs="宋体"/>
                <w:i w:val="0"/>
                <w:color w:val="auto"/>
                <w:sz w:val="21"/>
                <w:szCs w:val="21"/>
                <w:highlight w:val="none"/>
                <w:u w:val="none"/>
              </w:rPr>
            </w:pPr>
          </w:p>
        </w:tc>
      </w:tr>
      <w:tr w14:paraId="00852B5D">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D4BCF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224</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ED3C1EB">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9D6C05">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EAB70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处警警情统计</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1FEB4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警情总数、警情列表、警情详情</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30E675">
            <w:pPr>
              <w:jc w:val="center"/>
              <w:rPr>
                <w:rFonts w:hint="eastAsia" w:ascii="宋体" w:hAnsi="宋体" w:eastAsia="宋体" w:cs="宋体"/>
                <w:i w:val="0"/>
                <w:color w:val="auto"/>
                <w:sz w:val="21"/>
                <w:szCs w:val="21"/>
                <w:highlight w:val="none"/>
                <w:u w:val="none"/>
              </w:rPr>
            </w:pPr>
          </w:p>
        </w:tc>
      </w:tr>
      <w:tr w14:paraId="399F9A72">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8669E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225</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5B9B5E7">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5D108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警情预警</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88627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敏感警情统计（获取当日数据）</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F8F71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敏感词警情，按照红橙蓝区分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55F4CA">
            <w:pPr>
              <w:jc w:val="center"/>
              <w:rPr>
                <w:rFonts w:hint="eastAsia" w:ascii="宋体" w:hAnsi="宋体" w:eastAsia="宋体" w:cs="宋体"/>
                <w:i w:val="0"/>
                <w:color w:val="auto"/>
                <w:sz w:val="21"/>
                <w:szCs w:val="21"/>
                <w:highlight w:val="none"/>
                <w:u w:val="none"/>
              </w:rPr>
            </w:pPr>
          </w:p>
        </w:tc>
      </w:tr>
      <w:tr w14:paraId="2698021A">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340E4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226</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4E9996D">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B8CA01">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A5038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敏感警情列表</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F0518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含按照时间倒叙展示数据、当日的敏感词警情数据、全部警情数据、警情预案</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91F44A">
            <w:pPr>
              <w:jc w:val="center"/>
              <w:rPr>
                <w:rFonts w:hint="eastAsia" w:ascii="宋体" w:hAnsi="宋体" w:eastAsia="宋体" w:cs="宋体"/>
                <w:i w:val="0"/>
                <w:color w:val="auto"/>
                <w:sz w:val="21"/>
                <w:szCs w:val="21"/>
                <w:highlight w:val="none"/>
                <w:u w:val="none"/>
              </w:rPr>
            </w:pPr>
          </w:p>
        </w:tc>
      </w:tr>
      <w:tr w14:paraId="3127D68A">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A76E8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227</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8F60244">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C740D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视频监控</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6D95C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展示常态视频监控（4个）</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08B7B8">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7E0C8E">
            <w:pPr>
              <w:jc w:val="center"/>
              <w:rPr>
                <w:rFonts w:hint="eastAsia" w:ascii="宋体" w:hAnsi="宋体" w:eastAsia="宋体" w:cs="宋体"/>
                <w:i w:val="0"/>
                <w:color w:val="auto"/>
                <w:sz w:val="21"/>
                <w:szCs w:val="21"/>
                <w:highlight w:val="none"/>
                <w:u w:val="none"/>
              </w:rPr>
            </w:pPr>
          </w:p>
        </w:tc>
      </w:tr>
      <w:tr w14:paraId="5018D868">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48FE3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228</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28AFE6C">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1FCFD7">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0D08C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设备画面播放区域</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71D38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默认可拖拽6个画面，进行同时播放</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86D060">
            <w:pPr>
              <w:jc w:val="center"/>
              <w:rPr>
                <w:rFonts w:hint="eastAsia" w:ascii="宋体" w:hAnsi="宋体" w:eastAsia="宋体" w:cs="宋体"/>
                <w:i w:val="0"/>
                <w:color w:val="auto"/>
                <w:sz w:val="21"/>
                <w:szCs w:val="21"/>
                <w:highlight w:val="none"/>
                <w:u w:val="none"/>
              </w:rPr>
            </w:pPr>
          </w:p>
        </w:tc>
      </w:tr>
      <w:tr w14:paraId="19EB9E0C">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D4727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229</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3ACB750">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6326C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防控区预警</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636E9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预警统计</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3824DE">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03E0AF">
            <w:pPr>
              <w:jc w:val="center"/>
              <w:rPr>
                <w:rFonts w:hint="eastAsia" w:ascii="宋体" w:hAnsi="宋体" w:eastAsia="宋体" w:cs="宋体"/>
                <w:i w:val="0"/>
                <w:color w:val="auto"/>
                <w:sz w:val="21"/>
                <w:szCs w:val="21"/>
                <w:highlight w:val="none"/>
                <w:u w:val="none"/>
              </w:rPr>
            </w:pPr>
          </w:p>
        </w:tc>
      </w:tr>
      <w:tr w14:paraId="0339F694">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9C53B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230</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B8431AF">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C46025">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221FF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预警列表</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FEB16A">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777AF9">
            <w:pPr>
              <w:jc w:val="center"/>
              <w:rPr>
                <w:rFonts w:hint="eastAsia" w:ascii="宋体" w:hAnsi="宋体" w:eastAsia="宋体" w:cs="宋体"/>
                <w:i w:val="0"/>
                <w:color w:val="auto"/>
                <w:sz w:val="21"/>
                <w:szCs w:val="21"/>
                <w:highlight w:val="none"/>
                <w:u w:val="none"/>
              </w:rPr>
            </w:pPr>
          </w:p>
        </w:tc>
      </w:tr>
      <w:tr w14:paraId="24B6518E">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10094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231</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E564D9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3623E0">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CC207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预警监测</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A194EE">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969A36">
            <w:pPr>
              <w:jc w:val="center"/>
              <w:rPr>
                <w:rFonts w:hint="eastAsia" w:ascii="宋体" w:hAnsi="宋体" w:eastAsia="宋体" w:cs="宋体"/>
                <w:i w:val="0"/>
                <w:color w:val="auto"/>
                <w:sz w:val="21"/>
                <w:szCs w:val="21"/>
                <w:highlight w:val="none"/>
                <w:u w:val="none"/>
              </w:rPr>
            </w:pPr>
          </w:p>
        </w:tc>
      </w:tr>
      <w:tr w14:paraId="38E868F0">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5D05C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232</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F6EE66E">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2C425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地图</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5A767C">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37C123">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A4EFC7">
            <w:pPr>
              <w:jc w:val="center"/>
              <w:rPr>
                <w:rFonts w:hint="eastAsia" w:ascii="宋体" w:hAnsi="宋体" w:eastAsia="宋体" w:cs="宋体"/>
                <w:i w:val="0"/>
                <w:color w:val="auto"/>
                <w:sz w:val="21"/>
                <w:szCs w:val="21"/>
                <w:highlight w:val="none"/>
                <w:u w:val="none"/>
              </w:rPr>
            </w:pPr>
          </w:p>
        </w:tc>
      </w:tr>
      <w:tr w14:paraId="0F5F16FE">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3EC34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233</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8B327A5">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8CD94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影像地图</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8F8932">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8F9B3C">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15CB74">
            <w:pPr>
              <w:jc w:val="center"/>
              <w:rPr>
                <w:rFonts w:hint="eastAsia" w:ascii="宋体" w:hAnsi="宋体" w:eastAsia="宋体" w:cs="宋体"/>
                <w:i w:val="0"/>
                <w:color w:val="auto"/>
                <w:sz w:val="21"/>
                <w:szCs w:val="21"/>
                <w:highlight w:val="none"/>
                <w:u w:val="none"/>
              </w:rPr>
            </w:pPr>
          </w:p>
        </w:tc>
      </w:tr>
      <w:tr w14:paraId="66D2DA43">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0342A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234</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902E01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3125B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航飞图</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CD32C7">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B5C6ED">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32767C">
            <w:pPr>
              <w:jc w:val="center"/>
              <w:rPr>
                <w:rFonts w:hint="eastAsia" w:ascii="宋体" w:hAnsi="宋体" w:eastAsia="宋体" w:cs="宋体"/>
                <w:i w:val="0"/>
                <w:color w:val="auto"/>
                <w:sz w:val="21"/>
                <w:szCs w:val="21"/>
                <w:highlight w:val="none"/>
                <w:u w:val="none"/>
              </w:rPr>
            </w:pPr>
          </w:p>
        </w:tc>
      </w:tr>
      <w:tr w14:paraId="16268605">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88020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235</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34BB30B">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CBFF2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画图工具</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94BF66">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E86FE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核心管控圈、外围识别圈、片区联动圈等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33EA8A">
            <w:pPr>
              <w:jc w:val="center"/>
              <w:rPr>
                <w:rFonts w:hint="eastAsia" w:ascii="宋体" w:hAnsi="宋体" w:eastAsia="宋体" w:cs="宋体"/>
                <w:i w:val="0"/>
                <w:color w:val="auto"/>
                <w:sz w:val="21"/>
                <w:szCs w:val="21"/>
                <w:highlight w:val="none"/>
                <w:u w:val="none"/>
              </w:rPr>
            </w:pPr>
          </w:p>
        </w:tc>
      </w:tr>
      <w:tr w14:paraId="56122BEA">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96EC8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236</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441916B">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F8A46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防控力量</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68D14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治安办辅警</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9745D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姓名、编号、电话、所属组织、轨迹等内容</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EADC45">
            <w:pPr>
              <w:jc w:val="center"/>
              <w:rPr>
                <w:rFonts w:hint="eastAsia" w:ascii="宋体" w:hAnsi="宋体" w:eastAsia="宋体" w:cs="宋体"/>
                <w:i w:val="0"/>
                <w:color w:val="auto"/>
                <w:sz w:val="21"/>
                <w:szCs w:val="21"/>
                <w:highlight w:val="none"/>
                <w:u w:val="none"/>
              </w:rPr>
            </w:pPr>
          </w:p>
        </w:tc>
      </w:tr>
      <w:tr w14:paraId="65DB2149">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6F2BF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237</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019A9A0">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E3977F">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B5AF2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PTU 巡组</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0EBD7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车牌号、所属组织、执法记录仪、查看轨迹、实时画面</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172DCF">
            <w:pPr>
              <w:jc w:val="center"/>
              <w:rPr>
                <w:rFonts w:hint="eastAsia" w:ascii="宋体" w:hAnsi="宋体" w:eastAsia="宋体" w:cs="宋体"/>
                <w:i w:val="0"/>
                <w:color w:val="auto"/>
                <w:sz w:val="21"/>
                <w:szCs w:val="21"/>
                <w:highlight w:val="none"/>
                <w:u w:val="none"/>
              </w:rPr>
            </w:pPr>
          </w:p>
        </w:tc>
      </w:tr>
      <w:tr w14:paraId="0FAF3A64">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47C0A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238</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BBDB1CB">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5C8FA8">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9EF7D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飞鹰摩托队</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092C8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车牌号、所属组织、执法记录仪、查看轨迹、实时画面</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3E1B0B">
            <w:pPr>
              <w:jc w:val="center"/>
              <w:rPr>
                <w:rFonts w:hint="eastAsia" w:ascii="宋体" w:hAnsi="宋体" w:eastAsia="宋体" w:cs="宋体"/>
                <w:i w:val="0"/>
                <w:color w:val="auto"/>
                <w:sz w:val="21"/>
                <w:szCs w:val="21"/>
                <w:highlight w:val="none"/>
                <w:u w:val="none"/>
              </w:rPr>
            </w:pPr>
          </w:p>
        </w:tc>
      </w:tr>
      <w:tr w14:paraId="3A0BEDC9">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049DA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239</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4D5DD56">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D253E9">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A2A77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巡逻处警组</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D86AD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车牌号、所属组织、执法记录仪、查看轨迹、实时画面</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B0FFAD">
            <w:pPr>
              <w:jc w:val="center"/>
              <w:rPr>
                <w:rFonts w:hint="eastAsia" w:ascii="宋体" w:hAnsi="宋体" w:eastAsia="宋体" w:cs="宋体"/>
                <w:i w:val="0"/>
                <w:color w:val="auto"/>
                <w:sz w:val="21"/>
                <w:szCs w:val="21"/>
                <w:highlight w:val="none"/>
                <w:u w:val="none"/>
              </w:rPr>
            </w:pPr>
          </w:p>
        </w:tc>
      </w:tr>
      <w:tr w14:paraId="19A24860">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9252F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240</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32867E6">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498F35">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CACBD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巡特警应急力量</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12571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车牌号、所属组织、执法记录仪、查看轨迹、实时画面</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9F57E9">
            <w:pPr>
              <w:jc w:val="center"/>
              <w:rPr>
                <w:rFonts w:hint="eastAsia" w:ascii="宋体" w:hAnsi="宋体" w:eastAsia="宋体" w:cs="宋体"/>
                <w:i w:val="0"/>
                <w:color w:val="auto"/>
                <w:sz w:val="21"/>
                <w:szCs w:val="21"/>
                <w:highlight w:val="none"/>
                <w:u w:val="none"/>
              </w:rPr>
            </w:pPr>
          </w:p>
        </w:tc>
      </w:tr>
      <w:tr w14:paraId="532BBC03">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64F18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241</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8CFD2F2">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555DB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要素</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06B03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人员</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258FA0">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9575F9">
            <w:pPr>
              <w:jc w:val="center"/>
              <w:rPr>
                <w:rFonts w:hint="eastAsia" w:ascii="宋体" w:hAnsi="宋体" w:eastAsia="宋体" w:cs="宋体"/>
                <w:i w:val="0"/>
                <w:color w:val="auto"/>
                <w:sz w:val="21"/>
                <w:szCs w:val="21"/>
                <w:highlight w:val="none"/>
                <w:u w:val="none"/>
              </w:rPr>
            </w:pPr>
          </w:p>
        </w:tc>
      </w:tr>
      <w:tr w14:paraId="3AC0F6EF">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AF345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242</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F0C12EA">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A6A69F">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CA059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重点单位</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4F2EB0">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00F0A4">
            <w:pPr>
              <w:jc w:val="center"/>
              <w:rPr>
                <w:rFonts w:hint="eastAsia" w:ascii="宋体" w:hAnsi="宋体" w:eastAsia="宋体" w:cs="宋体"/>
                <w:i w:val="0"/>
                <w:color w:val="auto"/>
                <w:sz w:val="21"/>
                <w:szCs w:val="21"/>
                <w:highlight w:val="none"/>
                <w:u w:val="none"/>
              </w:rPr>
            </w:pPr>
          </w:p>
        </w:tc>
      </w:tr>
      <w:tr w14:paraId="7E6B4814">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A2310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243</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2742EAB">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4258D1">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B3636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敏感事项</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A813A7">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59B7B8">
            <w:pPr>
              <w:jc w:val="center"/>
              <w:rPr>
                <w:rFonts w:hint="eastAsia" w:ascii="宋体" w:hAnsi="宋体" w:eastAsia="宋体" w:cs="宋体"/>
                <w:i w:val="0"/>
                <w:color w:val="auto"/>
                <w:sz w:val="21"/>
                <w:szCs w:val="21"/>
                <w:highlight w:val="none"/>
                <w:u w:val="none"/>
              </w:rPr>
            </w:pPr>
          </w:p>
        </w:tc>
      </w:tr>
      <w:tr w14:paraId="707FF8E5">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8AB24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244</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E84DD0F">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D6F00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监控视频</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0FE5B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范围区内的视频点位</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3B4755">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CDFC90">
            <w:pPr>
              <w:jc w:val="center"/>
              <w:rPr>
                <w:rFonts w:hint="eastAsia" w:ascii="宋体" w:hAnsi="宋体" w:eastAsia="宋体" w:cs="宋体"/>
                <w:i w:val="0"/>
                <w:color w:val="auto"/>
                <w:sz w:val="21"/>
                <w:szCs w:val="21"/>
                <w:highlight w:val="none"/>
                <w:u w:val="none"/>
              </w:rPr>
            </w:pPr>
          </w:p>
        </w:tc>
      </w:tr>
      <w:tr w14:paraId="31167139">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921A0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245</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8CB6DC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C3035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地图标记点位</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E1991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85669A">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ABBA22">
            <w:pPr>
              <w:jc w:val="center"/>
              <w:rPr>
                <w:rFonts w:hint="eastAsia" w:ascii="宋体" w:hAnsi="宋体" w:eastAsia="宋体" w:cs="宋体"/>
                <w:i w:val="0"/>
                <w:color w:val="auto"/>
                <w:sz w:val="21"/>
                <w:szCs w:val="21"/>
                <w:highlight w:val="none"/>
                <w:u w:val="none"/>
              </w:rPr>
            </w:pPr>
          </w:p>
        </w:tc>
      </w:tr>
      <w:tr w14:paraId="3040836E">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82F64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246</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FB8BDC2">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79D74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警情预警点位</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2160A4">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47446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点位需要闪烁、同时需要在地图上面自动展示该区域的所有力量、新预警过来，直接跳转防控区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FAAA36">
            <w:pPr>
              <w:jc w:val="center"/>
              <w:rPr>
                <w:rFonts w:hint="eastAsia" w:ascii="宋体" w:hAnsi="宋体" w:eastAsia="宋体" w:cs="宋体"/>
                <w:i w:val="0"/>
                <w:color w:val="auto"/>
                <w:sz w:val="21"/>
                <w:szCs w:val="21"/>
                <w:highlight w:val="none"/>
                <w:u w:val="none"/>
              </w:rPr>
            </w:pPr>
          </w:p>
        </w:tc>
      </w:tr>
      <w:tr w14:paraId="63CDEB4D">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910B4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247</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75E501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F2546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预警数据</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2CDCA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展示预警画像模块</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AADB3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画像说明、对话框、调用机器人等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44700C">
            <w:pPr>
              <w:jc w:val="center"/>
              <w:rPr>
                <w:rFonts w:hint="eastAsia" w:ascii="宋体" w:hAnsi="宋体" w:eastAsia="宋体" w:cs="宋体"/>
                <w:i w:val="0"/>
                <w:color w:val="auto"/>
                <w:sz w:val="21"/>
                <w:szCs w:val="21"/>
                <w:highlight w:val="none"/>
                <w:u w:val="none"/>
              </w:rPr>
            </w:pPr>
          </w:p>
        </w:tc>
      </w:tr>
      <w:tr w14:paraId="16499FFF">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6A25C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248</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67B37FC">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31284D">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EA1E1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推送给处理的民警</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D0516C">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2924A5">
            <w:pPr>
              <w:jc w:val="center"/>
              <w:rPr>
                <w:rFonts w:hint="eastAsia" w:ascii="宋体" w:hAnsi="宋体" w:eastAsia="宋体" w:cs="宋体"/>
                <w:i w:val="0"/>
                <w:color w:val="auto"/>
                <w:sz w:val="21"/>
                <w:szCs w:val="21"/>
                <w:highlight w:val="none"/>
                <w:u w:val="none"/>
              </w:rPr>
            </w:pPr>
          </w:p>
        </w:tc>
      </w:tr>
      <w:tr w14:paraId="3D88C5E4">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93A24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249</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903E6EF">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283761">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CC2E2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展示当日的预警历史记录列表</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404532">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1E9941">
            <w:pPr>
              <w:jc w:val="center"/>
              <w:rPr>
                <w:rFonts w:hint="eastAsia" w:ascii="宋体" w:hAnsi="宋体" w:eastAsia="宋体" w:cs="宋体"/>
                <w:i w:val="0"/>
                <w:color w:val="auto"/>
                <w:sz w:val="21"/>
                <w:szCs w:val="21"/>
                <w:highlight w:val="none"/>
                <w:u w:val="none"/>
              </w:rPr>
            </w:pPr>
          </w:p>
        </w:tc>
      </w:tr>
      <w:tr w14:paraId="1E34C720">
        <w:tblPrEx>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3448A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250</w:t>
            </w:r>
          </w:p>
        </w:tc>
        <w:tc>
          <w:tcPr>
            <w:tcW w:w="101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79EAB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村居情指超图视频监控模块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A3F5D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预警画像周边监控</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40F2CB">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289557">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7E2363">
            <w:pPr>
              <w:jc w:val="center"/>
              <w:rPr>
                <w:rFonts w:hint="eastAsia" w:ascii="宋体" w:hAnsi="宋体" w:eastAsia="宋体" w:cs="宋体"/>
                <w:i w:val="0"/>
                <w:color w:val="auto"/>
                <w:sz w:val="21"/>
                <w:szCs w:val="21"/>
                <w:highlight w:val="none"/>
                <w:u w:val="none"/>
              </w:rPr>
            </w:pPr>
          </w:p>
        </w:tc>
      </w:tr>
      <w:tr w14:paraId="6E25F784">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94AAE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251</w:t>
            </w:r>
          </w:p>
        </w:tc>
        <w:tc>
          <w:tcPr>
            <w:tcW w:w="10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1A0035">
            <w:pPr>
              <w:jc w:val="center"/>
              <w:rPr>
                <w:rFonts w:hint="eastAsia" w:ascii="宋体" w:hAnsi="宋体" w:eastAsia="宋体" w:cs="宋体"/>
                <w:i w:val="0"/>
                <w:color w:val="auto"/>
                <w:sz w:val="21"/>
                <w:szCs w:val="21"/>
                <w:highlight w:val="none"/>
                <w:u w:val="none"/>
              </w:rPr>
            </w:pP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20FEF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历史预警：默认最新预警周边监控</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822CA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ABA940">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A3CD7C">
            <w:pPr>
              <w:jc w:val="center"/>
              <w:rPr>
                <w:rFonts w:hint="eastAsia" w:ascii="宋体" w:hAnsi="宋体" w:eastAsia="宋体" w:cs="宋体"/>
                <w:i w:val="0"/>
                <w:color w:val="auto"/>
                <w:sz w:val="21"/>
                <w:szCs w:val="21"/>
                <w:highlight w:val="none"/>
                <w:u w:val="none"/>
              </w:rPr>
            </w:pPr>
          </w:p>
        </w:tc>
      </w:tr>
      <w:tr w14:paraId="074D2F63">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14C81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252</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42D482C">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97A6B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系统管理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9EFD6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部门管理</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CFD637">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0437F2">
            <w:pPr>
              <w:jc w:val="center"/>
              <w:rPr>
                <w:rFonts w:hint="eastAsia" w:ascii="宋体" w:hAnsi="宋体" w:eastAsia="宋体" w:cs="宋体"/>
                <w:i w:val="0"/>
                <w:color w:val="auto"/>
                <w:sz w:val="21"/>
                <w:szCs w:val="21"/>
                <w:highlight w:val="none"/>
                <w:u w:val="none"/>
              </w:rPr>
            </w:pPr>
          </w:p>
        </w:tc>
      </w:tr>
      <w:tr w14:paraId="51F4FDC4">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D6ED1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253</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8EFEB9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5D1C6B">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FB5AB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用户管理</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46694B">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31558E">
            <w:pPr>
              <w:jc w:val="center"/>
              <w:rPr>
                <w:rFonts w:hint="eastAsia" w:ascii="宋体" w:hAnsi="宋体" w:eastAsia="宋体" w:cs="宋体"/>
                <w:i w:val="0"/>
                <w:color w:val="auto"/>
                <w:sz w:val="21"/>
                <w:szCs w:val="21"/>
                <w:highlight w:val="none"/>
                <w:u w:val="none"/>
              </w:rPr>
            </w:pPr>
          </w:p>
        </w:tc>
      </w:tr>
      <w:tr w14:paraId="289ABD55">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35F32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254</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D3F39A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4FE606">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4CBBF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角色管理</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F3B787">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FDE3BB">
            <w:pPr>
              <w:jc w:val="center"/>
              <w:rPr>
                <w:rFonts w:hint="eastAsia" w:ascii="宋体" w:hAnsi="宋体" w:eastAsia="宋体" w:cs="宋体"/>
                <w:i w:val="0"/>
                <w:color w:val="auto"/>
                <w:sz w:val="21"/>
                <w:szCs w:val="21"/>
                <w:highlight w:val="none"/>
                <w:u w:val="none"/>
              </w:rPr>
            </w:pPr>
          </w:p>
        </w:tc>
      </w:tr>
      <w:tr w14:paraId="1FE8E140">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E3FD1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255</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0D3FC05">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3EAEA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值班管理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CD4AE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值班表数据对接（市局）</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86D0E7">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9895CE">
            <w:pPr>
              <w:jc w:val="center"/>
              <w:rPr>
                <w:rFonts w:hint="eastAsia" w:ascii="宋体" w:hAnsi="宋体" w:eastAsia="宋体" w:cs="宋体"/>
                <w:i w:val="0"/>
                <w:color w:val="auto"/>
                <w:sz w:val="21"/>
                <w:szCs w:val="21"/>
                <w:highlight w:val="none"/>
                <w:u w:val="none"/>
              </w:rPr>
            </w:pPr>
          </w:p>
        </w:tc>
      </w:tr>
      <w:tr w14:paraId="6E0839D3">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952A6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256</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90D2CCD">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4DC20F">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0E516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按照日期展示数据</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E615FD">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5771A1">
            <w:pPr>
              <w:jc w:val="center"/>
              <w:rPr>
                <w:rFonts w:hint="eastAsia" w:ascii="宋体" w:hAnsi="宋体" w:eastAsia="宋体" w:cs="宋体"/>
                <w:i w:val="0"/>
                <w:color w:val="auto"/>
                <w:sz w:val="21"/>
                <w:szCs w:val="21"/>
                <w:highlight w:val="none"/>
                <w:u w:val="none"/>
              </w:rPr>
            </w:pPr>
          </w:p>
        </w:tc>
      </w:tr>
      <w:tr w14:paraId="60CC8671">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30312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257</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79CF53D">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B536DF">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6FB19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支持日期筛选数据</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EC1540">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E8807A">
            <w:pPr>
              <w:jc w:val="center"/>
              <w:rPr>
                <w:rFonts w:hint="eastAsia" w:ascii="宋体" w:hAnsi="宋体" w:eastAsia="宋体" w:cs="宋体"/>
                <w:i w:val="0"/>
                <w:color w:val="auto"/>
                <w:sz w:val="21"/>
                <w:szCs w:val="21"/>
                <w:highlight w:val="none"/>
                <w:u w:val="none"/>
              </w:rPr>
            </w:pPr>
          </w:p>
        </w:tc>
      </w:tr>
      <w:tr w14:paraId="78BFEA79">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B6865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258</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AB1A27F">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143BA5">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8A6E6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值班表列表</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70632F">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51C1D3">
            <w:pPr>
              <w:jc w:val="center"/>
              <w:rPr>
                <w:rFonts w:hint="eastAsia" w:ascii="宋体" w:hAnsi="宋体" w:eastAsia="宋体" w:cs="宋体"/>
                <w:i w:val="0"/>
                <w:color w:val="auto"/>
                <w:sz w:val="21"/>
                <w:szCs w:val="21"/>
                <w:highlight w:val="none"/>
                <w:u w:val="none"/>
              </w:rPr>
            </w:pPr>
          </w:p>
        </w:tc>
      </w:tr>
      <w:tr w14:paraId="645F0C9E">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092F8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259</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018308C">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C82B0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设备管理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2078A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执法记录仪</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C24C7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查看详情、添加、删除等管理功能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B8B232">
            <w:pPr>
              <w:jc w:val="center"/>
              <w:rPr>
                <w:rFonts w:hint="eastAsia" w:ascii="宋体" w:hAnsi="宋体" w:eastAsia="宋体" w:cs="宋体"/>
                <w:i w:val="0"/>
                <w:color w:val="auto"/>
                <w:sz w:val="21"/>
                <w:szCs w:val="21"/>
                <w:highlight w:val="none"/>
                <w:u w:val="none"/>
              </w:rPr>
            </w:pPr>
          </w:p>
        </w:tc>
      </w:tr>
      <w:tr w14:paraId="616EE10D">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3E9FA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260</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DAD98E6">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757554">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F5CF1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无人机</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2AE19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查看详情、添加、删除等管理功能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70521B">
            <w:pPr>
              <w:jc w:val="center"/>
              <w:rPr>
                <w:rFonts w:hint="eastAsia" w:ascii="宋体" w:hAnsi="宋体" w:eastAsia="宋体" w:cs="宋体"/>
                <w:i w:val="0"/>
                <w:color w:val="auto"/>
                <w:sz w:val="21"/>
                <w:szCs w:val="21"/>
                <w:highlight w:val="none"/>
                <w:u w:val="none"/>
              </w:rPr>
            </w:pPr>
          </w:p>
        </w:tc>
      </w:tr>
      <w:tr w14:paraId="6A556F60">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13EEF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261</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AC802E9">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150C28">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07C49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对讲机</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59AD8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查看详情、添加、删除等管理功能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DD43C2">
            <w:pPr>
              <w:jc w:val="center"/>
              <w:rPr>
                <w:rFonts w:hint="eastAsia" w:ascii="宋体" w:hAnsi="宋体" w:eastAsia="宋体" w:cs="宋体"/>
                <w:i w:val="0"/>
                <w:color w:val="auto"/>
                <w:sz w:val="21"/>
                <w:szCs w:val="21"/>
                <w:highlight w:val="none"/>
                <w:u w:val="none"/>
              </w:rPr>
            </w:pPr>
          </w:p>
        </w:tc>
      </w:tr>
      <w:tr w14:paraId="2A5643A8">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8101B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262</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7E3C53C">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80D78C">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A8032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警车</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841E0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查看详情、添加、删除等管理功能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4356AC">
            <w:pPr>
              <w:jc w:val="center"/>
              <w:rPr>
                <w:rFonts w:hint="eastAsia" w:ascii="宋体" w:hAnsi="宋体" w:eastAsia="宋体" w:cs="宋体"/>
                <w:i w:val="0"/>
                <w:color w:val="auto"/>
                <w:sz w:val="21"/>
                <w:szCs w:val="21"/>
                <w:highlight w:val="none"/>
                <w:u w:val="none"/>
              </w:rPr>
            </w:pPr>
          </w:p>
        </w:tc>
      </w:tr>
      <w:tr w14:paraId="56E629F7">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5F52D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263</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ED2E90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BACE65">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81BA6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飞鹰摩托队</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C47A0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查看详情、添加、删除等管理功能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F905FA">
            <w:pPr>
              <w:jc w:val="center"/>
              <w:rPr>
                <w:rFonts w:hint="eastAsia" w:ascii="宋体" w:hAnsi="宋体" w:eastAsia="宋体" w:cs="宋体"/>
                <w:i w:val="0"/>
                <w:color w:val="auto"/>
                <w:sz w:val="21"/>
                <w:szCs w:val="21"/>
                <w:highlight w:val="none"/>
                <w:u w:val="none"/>
              </w:rPr>
            </w:pPr>
          </w:p>
        </w:tc>
      </w:tr>
      <w:tr w14:paraId="02FF6197">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42BCA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264</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17C4D22">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6F46E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敏感警情管理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ACA36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敏感词库</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535F34">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835CEC">
            <w:pPr>
              <w:jc w:val="center"/>
              <w:rPr>
                <w:rFonts w:hint="eastAsia" w:ascii="宋体" w:hAnsi="宋体" w:eastAsia="宋体" w:cs="宋体"/>
                <w:i w:val="0"/>
                <w:color w:val="auto"/>
                <w:sz w:val="21"/>
                <w:szCs w:val="21"/>
                <w:highlight w:val="none"/>
                <w:u w:val="none"/>
              </w:rPr>
            </w:pPr>
          </w:p>
        </w:tc>
      </w:tr>
      <w:tr w14:paraId="1ABC22DF">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A7FDF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265</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6727A39">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62005F">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1E00D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敏感警情列表</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23AFD9">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26E7A3">
            <w:pPr>
              <w:jc w:val="center"/>
              <w:rPr>
                <w:rFonts w:hint="eastAsia" w:ascii="宋体" w:hAnsi="宋体" w:eastAsia="宋体" w:cs="宋体"/>
                <w:i w:val="0"/>
                <w:color w:val="auto"/>
                <w:sz w:val="21"/>
                <w:szCs w:val="21"/>
                <w:highlight w:val="none"/>
                <w:u w:val="none"/>
              </w:rPr>
            </w:pPr>
          </w:p>
        </w:tc>
      </w:tr>
      <w:tr w14:paraId="0130195D">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779F1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266</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54D5799">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20C54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巡逻及值守力量</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6EA26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防控区</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0A05DF">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2714F8">
            <w:pPr>
              <w:jc w:val="center"/>
              <w:rPr>
                <w:rFonts w:hint="eastAsia" w:ascii="宋体" w:hAnsi="宋体" w:eastAsia="宋体" w:cs="宋体"/>
                <w:i w:val="0"/>
                <w:color w:val="auto"/>
                <w:sz w:val="21"/>
                <w:szCs w:val="21"/>
                <w:highlight w:val="none"/>
                <w:u w:val="none"/>
              </w:rPr>
            </w:pPr>
          </w:p>
        </w:tc>
      </w:tr>
      <w:tr w14:paraId="1E9AF1CD">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860A0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267</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FABC749">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A5E5DE">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55815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值守力量</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F50F7C">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1D30FB">
            <w:pPr>
              <w:jc w:val="center"/>
              <w:rPr>
                <w:rFonts w:hint="eastAsia" w:ascii="宋体" w:hAnsi="宋体" w:eastAsia="宋体" w:cs="宋体"/>
                <w:i w:val="0"/>
                <w:color w:val="auto"/>
                <w:sz w:val="21"/>
                <w:szCs w:val="21"/>
                <w:highlight w:val="none"/>
                <w:u w:val="none"/>
              </w:rPr>
            </w:pPr>
          </w:p>
        </w:tc>
      </w:tr>
      <w:tr w14:paraId="43C67FE8">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EF882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268</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4FF4007">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0EB11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社会力量</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1615E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社会力量获取</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4EDD56">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DC4076">
            <w:pPr>
              <w:jc w:val="center"/>
              <w:rPr>
                <w:rFonts w:hint="eastAsia" w:ascii="宋体" w:hAnsi="宋体" w:eastAsia="宋体" w:cs="宋体"/>
                <w:i w:val="0"/>
                <w:color w:val="auto"/>
                <w:sz w:val="21"/>
                <w:szCs w:val="21"/>
                <w:highlight w:val="none"/>
                <w:u w:val="none"/>
              </w:rPr>
            </w:pPr>
          </w:p>
        </w:tc>
      </w:tr>
      <w:tr w14:paraId="31038B97">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8BC6F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269</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746F1A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FD98DC">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14613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列表数据</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846301">
            <w:pPr>
              <w:jc w:val="center"/>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8F6F2F">
            <w:pPr>
              <w:jc w:val="center"/>
              <w:rPr>
                <w:rFonts w:hint="eastAsia" w:ascii="宋体" w:hAnsi="宋体" w:eastAsia="宋体" w:cs="宋体"/>
                <w:i w:val="0"/>
                <w:color w:val="auto"/>
                <w:sz w:val="21"/>
                <w:szCs w:val="21"/>
                <w:highlight w:val="none"/>
                <w:u w:val="none"/>
              </w:rPr>
            </w:pPr>
          </w:p>
        </w:tc>
      </w:tr>
      <w:tr w14:paraId="44D5AE2E">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9E4F9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270</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C36CAE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E7D03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预案管理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E569B1">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BDAE43">
            <w:pPr>
              <w:jc w:val="center"/>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118990">
            <w:pPr>
              <w:jc w:val="center"/>
              <w:rPr>
                <w:rFonts w:hint="eastAsia" w:ascii="宋体" w:hAnsi="宋体" w:eastAsia="宋体" w:cs="宋体"/>
                <w:i w:val="0"/>
                <w:color w:val="auto"/>
                <w:sz w:val="21"/>
                <w:szCs w:val="21"/>
                <w:highlight w:val="none"/>
                <w:u w:val="none"/>
              </w:rPr>
            </w:pPr>
          </w:p>
        </w:tc>
      </w:tr>
      <w:tr w14:paraId="5458C6BE">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37ECA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271</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287C98C">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40237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安保碰一碰</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4E1FA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二维码生成</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A1B677">
            <w:pPr>
              <w:jc w:val="center"/>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D4FCE6">
            <w:pPr>
              <w:jc w:val="center"/>
              <w:rPr>
                <w:rFonts w:hint="eastAsia" w:ascii="宋体" w:hAnsi="宋体" w:eastAsia="宋体" w:cs="宋体"/>
                <w:i w:val="0"/>
                <w:color w:val="auto"/>
                <w:sz w:val="21"/>
                <w:szCs w:val="21"/>
                <w:highlight w:val="none"/>
                <w:u w:val="none"/>
              </w:rPr>
            </w:pPr>
          </w:p>
        </w:tc>
      </w:tr>
      <w:tr w14:paraId="38A59492">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1F5CE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272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90E39B">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9547B0">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1F692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将人员数据从互联网同步到公安网</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DF309D">
            <w:pPr>
              <w:jc w:val="center"/>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1340CC">
            <w:pPr>
              <w:jc w:val="center"/>
              <w:rPr>
                <w:rFonts w:hint="eastAsia" w:ascii="宋体" w:hAnsi="宋体" w:eastAsia="宋体" w:cs="宋体"/>
                <w:i w:val="0"/>
                <w:color w:val="auto"/>
                <w:sz w:val="21"/>
                <w:szCs w:val="21"/>
                <w:highlight w:val="none"/>
                <w:u w:val="none"/>
              </w:rPr>
            </w:pPr>
          </w:p>
        </w:tc>
      </w:tr>
    </w:tbl>
    <w:p w14:paraId="02E22F2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cs="宋体"/>
          <w:b/>
          <w:bCs w:val="0"/>
          <w:color w:val="auto"/>
          <w:sz w:val="21"/>
          <w:szCs w:val="21"/>
          <w:highlight w:val="none"/>
          <w:lang w:val="zh-CN" w:eastAsia="zh-CN"/>
        </w:rPr>
      </w:pPr>
      <w:r>
        <w:rPr>
          <w:rFonts w:hint="eastAsia" w:ascii="宋体" w:hAnsi="宋体" w:cs="宋体"/>
          <w:b/>
          <w:bCs w:val="0"/>
          <w:color w:val="auto"/>
          <w:sz w:val="21"/>
          <w:szCs w:val="21"/>
          <w:highlight w:val="none"/>
          <w:lang w:val="en-US" w:eastAsia="zh-CN"/>
        </w:rPr>
        <w:t>说明：</w:t>
      </w:r>
      <w:r>
        <w:rPr>
          <w:rFonts w:hint="eastAsia" w:ascii="宋体" w:hAnsi="宋体" w:cs="宋体"/>
          <w:b/>
          <w:bCs w:val="0"/>
          <w:color w:val="auto"/>
          <w:sz w:val="21"/>
          <w:szCs w:val="21"/>
          <w:highlight w:val="none"/>
          <w:lang w:val="zh-CN" w:eastAsia="zh-CN"/>
        </w:rPr>
        <w:t>技术要求响应及偏离</w:t>
      </w:r>
    </w:p>
    <w:p w14:paraId="74710CF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cs="宋体"/>
          <w:b w:val="0"/>
          <w:bCs/>
          <w:color w:val="auto"/>
          <w:sz w:val="21"/>
          <w:szCs w:val="21"/>
          <w:highlight w:val="none"/>
          <w:lang w:val="zh-CN" w:eastAsia="zh-CN"/>
        </w:rPr>
      </w:pPr>
      <w:r>
        <w:rPr>
          <w:rFonts w:hint="eastAsia" w:ascii="宋体" w:hAnsi="宋体" w:cs="宋体"/>
          <w:b w:val="0"/>
          <w:bCs/>
          <w:i/>
          <w:iCs/>
          <w:color w:val="auto"/>
          <w:sz w:val="21"/>
          <w:szCs w:val="21"/>
          <w:highlight w:val="none"/>
          <w:u w:val="single"/>
          <w:lang w:val="zh-CN" w:eastAsia="zh-CN"/>
        </w:rPr>
        <w:t>技术参数中</w:t>
      </w:r>
      <w:r>
        <w:rPr>
          <w:rFonts w:hint="eastAsia" w:ascii="宋体" w:hAnsi="宋体" w:cs="宋体"/>
          <w:b/>
          <w:bCs w:val="0"/>
          <w:i/>
          <w:iCs/>
          <w:color w:val="auto"/>
          <w:sz w:val="21"/>
          <w:szCs w:val="21"/>
          <w:highlight w:val="none"/>
          <w:u w:val="single"/>
          <w:lang w:val="zh-CN" w:eastAsia="zh-CN"/>
        </w:rPr>
        <w:t>斜体且有下划线部分</w:t>
      </w:r>
      <w:r>
        <w:rPr>
          <w:rFonts w:hint="eastAsia" w:ascii="宋体" w:hAnsi="宋体" w:cs="宋体"/>
          <w:b w:val="0"/>
          <w:bCs/>
          <w:i/>
          <w:iCs/>
          <w:color w:val="auto"/>
          <w:sz w:val="21"/>
          <w:szCs w:val="21"/>
          <w:highlight w:val="none"/>
          <w:u w:val="single"/>
          <w:lang w:val="zh-CN" w:eastAsia="zh-CN"/>
        </w:rPr>
        <w:t>的技术参数要求为实质性要求，投标人应在《技术要求响应及偏离表》逐条列出，负偏离按无效响应处理（注意：如某项标识中包含多条技术参数或要求，则该项标识所含内容均需满足或优于招标文件要求，否则不予认可）。</w:t>
      </w:r>
    </w:p>
    <w:p w14:paraId="198D0B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cs="宋体"/>
          <w:bCs/>
          <w:color w:val="auto"/>
          <w:sz w:val="21"/>
          <w:szCs w:val="21"/>
          <w:highlight w:val="none"/>
          <w:lang w:val="zh-CN" w:eastAsia="zh-CN"/>
        </w:rPr>
      </w:pPr>
      <w:r>
        <w:rPr>
          <w:rFonts w:hint="eastAsia" w:ascii="宋体" w:hAnsi="宋体" w:cs="宋体"/>
          <w:bCs/>
          <w:color w:val="auto"/>
          <w:sz w:val="21"/>
          <w:szCs w:val="21"/>
          <w:highlight w:val="none"/>
          <w:lang w:val="zh-CN" w:eastAsia="zh-CN"/>
        </w:rPr>
        <w:t>注：</w:t>
      </w:r>
      <w:r>
        <w:rPr>
          <w:rFonts w:hint="eastAsia" w:ascii="宋体" w:hAnsi="宋体" w:cs="宋体"/>
          <w:bCs/>
          <w:color w:val="auto"/>
          <w:sz w:val="21"/>
          <w:szCs w:val="21"/>
          <w:highlight w:val="none"/>
          <w:lang w:val="zh-CN" w:eastAsia="zh-CN"/>
        </w:rPr>
        <w:sym w:font="Wingdings" w:char="F081"/>
      </w:r>
      <w:r>
        <w:rPr>
          <w:rFonts w:hint="eastAsia" w:ascii="宋体" w:hAnsi="宋体" w:cs="宋体"/>
          <w:bCs/>
          <w:color w:val="auto"/>
          <w:sz w:val="21"/>
          <w:szCs w:val="21"/>
          <w:highlight w:val="none"/>
          <w:lang w:val="zh-CN" w:eastAsia="zh-CN"/>
        </w:rPr>
        <w:t>“正偏离”指优于招标文件要求；“负偏离”指低于招标文件要求；“符合”指满足招标文件要求。投标人应在《技术参数响应及偏离表》（格式详见第六章投标文件格式）中，对招标文件采购清单内的所有技术参数逐条明确其响应状态，即明确填写“正偏离”、“负偏离”或“符合”，不得遗漏。凡未在《技术参数响应及偏离表》中声明偏离情况的技术条款，均视为“符合”。中标人须在合同履行阶段严格遵守招标文件中对应条款的约定。</w:t>
      </w:r>
    </w:p>
    <w:p w14:paraId="69882B2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630" w:firstLineChars="300"/>
        <w:jc w:val="both"/>
        <w:textAlignment w:val="auto"/>
        <w:outlineLvl w:val="9"/>
        <w:rPr>
          <w:rFonts w:hint="eastAsia" w:ascii="宋体" w:hAnsi="宋体" w:cs="宋体"/>
          <w:b/>
          <w:bCs w:val="0"/>
          <w:color w:val="auto"/>
          <w:sz w:val="21"/>
          <w:szCs w:val="21"/>
          <w:highlight w:val="none"/>
          <w:lang w:val="en-US" w:eastAsia="zh-CN" w:bidi="ar-SA"/>
        </w:rPr>
      </w:pPr>
      <w:r>
        <w:rPr>
          <w:rFonts w:hint="eastAsia" w:ascii="宋体" w:hAnsi="宋体" w:cs="宋体"/>
          <w:bCs/>
          <w:color w:val="auto"/>
          <w:sz w:val="21"/>
          <w:szCs w:val="21"/>
          <w:highlight w:val="none"/>
          <w:lang w:val="zh-CN" w:eastAsia="zh-CN"/>
        </w:rPr>
        <w:sym w:font="Wingdings" w:char="F082"/>
      </w:r>
      <w:r>
        <w:rPr>
          <w:rFonts w:hint="eastAsia" w:ascii="宋体" w:hAnsi="宋体" w:cs="宋体"/>
          <w:bCs/>
          <w:color w:val="auto"/>
          <w:sz w:val="21"/>
          <w:szCs w:val="21"/>
          <w:highlight w:val="none"/>
          <w:lang w:val="zh-CN" w:eastAsia="zh-CN"/>
        </w:rPr>
        <w:t>对于评分项的技术参数须提供相</w:t>
      </w:r>
      <w:r>
        <w:rPr>
          <w:rFonts w:hint="eastAsia" w:ascii="宋体" w:hAnsi="宋体" w:cs="宋体"/>
          <w:bCs/>
          <w:color w:val="auto"/>
          <w:sz w:val="21"/>
          <w:szCs w:val="21"/>
          <w:highlight w:val="none"/>
          <w:lang w:val="en-US" w:eastAsia="zh-CN"/>
        </w:rPr>
        <w:t>对应要求产品的</w:t>
      </w:r>
      <w:r>
        <w:rPr>
          <w:rFonts w:hint="eastAsia" w:ascii="宋体" w:hAnsi="宋体" w:cs="宋体"/>
          <w:bCs/>
          <w:color w:val="auto"/>
          <w:sz w:val="21"/>
          <w:szCs w:val="21"/>
          <w:highlight w:val="none"/>
          <w:lang w:val="zh-CN" w:eastAsia="zh-CN"/>
        </w:rPr>
        <w:t>检测报告</w:t>
      </w:r>
      <w:r>
        <w:rPr>
          <w:rFonts w:hint="eastAsia" w:ascii="宋体" w:hAnsi="宋体" w:cs="宋体"/>
          <w:bCs/>
          <w:color w:val="auto"/>
          <w:sz w:val="21"/>
          <w:szCs w:val="21"/>
          <w:highlight w:val="none"/>
          <w:lang w:val="en-US" w:eastAsia="zh-CN"/>
        </w:rPr>
        <w:t>及证书</w:t>
      </w:r>
      <w:r>
        <w:rPr>
          <w:rFonts w:hint="eastAsia" w:ascii="宋体" w:hAnsi="宋体" w:cs="宋体"/>
          <w:bCs/>
          <w:color w:val="auto"/>
          <w:sz w:val="21"/>
          <w:szCs w:val="21"/>
          <w:highlight w:val="none"/>
          <w:lang w:val="zh-CN" w:eastAsia="zh-CN"/>
        </w:rPr>
        <w:t>，投标人中标后</w:t>
      </w:r>
      <w:r>
        <w:rPr>
          <w:rFonts w:hint="eastAsia" w:ascii="宋体" w:hAnsi="宋体" w:cs="宋体"/>
          <w:bCs/>
          <w:color w:val="auto"/>
          <w:sz w:val="21"/>
          <w:szCs w:val="21"/>
          <w:highlight w:val="none"/>
          <w:lang w:val="en-US" w:eastAsia="zh-CN"/>
        </w:rPr>
        <w:t>验收时</w:t>
      </w:r>
      <w:r>
        <w:rPr>
          <w:rFonts w:hint="eastAsia" w:ascii="宋体" w:hAnsi="宋体" w:cs="宋体"/>
          <w:bCs/>
          <w:color w:val="auto"/>
          <w:sz w:val="21"/>
          <w:szCs w:val="21"/>
          <w:highlight w:val="none"/>
          <w:lang w:val="zh-CN" w:eastAsia="zh-CN"/>
        </w:rPr>
        <w:t>提供，所提供的材料将作为合同履约验收的依据之一。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p>
    <w:p w14:paraId="447157F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宋体" w:hAnsi="宋体" w:cs="宋体"/>
          <w:b/>
          <w:bCs w:val="0"/>
          <w:color w:val="auto"/>
          <w:sz w:val="21"/>
          <w:szCs w:val="21"/>
          <w:highlight w:val="none"/>
          <w:lang w:val="en-US" w:eastAsia="zh-CN" w:bidi="ar-SA"/>
        </w:rPr>
      </w:pPr>
      <w:r>
        <w:rPr>
          <w:rFonts w:hint="eastAsia" w:ascii="宋体" w:hAnsi="宋体" w:cs="宋体"/>
          <w:b/>
          <w:bCs w:val="0"/>
          <w:color w:val="auto"/>
          <w:sz w:val="21"/>
          <w:szCs w:val="21"/>
          <w:highlight w:val="none"/>
          <w:lang w:val="en-US" w:eastAsia="zh-CN" w:bidi="ar-SA"/>
        </w:rPr>
        <w:t>2、</w:t>
      </w:r>
      <w:bookmarkStart w:id="212" w:name="OLE_LINK2"/>
      <w:r>
        <w:rPr>
          <w:rFonts w:hint="eastAsia" w:ascii="宋体" w:hAnsi="宋体" w:eastAsia="宋体" w:cs="宋体"/>
          <w:b/>
          <w:bCs w:val="0"/>
          <w:color w:val="auto"/>
          <w:sz w:val="21"/>
          <w:szCs w:val="21"/>
          <w:highlight w:val="none"/>
          <w:lang w:val="zh-CN" w:eastAsia="zh-CN" w:bidi="ar-SA"/>
        </w:rPr>
        <w:t>智慧村居前端点位工作量清单</w:t>
      </w:r>
      <w:bookmarkEnd w:id="212"/>
      <w:r>
        <w:rPr>
          <w:rFonts w:hint="eastAsia" w:ascii="宋体" w:hAnsi="宋体" w:cs="宋体"/>
          <w:b/>
          <w:bCs w:val="0"/>
          <w:color w:val="auto"/>
          <w:sz w:val="21"/>
          <w:szCs w:val="21"/>
          <w:highlight w:val="none"/>
          <w:lang w:val="en-US" w:eastAsia="zh-CN" w:bidi="ar-SA"/>
        </w:rPr>
        <w:t>详见附件。</w:t>
      </w:r>
    </w:p>
    <w:p w14:paraId="5281F0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宋体" w:hAnsi="宋体" w:eastAsia="宋体" w:cs="宋体"/>
          <w:b/>
          <w:bCs w:val="0"/>
          <w:color w:val="auto"/>
          <w:sz w:val="21"/>
          <w:szCs w:val="21"/>
          <w:highlight w:val="none"/>
          <w:lang w:val="zh-CN" w:eastAsia="zh-CN"/>
        </w:rPr>
      </w:pPr>
      <w:r>
        <w:rPr>
          <w:rFonts w:hint="eastAsia" w:ascii="宋体" w:hAnsi="宋体" w:cs="宋体"/>
          <w:b/>
          <w:bCs w:val="0"/>
          <w:color w:val="auto"/>
          <w:sz w:val="21"/>
          <w:szCs w:val="21"/>
          <w:highlight w:val="none"/>
          <w:lang w:val="en-US" w:eastAsia="zh-CN"/>
        </w:rPr>
        <w:t>3</w:t>
      </w:r>
      <w:r>
        <w:rPr>
          <w:rFonts w:hint="eastAsia" w:ascii="宋体" w:hAnsi="宋体" w:eastAsia="宋体" w:cs="宋体"/>
          <w:b/>
          <w:bCs w:val="0"/>
          <w:color w:val="auto"/>
          <w:sz w:val="21"/>
          <w:szCs w:val="21"/>
          <w:highlight w:val="none"/>
          <w:lang w:val="en-US" w:eastAsia="zh-CN"/>
        </w:rPr>
        <w:t>、</w:t>
      </w:r>
      <w:r>
        <w:rPr>
          <w:rFonts w:hint="eastAsia" w:ascii="宋体" w:hAnsi="宋体" w:eastAsia="宋体" w:cs="宋体"/>
          <w:b/>
          <w:bCs w:val="0"/>
          <w:color w:val="auto"/>
          <w:sz w:val="21"/>
          <w:szCs w:val="21"/>
          <w:highlight w:val="none"/>
          <w:lang w:val="zh-CN" w:eastAsia="zh-CN"/>
        </w:rPr>
        <w:t>运营商链路租赁要求</w:t>
      </w:r>
    </w:p>
    <w:p w14:paraId="5D111F6E">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bCs/>
          <w:color w:val="auto"/>
          <w:sz w:val="21"/>
          <w:szCs w:val="21"/>
          <w:highlight w:val="none"/>
          <w:lang w:val="zh-CN"/>
        </w:rPr>
      </w:pPr>
      <w:r>
        <w:rPr>
          <w:rFonts w:hint="eastAsia" w:ascii="宋体" w:hAnsi="宋体" w:eastAsia="宋体" w:cs="宋体"/>
          <w:bCs/>
          <w:i/>
          <w:iCs/>
          <w:color w:val="auto"/>
          <w:sz w:val="21"/>
          <w:szCs w:val="21"/>
          <w:highlight w:val="none"/>
          <w:u w:val="single"/>
          <w:lang w:val="zh-CN"/>
        </w:rPr>
        <w:t>带宽规划：根据本项目的点位定义标准，按每个点位带宽需求来定。本项目采用后台集中存储，运营商需保证各条链路峰值数据量的需求。同时能根据业务带宽使用情况进行优化调整，保证各前端监控点网络顺畅，本项目运营商所采用的路由、猫等网络交换设备需为全新，不得使用老旧设备影响网络，相关费用各投标人综合考虑进投标报价。（投标时提供该项内容承诺书原件扫描件</w:t>
      </w:r>
      <w:r>
        <w:rPr>
          <w:rFonts w:hint="eastAsia" w:ascii="宋体" w:hAnsi="宋体" w:cs="宋体"/>
          <w:bCs/>
          <w:i/>
          <w:iCs/>
          <w:color w:val="auto"/>
          <w:sz w:val="21"/>
          <w:szCs w:val="21"/>
          <w:highlight w:val="none"/>
          <w:u w:val="single"/>
          <w:lang w:val="en-US" w:eastAsia="zh-CN"/>
        </w:rPr>
        <w:t>并加盖投标人公章</w:t>
      </w:r>
      <w:r>
        <w:rPr>
          <w:rFonts w:hint="eastAsia" w:ascii="宋体" w:hAnsi="宋体" w:eastAsia="宋体" w:cs="宋体"/>
          <w:bCs/>
          <w:i/>
          <w:iCs/>
          <w:color w:val="auto"/>
          <w:sz w:val="21"/>
          <w:szCs w:val="21"/>
          <w:highlight w:val="none"/>
          <w:u w:val="single"/>
          <w:lang w:val="zh-CN"/>
        </w:rPr>
        <w:t>（格式自拟），否则按未实质性响应处理）</w:t>
      </w:r>
    </w:p>
    <w:p w14:paraId="7F7EF1F5">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在合同期内，中标供应商须提供全天候7*24小时响应维护，系统故障应在接到报修通知后，维修人员3小时内到达现场，6小时内处理完故障，特殊情况下经采购人同意应在24小时内处理完故障,如不能修复，必须在24小时内更换备品备件。大型活动期间或遇有大型突发事件，根据采购人需求，投标人应指派技术人员到现场进行技术保障。</w:t>
      </w:r>
    </w:p>
    <w:p w14:paraId="10B0BD9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bCs/>
          <w:color w:val="auto"/>
          <w:sz w:val="21"/>
          <w:szCs w:val="21"/>
          <w:highlight w:val="none"/>
          <w:lang w:val="zh-CN"/>
        </w:rPr>
      </w:pPr>
      <w:r>
        <w:rPr>
          <w:rFonts w:hint="eastAsia" w:ascii="宋体" w:hAnsi="宋体" w:cs="宋体"/>
          <w:bCs/>
          <w:i/>
          <w:iCs/>
          <w:color w:val="auto"/>
          <w:sz w:val="21"/>
          <w:szCs w:val="21"/>
          <w:highlight w:val="none"/>
          <w:u w:val="single"/>
          <w:lang w:val="en-US" w:eastAsia="zh-CN"/>
        </w:rPr>
        <w:t>投标人</w:t>
      </w:r>
      <w:r>
        <w:rPr>
          <w:rFonts w:hint="eastAsia" w:ascii="宋体" w:hAnsi="宋体" w:eastAsia="宋体" w:cs="宋体"/>
          <w:bCs/>
          <w:i/>
          <w:iCs/>
          <w:color w:val="auto"/>
          <w:sz w:val="21"/>
          <w:szCs w:val="21"/>
          <w:highlight w:val="none"/>
          <w:u w:val="single"/>
          <w:lang w:val="zh-CN"/>
        </w:rPr>
        <w:t>承诺</w:t>
      </w:r>
      <w:r>
        <w:rPr>
          <w:rFonts w:hint="eastAsia" w:ascii="宋体" w:hAnsi="宋体" w:cs="宋体"/>
          <w:bCs/>
          <w:i/>
          <w:iCs/>
          <w:color w:val="auto"/>
          <w:sz w:val="21"/>
          <w:szCs w:val="21"/>
          <w:highlight w:val="none"/>
          <w:u w:val="single"/>
          <w:lang w:val="en-US" w:eastAsia="zh-CN"/>
        </w:rPr>
        <w:t>中标后</w:t>
      </w:r>
      <w:r>
        <w:rPr>
          <w:rFonts w:hint="eastAsia" w:ascii="宋体" w:hAnsi="宋体" w:eastAsia="宋体" w:cs="宋体"/>
          <w:bCs/>
          <w:i/>
          <w:iCs/>
          <w:color w:val="auto"/>
          <w:sz w:val="21"/>
          <w:szCs w:val="21"/>
          <w:highlight w:val="none"/>
          <w:u w:val="single"/>
          <w:lang w:val="zh-CN"/>
        </w:rPr>
        <w:t>每年须提供不少于30个点位的免费迁移服务，包含但不限于该点位所有设备、杆件、辅材、链路、接电、人工等，具体迁移点位由甲方决定，迁移过程中的所有费用由乙方承担，超出上述点位数部分的迁移产生的所有费用由甲方承担；乙方应按照甲方需求承诺每年提供不少于十场安保活动的链路租赁服务。（</w:t>
      </w:r>
      <w:r>
        <w:rPr>
          <w:rFonts w:hint="eastAsia" w:ascii="宋体" w:hAnsi="宋体" w:cs="宋体"/>
          <w:bCs/>
          <w:i/>
          <w:iCs/>
          <w:color w:val="auto"/>
          <w:sz w:val="21"/>
          <w:szCs w:val="21"/>
          <w:highlight w:val="none"/>
          <w:u w:val="single"/>
          <w:lang w:val="en-US" w:eastAsia="zh-CN"/>
        </w:rPr>
        <w:t>投标时提供该项内容</w:t>
      </w:r>
      <w:r>
        <w:rPr>
          <w:rFonts w:hint="eastAsia" w:ascii="宋体" w:hAnsi="宋体" w:eastAsia="宋体" w:cs="宋体"/>
          <w:bCs/>
          <w:i/>
          <w:iCs/>
          <w:color w:val="auto"/>
          <w:sz w:val="21"/>
          <w:szCs w:val="21"/>
          <w:highlight w:val="none"/>
          <w:u w:val="single"/>
          <w:lang w:val="zh-CN"/>
        </w:rPr>
        <w:t>承诺</w:t>
      </w:r>
      <w:r>
        <w:rPr>
          <w:rFonts w:hint="eastAsia" w:ascii="宋体" w:hAnsi="宋体" w:cs="宋体"/>
          <w:bCs/>
          <w:i/>
          <w:iCs/>
          <w:color w:val="auto"/>
          <w:sz w:val="21"/>
          <w:szCs w:val="21"/>
          <w:highlight w:val="none"/>
          <w:u w:val="single"/>
          <w:lang w:val="en-US" w:eastAsia="zh-CN"/>
        </w:rPr>
        <w:t>书原件扫描件并加盖投标人公章，</w:t>
      </w:r>
      <w:r>
        <w:rPr>
          <w:rFonts w:hint="eastAsia" w:ascii="宋体" w:hAnsi="宋体" w:eastAsia="宋体" w:cs="宋体"/>
          <w:bCs/>
          <w:i/>
          <w:iCs/>
          <w:color w:val="auto"/>
          <w:sz w:val="21"/>
          <w:szCs w:val="21"/>
          <w:highlight w:val="none"/>
          <w:u w:val="single"/>
          <w:lang w:val="zh-CN"/>
        </w:rPr>
        <w:t>格式详见附件</w:t>
      </w:r>
      <w:r>
        <w:rPr>
          <w:rFonts w:hint="eastAsia" w:ascii="宋体" w:hAnsi="宋体" w:cs="宋体"/>
          <w:bCs/>
          <w:i/>
          <w:iCs/>
          <w:color w:val="auto"/>
          <w:sz w:val="21"/>
          <w:szCs w:val="21"/>
          <w:highlight w:val="none"/>
          <w:u w:val="single"/>
          <w:lang w:val="zh-CN"/>
        </w:rPr>
        <w:t>，</w:t>
      </w:r>
      <w:r>
        <w:rPr>
          <w:rFonts w:hint="eastAsia" w:ascii="宋体" w:hAnsi="宋体" w:eastAsia="宋体" w:cs="宋体"/>
          <w:bCs/>
          <w:i/>
          <w:iCs/>
          <w:color w:val="auto"/>
          <w:sz w:val="21"/>
          <w:szCs w:val="21"/>
          <w:highlight w:val="none"/>
          <w:u w:val="single"/>
          <w:lang w:val="zh-CN"/>
        </w:rPr>
        <w:t>否则按未实质性响应处理）</w:t>
      </w:r>
      <w:r>
        <w:rPr>
          <w:rFonts w:hint="eastAsia" w:ascii="宋体" w:hAnsi="宋体" w:eastAsia="宋体" w:cs="宋体"/>
          <w:bCs/>
          <w:color w:val="auto"/>
          <w:sz w:val="21"/>
          <w:szCs w:val="21"/>
          <w:highlight w:val="none"/>
          <w:lang w:val="zh-CN"/>
        </w:rPr>
        <w:t>。</w:t>
      </w:r>
    </w:p>
    <w:p w14:paraId="43D521E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en-US" w:eastAsia="zh-CN"/>
        </w:rPr>
        <w:t>注：本项目所指的“链路”包括“广播电视专网”</w:t>
      </w:r>
    </w:p>
    <w:p w14:paraId="7025274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五、</w:t>
      </w:r>
      <w:r>
        <w:rPr>
          <w:rFonts w:hint="eastAsia" w:ascii="宋体" w:hAnsi="宋体" w:eastAsia="宋体" w:cs="宋体"/>
          <w:b/>
          <w:color w:val="auto"/>
          <w:sz w:val="21"/>
          <w:szCs w:val="21"/>
          <w:highlight w:val="none"/>
          <w:lang w:eastAsia="zh-CN"/>
        </w:rPr>
        <w:t>类似业绩</w:t>
      </w:r>
    </w:p>
    <w:p w14:paraId="46BC5A5E">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zh-CN" w:eastAsia="zh-CN"/>
        </w:rPr>
        <w:t>年</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eastAsia="zh-CN"/>
        </w:rPr>
        <w:t>月1日以来（以合同签订日期为准），投标人具有智能化项目业绩的</w:t>
      </w:r>
      <w:r>
        <w:rPr>
          <w:rFonts w:hint="eastAsia" w:ascii="宋体" w:hAnsi="宋体" w:eastAsia="宋体" w:cs="宋体"/>
          <w:color w:val="auto"/>
          <w:sz w:val="21"/>
          <w:szCs w:val="21"/>
          <w:highlight w:val="none"/>
          <w:lang w:val="en-US" w:eastAsia="zh-CN"/>
        </w:rPr>
        <w:t>优先</w:t>
      </w:r>
      <w:r>
        <w:rPr>
          <w:rFonts w:hint="eastAsia" w:ascii="宋体" w:hAnsi="宋体" w:eastAsia="宋体" w:cs="宋体"/>
          <w:color w:val="auto"/>
          <w:sz w:val="21"/>
          <w:szCs w:val="21"/>
          <w:highlight w:val="none"/>
          <w:lang w:val="zh-CN"/>
        </w:rPr>
        <w:t>。</w:t>
      </w:r>
    </w:p>
    <w:p w14:paraId="2A1F54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宋体" w:hAnsi="宋体" w:eastAsia="宋体" w:cs="宋体"/>
          <w:b/>
          <w:color w:val="auto"/>
          <w:sz w:val="21"/>
          <w:szCs w:val="21"/>
          <w:highlight w:val="none"/>
          <w:lang w:val="en-US" w:eastAsia="zh-CN"/>
        </w:rPr>
      </w:pPr>
      <w:bookmarkStart w:id="213" w:name="_Toc120614281"/>
      <w:r>
        <w:rPr>
          <w:rFonts w:hint="eastAsia" w:ascii="宋体" w:hAnsi="宋体" w:cs="宋体"/>
          <w:b/>
          <w:color w:val="auto"/>
          <w:sz w:val="21"/>
          <w:szCs w:val="21"/>
          <w:highlight w:val="none"/>
          <w:lang w:val="en-US" w:eastAsia="zh-CN"/>
        </w:rPr>
        <w:t>六、</w:t>
      </w:r>
      <w:r>
        <w:rPr>
          <w:rFonts w:hint="eastAsia" w:ascii="宋体" w:hAnsi="宋体" w:eastAsia="宋体" w:cs="宋体"/>
          <w:b/>
          <w:color w:val="auto"/>
          <w:sz w:val="21"/>
          <w:szCs w:val="21"/>
          <w:highlight w:val="none"/>
          <w:lang w:val="en-US" w:eastAsia="zh-CN"/>
        </w:rPr>
        <w:t>实施方案</w:t>
      </w:r>
    </w:p>
    <w:p w14:paraId="1D5D1D19">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投标人需结合本项目建设背景、政策依据、建设范围、实战需求，编制完整的项目总体方案，至少包含前期调研基础、建设思路、布点原则、资源整合、点位优化、功能实现、创新亮点七大核心模块，全面贴合32个智慧安防村居、沿海海防、丹顶鹤生态保护区专项防控建设要求。</w:t>
      </w:r>
      <w:r>
        <w:rPr>
          <w:rFonts w:hint="eastAsia" w:ascii="宋体" w:hAnsi="宋体" w:eastAsia="宋体" w:cs="宋体"/>
          <w:color w:val="auto"/>
          <w:sz w:val="21"/>
          <w:szCs w:val="21"/>
          <w:highlight w:val="none"/>
          <w:lang w:val="zh-CN" w:eastAsia="zh-CN"/>
        </w:rPr>
        <w:t>前期调研与方案编制基础说明</w:t>
      </w:r>
      <w:r>
        <w:rPr>
          <w:rFonts w:hint="eastAsia" w:ascii="宋体" w:hAnsi="宋体" w:cs="宋体"/>
          <w:color w:val="auto"/>
          <w:sz w:val="21"/>
          <w:szCs w:val="21"/>
          <w:highlight w:val="none"/>
          <w:lang w:val="zh-CN" w:eastAsia="zh-CN"/>
        </w:rPr>
        <w:t>：</w:t>
      </w:r>
      <w:r>
        <w:rPr>
          <w:rFonts w:hint="eastAsia" w:ascii="宋体" w:hAnsi="宋体" w:eastAsia="宋体" w:cs="宋体"/>
          <w:color w:val="auto"/>
          <w:sz w:val="21"/>
          <w:szCs w:val="21"/>
          <w:highlight w:val="none"/>
          <w:lang w:val="en-US" w:eastAsia="zh-CN"/>
        </w:rPr>
        <w:t>本模块为评标重点考察内容，用于核验投标人对项目实际情况的掌握程度与方案编制的客观依据。投标人须如实阐述项目调研开展情况、调研覆盖内容、调研成果对方案的支撑作用，不得虚构调研信息。调研开展总体情况说明</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投标人须明确说明是否赴甲方单位及项目建设现场开展实地调研，如实列明调研时间、参与人员、对接的甲方部门及人员、调研主要形式（现场踏勘、座谈交流、资料查阅、线上对接等）。未开展实地调研的投标人须如实说明情况，阐述当前对项目现状的信息掌握渠道，并明确中标后进场前的补充实地调研工作计划、调研深度与成果输出形式。调研覆盖核心内容</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投标人须列明调研工作覆盖的具体维度，未开展实地调研的须列明当前已掌握的对应项目信息，调研内容须至少覆盖以下方面：1、现场点位与环境：32个目标村居的点位分布、立杆基础条件、供电与网络覆盖现状、周边地形与遮挡情况；沿海岸线、丹顶鹤保护区专项防控点位的施工条件、环境特征、生态保护要求。2、存量资源底数：2024、2025年已建智慧安防项目的前端设备型号、运行状态，传输链路带宽与覆盖范围，机房基础设施、现有视频平台、安全设备的配置与可利旧程度。3、业务实战需求：基层派出所、海防、生态保护等警种的日常防控痛点、案件研判需求、应急处置流程，以及村居治理的实际应用场景。4、合规与配套条件：公安网络架构、等保三级与密评三级合规要求、机房承载能力、</w:t>
      </w:r>
      <w:r>
        <w:rPr>
          <w:rFonts w:hint="eastAsia" w:ascii="宋体" w:hAnsi="宋体" w:cs="宋体"/>
          <w:color w:val="auto"/>
          <w:sz w:val="21"/>
          <w:szCs w:val="21"/>
          <w:highlight w:val="none"/>
          <w:lang w:val="en-US" w:eastAsia="zh-CN"/>
        </w:rPr>
        <w:t>国产</w:t>
      </w:r>
      <w:r>
        <w:rPr>
          <w:rFonts w:hint="eastAsia" w:ascii="宋体" w:hAnsi="宋体" w:eastAsia="宋体" w:cs="宋体"/>
          <w:color w:val="auto"/>
          <w:sz w:val="21"/>
          <w:szCs w:val="21"/>
          <w:highlight w:val="none"/>
          <w:lang w:val="en-US" w:eastAsia="zh-CN"/>
        </w:rPr>
        <w:t>适配标准、项目实施边界与跨部门对接机制。调研成果的方案支撑体现</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投标人须说明调研成果在本实施方案中的具体落地应用，例如：1、基于点位实地调研成果，优化了布点布局、施工路径与供电网络接入方案；2、基于存量资源调研结论，明确了设备利旧、系统兼容与数据复用的具体路径；3、基于业务需求调研，完善了功能模块设计、创新亮点方向与实战化应用逻辑；4、基于环境条件调研，制定了针对性的施工保障、设备防护与长效运维措施。</w:t>
      </w:r>
      <w:r>
        <w:rPr>
          <w:rFonts w:hint="eastAsia" w:ascii="宋体" w:hAnsi="宋体" w:cs="宋体"/>
          <w:color w:val="auto"/>
          <w:sz w:val="21"/>
          <w:szCs w:val="21"/>
          <w:highlight w:val="none"/>
          <w:lang w:val="en-US" w:eastAsia="zh-CN"/>
        </w:rPr>
        <w:t>以及</w:t>
      </w:r>
      <w:r>
        <w:rPr>
          <w:rFonts w:hint="eastAsia" w:ascii="宋体" w:hAnsi="宋体" w:eastAsia="宋体" w:cs="宋体"/>
          <w:color w:val="auto"/>
          <w:sz w:val="21"/>
          <w:szCs w:val="21"/>
          <w:highlight w:val="none"/>
          <w:lang w:val="zh-CN" w:eastAsia="zh-CN"/>
        </w:rPr>
        <w:t>投标人应根据采购需求和本项目实际要求，制订相应的服务方案至少包含以下内容：</w:t>
      </w:r>
    </w:p>
    <w:p w14:paraId="0DE3FDB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6.1</w:t>
      </w:r>
      <w:r>
        <w:rPr>
          <w:rFonts w:hint="eastAsia" w:ascii="宋体" w:hAnsi="宋体" w:eastAsia="宋体" w:cs="宋体"/>
          <w:color w:val="auto"/>
          <w:sz w:val="21"/>
          <w:szCs w:val="21"/>
          <w:highlight w:val="none"/>
          <w:lang w:val="zh-CN" w:eastAsia="zh-CN"/>
        </w:rPr>
        <w:t>总体方案</w:t>
      </w:r>
    </w:p>
    <w:p w14:paraId="001A7037">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方案至少包含：①、建设思路；②、布点原则；③、资源整合；④、优化点位；⑤、功能实现；⑥创新亮点与特色提升</w:t>
      </w:r>
    </w:p>
    <w:p w14:paraId="454E5A8D">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6.1.</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zh-CN" w:eastAsia="zh-CN"/>
        </w:rPr>
        <w:t>建设思路</w:t>
      </w:r>
    </w:p>
    <w:p w14:paraId="621758BA">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需结合国家、省、市公安智慧安防、科技兴警、生态保护、网络安全相关政策，立足本项目农村治安防控、沿海偷渡防控、丹顶鹤保护区生态防护、公安数据智能赋能、全链路网络安全防护五大核心需求，制定专属项目建设思路，需包含指导依据、总体建设思路、年度建设目标三部分。</w:t>
      </w:r>
    </w:p>
    <w:p w14:paraId="576A6D7E">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（一）指导依据</w:t>
      </w:r>
    </w:p>
    <w:p w14:paraId="0A3449FC">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需明确本项目建设的全维度依据，包含但不限于：《科技兴警三年行动计划（2023—2025年）》、2026年中央一号文件、江苏省智慧安防村居建设指导意见、GB/T22239、GB/T28181、GA/T1400等国家及行业标准、盐城市数字化改革及信息化项目建设要求，结合亭湖区农村安防现状短板，阐述项目建设合规性与必要性。</w:t>
      </w:r>
    </w:p>
    <w:p w14:paraId="20F78465">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（二）总体建设思路</w:t>
      </w:r>
    </w:p>
    <w:p w14:paraId="281662F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遵循“全域感知、智能协同、安全可控”核心目标，坚持利旧优先、补盲增效、智能升级、安全合规、实战赋能总思路，分基础层、平台层、应用层、安全层四层统筹建设：</w:t>
      </w:r>
    </w:p>
    <w:p w14:paraId="3BF54A6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基础层：全面摸排亭湖区32个规划村居（新兴镇、南洋镇、盐东镇等六大乡镇/街道）现有监控、传输、供电、杆件基础设施，利旧原有项目存量资源，补齐农村盲区、区县交界126处关键通道、15公里沿海岸线、丹顶鹤保护区防控点位，完善前端感知硬件体系。</w:t>
      </w:r>
    </w:p>
    <w:p w14:paraId="6F1C407B">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平台层：依托公安现有视频平台，迭代升级视觉多模态大模型，搭建雷达视频一体化防控、地空协同巡防、数据智能分析一体化智慧中枢，采用云存储+本地存储架构，满足视频30天、人脸/车辆大图180天、小图365天存储要求，适配公安私有网络部署规范。</w:t>
      </w:r>
    </w:p>
    <w:p w14:paraId="527263DC">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3、应用层：聚焦公安实战，落地农村治安防控、沿海反偷渡、保护区反偷猎、案件智能研判、应急快速处置五大应用场景，实现从人工排查向智能预警、事前预判、闭环处置转型。</w:t>
      </w:r>
    </w:p>
    <w:p w14:paraId="68D68481">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4、安全层：严格落实等保三级、商用密码应用要求，搭建全链路网络安全防护体系，覆盖边界防护、数据加密、权限管控、设备安全、日志审计，保障公安限制级数据安全合规。</w:t>
      </w:r>
    </w:p>
    <w:p w14:paraId="3D4D1865">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建设目标（2026年度落地）</w:t>
      </w:r>
    </w:p>
    <w:p w14:paraId="3816F03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需细化量化年度建设目标，包含：全域感知覆盖目标、智能分析赋能目标、治安与生态防控绩效目标、数据安全合规目标、系统兼容互通目标、长效运维保障目标，明确刑事案件降幅、应急处置效率、群众满意度等量化指标。</w:t>
      </w:r>
    </w:p>
    <w:p w14:paraId="5F4D6003">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zh-CN" w:eastAsia="zh-CN"/>
        </w:rPr>
        <w:t>布点原则</w:t>
      </w:r>
    </w:p>
    <w:p w14:paraId="24ACF438">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需结合本项目农村村居分散、沿海盐雾环境、生态保护区管控特殊、区县交界点位复杂的场景特点，在通用布点原则基础上，细化适配本项目的专项布点规则，需包含六大核心原则，贴合32个村居、海岸线、保护区、重点路口布点需求：</w:t>
      </w:r>
    </w:p>
    <w:p w14:paraId="379925A8">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（一）圈层闭环防控原则</w:t>
      </w:r>
    </w:p>
    <w:p w14:paraId="0DE29084">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构建“区县交界外围卡口圈—村内主干道圈—重点场所/生态核心圈”三级防控圈层，实现农村治安、沿海海防、生态保护全域闭环管控。</w:t>
      </w:r>
    </w:p>
    <w:p w14:paraId="0223501E">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（二）盲区清零、轻重分级原则</w:t>
      </w:r>
    </w:p>
    <w:p w14:paraId="2FE7FFD8">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按治安风险、海防风险、生态风险分级，优先补齐农村老旧小区技防盲区、沿海岸线远距离盲区、丹顶鹤保护区核心防控盲区、区县交界流动人员管控盲区，建立分级点位台账。</w:t>
      </w:r>
    </w:p>
    <w:p w14:paraId="32982D79">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（三）利旧集约原则</w:t>
      </w:r>
    </w:p>
    <w:p w14:paraId="4E862943">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最大化利旧前期智慧安防项目的传输网络、供电设施、机房、杆件、监控设备，仅替换老化、不兼容、无智能分析能力的设备，杜绝重复建设，控制建设成本。</w:t>
      </w:r>
    </w:p>
    <w:p w14:paraId="17B1B605">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（四）特殊环境适配原则</w:t>
      </w:r>
    </w:p>
    <w:p w14:paraId="4D553111">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针对沿海高盐雾、农村雷雨霜冻、保护区潮湿复杂环境，选用适配IP67防护、抗腐蚀、抗干扰设备，保障夜间、雨雾恶劣天气正常运行。</w:t>
      </w:r>
    </w:p>
    <w:p w14:paraId="2A9A37C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（五）合规隐私边界原则</w:t>
      </w:r>
    </w:p>
    <w:p w14:paraId="4B1EE371">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严格遵循公安数据安全及个人信息保护规定，所有设备仅部署公共防控区域，严禁覆盖私人院落，点位合规备案，规范数据采集、存储、使用权限。</w:t>
      </w:r>
    </w:p>
    <w:p w14:paraId="120A24E9">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（六）实战易运维原则</w:t>
      </w:r>
    </w:p>
    <w:p w14:paraId="5CF9F77D">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结合农村偏远点位多、运维难度大的特点，优化点位布线、供电、安装位置，兼顾防控效果与后期运维便捷性，适配5年质保运维需求。</w:t>
      </w:r>
    </w:p>
    <w:p w14:paraId="2A2FB3D6">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6.1.</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zh-CN" w:eastAsia="zh-CN"/>
        </w:rPr>
        <w:t>资源整合</w:t>
      </w:r>
    </w:p>
    <w:p w14:paraId="2B6E56F4">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投标人需详细阐述本项目全维度资源整合方案，依托前期两期智慧安防村居项目基础，打通存量硬件、数据平台、跨部门业务、运维人力、市级公共资源，破除数据孤岛与设备壁垒，具体需涵盖五大资源整合内容：</w:t>
      </w:r>
    </w:p>
    <w:p w14:paraId="2C91BDFA">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（一）公安存量安防资源整合</w:t>
      </w:r>
    </w:p>
    <w:p w14:paraId="2BEAA7DE">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全面利旧2024、2025年智慧安防村居项目机房设备、视频存储平台，完成存量设备标准化适配、接口改造，实现新旧设备、系统无缝兼容，存量历史数据无缝复用。</w:t>
      </w:r>
    </w:p>
    <w:p w14:paraId="376D2808">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（二）专项防控资源整合</w:t>
      </w:r>
    </w:p>
    <w:p w14:paraId="2B8E49A4">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整合公安现有海防管控、生态保护区巡查、村居巡防警力资源，联动新建雷达视频一体化防控、低空安防、地空巡防体系，实现人防+技防深度融合。</w:t>
      </w:r>
    </w:p>
    <w:p w14:paraId="2E272F6E">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（三）网络与供电基础设施整合</w:t>
      </w:r>
    </w:p>
    <w:p w14:paraId="7141BC64">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利旧现有公安专用链路、运营商租赁链路，整合村居公共供电回路、原有监控杆件供电体系，优化偏远点位太阳能备用供电方案。</w:t>
      </w:r>
    </w:p>
    <w:p w14:paraId="43451644">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6.1.</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zh-CN" w:eastAsia="zh-CN"/>
        </w:rPr>
        <w:t>优化点位</w:t>
      </w:r>
    </w:p>
    <w:p w14:paraId="4831BE63">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应以本项目初步设计点位方案为基础，结合前期调研与现场全量踏勘情况开展点位优化工作；针对初步设计与现场实际条件不符的情形，须严格按本方案“点位动态调整与设计变更管理机制”履行程序，在保障防控效能、合规标准不降低的前提下优化布局，形成最终可落地的点位实施方案。针对存量设备提质、盲区精准增补、设备差异化适配、防控范围优化、动态迭代五大维度细化，重点优化农村治安点位、沿海雷达视频点位、生态保护区防控点位、区县交界卡口点位：</w:t>
      </w:r>
    </w:p>
    <w:p w14:paraId="76589630">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（一）存量点位提质优化</w:t>
      </w:r>
    </w:p>
    <w:p w14:paraId="23030A8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淘汰老化失效、画面模糊、无智能分析的老旧设备；对存量高清设备适配升级AI算法，兼容多模态大模型数据采集需求；调整遮挡、重叠、视角不合理点位，适配沿海、农村复杂环境。</w:t>
      </w:r>
    </w:p>
    <w:p w14:paraId="24A22894">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（二）核心盲区精准增补</w:t>
      </w:r>
    </w:p>
    <w:p w14:paraId="5FD137AE">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重点增补区县交界通道、农村田间道路、偏远村居、15公里沿海岸线、丹顶鹤保护区缓冲区及核心区防控点位，补齐远距离、夜间、恶劣天气防控盲区。</w:t>
      </w:r>
    </w:p>
    <w:p w14:paraId="676758E7">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（三）点位设备差异化适配</w:t>
      </w:r>
    </w:p>
    <w:p w14:paraId="6370168F">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根据场景匹配专属设备，农村路口部署人脸/车辆抓拍设备，沿海岸线部署雷达+重载云台+夜视激光设备，保护区部署生态防控智能设备，重点村居部署地空巡防终端。</w:t>
      </w:r>
    </w:p>
    <w:p w14:paraId="26D0F13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（四）防控范围仿真优化</w:t>
      </w:r>
    </w:p>
    <w:p w14:paraId="30EFB198">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通过现场测绘、场景推演，优化雷达15公里扫描、视频10公里覆盖范围，消除防控死角，减少点位重叠，优化传输组网，节约建设成本。</w:t>
      </w:r>
    </w:p>
    <w:p w14:paraId="50B76D9E">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6.1.</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zh-CN" w:eastAsia="zh-CN"/>
        </w:rPr>
        <w:t>功能实现</w:t>
      </w:r>
    </w:p>
    <w:p w14:paraId="746E1CFD">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需基于本项目核心建设内容（前端感知补点、雷达视频一体化防控、低空安防体系、视觉多模态大模型、地空一体化巡防、全链路网络安全加固），阐述全系统功能落地方案，覆盖前端感知、边缘智能、平台中枢、实战联动、安全防护、基层治理六大功能模块，需贴合公安实战标准：</w:t>
      </w:r>
    </w:p>
    <w:p w14:paraId="6D3E541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（一）前端感知基础功能</w:t>
      </w:r>
    </w:p>
    <w:p w14:paraId="767A1D11">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实现32个村居全点位高清视频、人脸、车辆结构化数据精准采集，支持设备状态自检、断网续存、恶劣环境稳定运行，满足公安数据采集标准。</w:t>
      </w:r>
    </w:p>
    <w:p w14:paraId="726EBB5B">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（二）专项防控智能功能</w:t>
      </w:r>
    </w:p>
    <w:p w14:paraId="49677DEF">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落地雷达广域探测、视频精准复核、偷渡/偷猎行为智能预警、低空目标监测，实现15公里岸线全域、全时段立体防控。</w:t>
      </w:r>
    </w:p>
    <w:p w14:paraId="662913E3">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（三）多模态AI智能分析功能</w:t>
      </w:r>
    </w:p>
    <w:p w14:paraId="31DDF656">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依托视觉多模态大模型，实现文搜图、图搜图、跨摄像头轨迹追踪、异常行为识别、海量数据秒级解析，提升案件侦破、隐患排查效率。</w:t>
      </w:r>
    </w:p>
    <w:p w14:paraId="2D58391F">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（四）地空协同巡防功能</w:t>
      </w:r>
    </w:p>
    <w:p w14:paraId="1F1A8D1B">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实现无人机自动巡航、地面智能巡逻联动，支持智能调度、突发警情快速响应，构建空天地一体化巡防体系。</w:t>
      </w:r>
    </w:p>
    <w:p w14:paraId="0BBE212C">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（五）平台综合管理与联动功能</w:t>
      </w:r>
    </w:p>
    <w:p w14:paraId="19D9A74A">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实现全设备统一管控、分级权限管理、录像合规存储、预警闭环处置，支持市、区、村居三级平台级联，多部门协同调度。</w:t>
      </w:r>
    </w:p>
    <w:p w14:paraId="54E4F07F">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（六）全链路安全防护功能</w:t>
      </w:r>
    </w:p>
    <w:p w14:paraId="53CC43F9">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落地边界防护、国密加密、视频调阅权限管控、数据真伪校验、日志审计等安全功能，满足等保三级、密评三级合规要求。</w:t>
      </w:r>
    </w:p>
    <w:p w14:paraId="7F05E5CB">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（七）系统兼容扩展功能</w:t>
      </w:r>
    </w:p>
    <w:p w14:paraId="2EEB0A20">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严格遵循GB/T28181、GA/T1400、GB35114标准，适配国产化数据库，预留算法迭代、设备扩容、场景拓展接口。</w:t>
      </w:r>
    </w:p>
    <w:p w14:paraId="18D40705">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6.1.</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zh-CN" w:eastAsia="zh-CN"/>
        </w:rPr>
        <w:t>创新亮点与特色提升</w:t>
      </w:r>
    </w:p>
    <w:p w14:paraId="5518A5F0">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投标人需结合本项目建设内容与公安实战应用场景，在充分调研行业技术现状与基层警务痛点的基础上，锚定1个具体方向提出创新性、可落地的提升思路，作为本项目的特色建设亮点。本模块重点考察投标人对公安基层业务的理解深度、实战问题解决能力与技术创新能力，要求不得脱离本项目既有建设框架，需依托项目现有硬件、平台、数据资源进行延伸与优化，形成可复制、可推广的亭湖智慧安防特色经验。</w:t>
      </w:r>
    </w:p>
    <w:p w14:paraId="201BDFA8">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（一）选题方向参考（投标人可自选方向，不限于以下范围）</w:t>
      </w:r>
    </w:p>
    <w:p w14:paraId="5A5BADEB">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实战应用类：针对沿海偷渡/丹顶鹤保护区偷猎场景的雷视融合智能预警模型优化、农村地区低慢小目标防控创新机制、地空一体化巡防的警情闭环处置流程优化、视觉多模态大模型在农村案件研判中的专项适配训练等。</w:t>
      </w:r>
    </w:p>
    <w:p w14:paraId="01D3E95E">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2、治理延伸类：智慧安防能力向农村特殊群体关爱、耕地保护、防汛防溺水等基层治理场景延伸的创新落地方案。</w:t>
      </w:r>
    </w:p>
    <w:p w14:paraId="3FB00E26">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3、技术优化类：</w:t>
      </w:r>
      <w:r>
        <w:rPr>
          <w:rFonts w:hint="eastAsia" w:ascii="宋体" w:hAnsi="宋体" w:cs="宋体"/>
          <w:color w:val="auto"/>
          <w:sz w:val="21"/>
          <w:szCs w:val="21"/>
          <w:highlight w:val="none"/>
          <w:lang w:val="en-US" w:eastAsia="zh-CN"/>
        </w:rPr>
        <w:t>国产</w:t>
      </w:r>
      <w:r>
        <w:rPr>
          <w:rFonts w:hint="eastAsia" w:ascii="宋体" w:hAnsi="宋体" w:eastAsia="宋体" w:cs="宋体"/>
          <w:color w:val="auto"/>
          <w:sz w:val="21"/>
          <w:szCs w:val="21"/>
          <w:highlight w:val="none"/>
          <w:lang w:val="en-US" w:eastAsia="zh-CN"/>
        </w:rPr>
        <w:t>架构下视觉多模态大模型的算力调度优化、沿海高盐雾环境下前端设备长效运维创新模式、公安限制级数据全生命周期安全管控创新机制等。</w:t>
      </w:r>
    </w:p>
    <w:p w14:paraId="0897B1CE">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（二）编制要求</w:t>
      </w:r>
    </w:p>
    <w:p w14:paraId="5AA527E4">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1、需紧扣亭湖区农村村居、沿海岸线、生态保护区的实际场景，突出问题导向，明确方案解决的具体警务痛点或治理难点；</w:t>
      </w:r>
    </w:p>
    <w:p w14:paraId="430ED9E9">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2、创新思路需具备技术可行性与落地性，详细说明与本项目现有建设内容的衔接方式，不得脱离项目基础单独规划、新增大额建设内容；</w:t>
      </w:r>
    </w:p>
    <w:p w14:paraId="2777A043">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3、量化说明预期成效，明确效能提升指标与特色价值，阐述方案可形成的示范效应与复制推广意义。</w:t>
      </w:r>
    </w:p>
    <w:p w14:paraId="3E01A3DB">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6.2建设方案</w:t>
      </w:r>
    </w:p>
    <w:p w14:paraId="0EC3C671">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方案至少包含</w:t>
      </w:r>
      <w:r>
        <w:rPr>
          <w:rFonts w:hint="eastAsia" w:ascii="宋体" w:hAnsi="宋体" w:eastAsia="宋体" w:cs="宋体"/>
          <w:color w:val="auto"/>
          <w:sz w:val="21"/>
          <w:szCs w:val="21"/>
          <w:highlight w:val="none"/>
          <w:lang w:bidi="ar"/>
        </w:rPr>
        <w:t>：①、设备安装、接电等建设方案；②、各工种同时施工的协调措施；③、工期保证措施；④、质量保证措施；⑤、</w:t>
      </w:r>
      <w:r>
        <w:rPr>
          <w:rFonts w:hint="eastAsia" w:ascii="宋体" w:hAnsi="宋体" w:eastAsia="宋体" w:cs="宋体"/>
          <w:color w:val="auto"/>
          <w:sz w:val="21"/>
          <w:szCs w:val="21"/>
          <w:highlight w:val="none"/>
          <w:lang w:val="zh-CN" w:eastAsia="zh-CN"/>
        </w:rPr>
        <w:t>建设全周期安全管控体系</w:t>
      </w:r>
      <w:r>
        <w:rPr>
          <w:rFonts w:hint="eastAsia" w:ascii="宋体" w:hAnsi="宋体" w:eastAsia="宋体" w:cs="宋体"/>
          <w:color w:val="auto"/>
          <w:sz w:val="21"/>
          <w:szCs w:val="21"/>
          <w:highlight w:val="none"/>
          <w:lang w:bidi="ar"/>
        </w:rPr>
        <w:t>；⑥、</w:t>
      </w:r>
      <w:r>
        <w:rPr>
          <w:rFonts w:hint="eastAsia" w:ascii="宋体" w:hAnsi="宋体" w:eastAsia="宋体" w:cs="宋体"/>
          <w:color w:val="auto"/>
          <w:sz w:val="21"/>
          <w:szCs w:val="21"/>
          <w:highlight w:val="none"/>
          <w:lang w:val="zh-CN" w:eastAsia="zh-CN"/>
        </w:rPr>
        <w:t>点位动态调整与设计变更管理机制</w:t>
      </w:r>
      <w:r>
        <w:rPr>
          <w:rFonts w:hint="eastAsia" w:ascii="宋体" w:hAnsi="宋体" w:eastAsia="宋体" w:cs="宋体"/>
          <w:color w:val="auto"/>
          <w:sz w:val="21"/>
          <w:szCs w:val="21"/>
          <w:highlight w:val="none"/>
          <w:lang w:bidi="ar"/>
        </w:rPr>
        <w:t>；⑦</w:t>
      </w:r>
      <w:r>
        <w:rPr>
          <w:rFonts w:hint="eastAsia" w:ascii="宋体" w:hAnsi="宋体" w:cs="宋体"/>
          <w:color w:val="auto"/>
          <w:sz w:val="21"/>
          <w:szCs w:val="21"/>
          <w:highlight w:val="none"/>
          <w:lang w:eastAsia="zh-CN" w:bidi="ar"/>
        </w:rPr>
        <w:t>、</w:t>
      </w:r>
      <w:r>
        <w:rPr>
          <w:rFonts w:hint="eastAsia" w:ascii="宋体" w:hAnsi="宋体" w:eastAsia="宋体" w:cs="宋体"/>
          <w:color w:val="auto"/>
          <w:sz w:val="21"/>
          <w:szCs w:val="21"/>
          <w:highlight w:val="none"/>
          <w:lang w:val="zh-CN" w:eastAsia="zh-CN"/>
        </w:rPr>
        <w:t>验收组织措施</w:t>
      </w:r>
      <w:r>
        <w:rPr>
          <w:rFonts w:hint="eastAsia" w:ascii="宋体" w:hAnsi="宋体" w:cs="宋体"/>
          <w:color w:val="auto"/>
          <w:sz w:val="21"/>
          <w:szCs w:val="21"/>
          <w:highlight w:val="none"/>
          <w:lang w:val="zh-CN" w:eastAsia="zh-CN"/>
        </w:rPr>
        <w:t>；</w:t>
      </w:r>
    </w:p>
    <w:p w14:paraId="693B8D64">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6.2.1设备安装、接电等建设方案</w:t>
      </w:r>
    </w:p>
    <w:p w14:paraId="578ABBDD">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投标人需针对本项目前端感知设备、雷达视频一体化设备、低空安防设备、巡防设备、安全防护硬件、后台算力及存储设备，制定差异化安装、布线、供电、调试方案，贴合农村、沿海、保护区特殊施工环境：</w:t>
      </w:r>
    </w:p>
    <w:p w14:paraId="52766D77">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（一）总体施工流程</w:t>
      </w:r>
    </w:p>
    <w:p w14:paraId="2D28B2D8">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进场补充调研→初步设计点位复核→差异论证与变更报审→点位最终确认→管线敷设→立杆基础施工→前端各类设备安装接线→供电系统部署→网络传输调试→后台服务器、存储、安全设备部署→平台算法迭代与联调→全系统试运行→验收移交。点位复核须对照初步设计图纸逐一核验，发现现场条件与设计不符的，第一时间启动调整论证与变更程序，经审批确认点位后再开展后续施工。</w:t>
      </w:r>
    </w:p>
    <w:p w14:paraId="25967CA5">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（二）前端设备安装方案</w:t>
      </w:r>
    </w:p>
    <w:p w14:paraId="1A805A80">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区分普通监控、人脸抓拍、车辆识别、雷达、重载云台、无人机鹰巢等设备，制定差异化安装标准，沿海设备增加防腐蚀、防雷、防盐雾处理，保护区设备规避生态干扰，严格遵循公安安防工程施工规范。</w:t>
      </w:r>
    </w:p>
    <w:p w14:paraId="6918AF5C">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（三）供电保障方案</w:t>
      </w:r>
    </w:p>
    <w:p w14:paraId="44E40029">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采用“利旧公安杆件取电+就近公共供电+偏远点位太阳能储能备用”模式，落实防雷、接地、漏电保护措施，保障雷达、大模型算力设备等核心设备7×24小时不间断运行，适配极端天气供电需求。</w:t>
      </w:r>
    </w:p>
    <w:p w14:paraId="7EB06FDB">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（四）网络传输建设方案</w:t>
      </w:r>
    </w:p>
    <w:p w14:paraId="76AF8F16">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利旧现有公安专用链路，无链路点位租赁运营商专线，采用加密传输协议，适配国密VPN安全网关，保障多模态数据、雷达数据、视频数据低时延、安全传输。</w:t>
      </w:r>
    </w:p>
    <w:p w14:paraId="4611F799">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（五）后台机房与平台建设方案</w:t>
      </w:r>
    </w:p>
    <w:p w14:paraId="0E39E4F4">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规范机柜、服务器、4PB存储设备、安全密码设备部署，完成国产化数据库搭建、多模态大模型算法部署、等保三级安全配置，实现全系统合规运行。</w:t>
      </w:r>
    </w:p>
    <w:p w14:paraId="3B8BFFD6">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6.2.2各工种同时施工的协调措施</w:t>
      </w:r>
    </w:p>
    <w:p w14:paraId="3FA9F1BB">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本项目建设点位分散、设备类型多、施工场景复杂，投标人需制定多工种并行施工协调方案，明确组织架构、工种分工、错峰施工、联动协调机制：</w:t>
      </w:r>
    </w:p>
    <w:p w14:paraId="251611F4">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（一）组建专项项目指挥部，统一调度弱电施工组、强电施工组、土建组、设备调试组、算法技术组、安全测评组，落实每日调度、每周复盘制度。</w:t>
      </w:r>
    </w:p>
    <w:p w14:paraId="174255ED">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（二）按乡镇、村居划片分区并行施工，区分农村普通点位、沿海专项点位、保护区点位，明确各工种施工界面，避免交叉冲突、重复施工。</w:t>
      </w:r>
    </w:p>
    <w:p w14:paraId="6031AA0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结合农忙时段、村民作息错峰施工，做好道路开挖、管线施工的现场恢复，降低施工影响；统一调度施工设备、测试仪器、备品备件，提升施工效率。</w:t>
      </w:r>
    </w:p>
    <w:p w14:paraId="1C575B23">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（三）建立建设单位、监理、村委、运营商、施工方四方联动机制，快速解决管线排查、点位调整、供电接入、阻工等各类问题。</w:t>
      </w:r>
    </w:p>
    <w:p w14:paraId="5C0626EE">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6.2.3工期保证措施</w:t>
      </w:r>
    </w:p>
    <w:p w14:paraId="1F8778FA">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本项目总建设期，投标人需制定精细化工期管控方案，明确各阶段关键节点，同时考虑点位调整对工期的影响，保障项目按期完工：</w:t>
      </w:r>
    </w:p>
    <w:p w14:paraId="4C905B0F">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（一）细化全流程工期计划，拆分踏勘设计、设备采购、土建施工、设备安装、系统调试、试运行、验收各阶段工期，明确关键路径，严控节点偏差。</w:t>
      </w:r>
    </w:p>
    <w:p w14:paraId="1FA61D05">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（二）保障设备、算力资源、施工人员足额配置，建立核心设备（雷达、服务器、安全密码设备）备货预警机制，杜绝停工待料。</w:t>
      </w:r>
    </w:p>
    <w:p w14:paraId="36B3AD63">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采用模块化、预制化施工模式，优化偏远点位无线施工方案，缩短管线施工周期；针对算法部署、系统联调等技术环节提前筹备。</w:t>
      </w:r>
    </w:p>
    <w:p w14:paraId="5CFCAC2A">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（三）建立工期考核激励机制，针对复杂场景、恶劣天气及点位调整造成的工期影响，制定工期补救方案，强化外部单位协同，压缩审批及对接周期。</w:t>
      </w:r>
    </w:p>
    <w:p w14:paraId="513512C7">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6.2.4质量保证措施</w:t>
      </w:r>
    </w:p>
    <w:p w14:paraId="3812BF1E">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投标人需严格遵循公安行业标准、国家安防规范、等保及密评要求，制定全流程质量管控方案，保障项目建设质量达标，点位调整后的质量标准不得低于原初步设计要求：</w:t>
      </w:r>
    </w:p>
    <w:p w14:paraId="4D01C48B">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（一）明确质量目标，确保分项工程合格率100%，系统功能、性能、安全全部满足可研及招标要求，数据采集、智能分析、防控预警、安全防护指标达标。</w:t>
      </w:r>
    </w:p>
    <w:p w14:paraId="5AFEC02E">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（二）落实三级质量管控体系（班组自检、项目部复检、监理抽检），隐蔽工程全程旁站、留档备案；点位调整后的施工内容须单独履行质量核验程序。</w:t>
      </w:r>
    </w:p>
    <w:p w14:paraId="4122F40E">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（三）严格设备进场核验，所有硬件设备、算法软件需具备合规资质，符合公安国产化、国密、35114、28181标准，不合格设备一律清场。</w:t>
      </w:r>
    </w:p>
    <w:p w14:paraId="1A2D14FB">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（四）细化施工工艺标准，明确设备安装、布线、接地、数据调试、算法优化等关键工艺要求，保障系统稳定运行、数据精准合规。</w:t>
      </w:r>
    </w:p>
    <w:p w14:paraId="6E0DB17D">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（五）落实成品保护机制，做好设备、管线、已建工程的防护，避免施工损坏、数据丢失。</w:t>
      </w:r>
    </w:p>
    <w:p w14:paraId="564362C1">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6.2.5建设全周期安全管控体系</w:t>
      </w:r>
    </w:p>
    <w:p w14:paraId="56689E46">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本项目涉及公安专网接入、敏感数据处理及野外多点位分散施工，投标人须建立覆盖施工全流程的生产安全、网络安全、数据安全三位一体管控体系，严格遵守公安安全管理各项规定，坚决杜绝各类安全事故发生。本模块为评标核心否决项考察内容。</w:t>
      </w:r>
    </w:p>
    <w:p w14:paraId="179F2865">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（一）施工生产安全管控</w:t>
      </w:r>
    </w:p>
    <w:p w14:paraId="402E6520">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1、安全目标与管理体系坚持零死亡、零重伤、零火灾、零触电、零重大设备事故、零路人安全事故的安全目标，建立全员安全生产责任制，项目经理为第一责任人，配备专职安全员全程旁站监督；所有施工人员必须完成三级安全教育并考核合格，高空作业、电工作业、开挖作业等特种岗位必须持证上岗。</w:t>
      </w:r>
    </w:p>
    <w:p w14:paraId="1194693D">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2、登高作业专项安全管控严格执行高空作业操作规程，作业人员全程佩戴双钩安全带，穿戴防滑鞋，作业点位下方设置警戒区，安排专人地面监护，严禁无关人员进入；登高作业工具必须系挂防坠绳，严禁高空抛物、工具随手放置；立杆吊装、重载云台安装等超高作业须使用合规登高设备，严禁违规攀爬作业；遇雷雨、大风、霜冻、路面结冰等恶劣天气，立即停止所有户外高空作业。</w:t>
      </w:r>
    </w:p>
    <w:p w14:paraId="098493DA">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3、施工车辆交通安全管控所有施工车辆须定期维保，状态合格后方可进场，驾驶员须具备相应准驾资质，严禁酒驾、疲劳驾驶、超速行驶；乡村狭窄道路、村居内部道路减速慢行，主动避让行人和农用车辆，严禁占道停车；夜间施工车辆须开启警示标识，物料运输做好捆扎固定，防止遗洒坠落；施工现场车辆按指定区域有序停放，严禁占用消防通道、主干道及村口人行通道。</w:t>
      </w:r>
    </w:p>
    <w:p w14:paraId="7040A655">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4、基坑/地笼施工路人安全管控所有立杆基础开挖、地笼施工点位必须设置硬质围挡与醒目安全警示标识，夜间加装频闪警示灯；深度超过1米的基坑设置临边防护措施；位于村口、主干道旁、人员密集区域的施工点位，必须安排专人值守引导路人绕行，严禁无防护敞口过夜；当日可完工的基坑必须当日回填，无法当日完成的采取钢板全覆盖防护措施，防止路人、牲畜坠落受伤；施工完成后及时恢复路面原貌，清理施工垃圾，消除通行隐患。</w:t>
      </w:r>
    </w:p>
    <w:p w14:paraId="42692E75">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5、常规作业安全与应急处置严格落实用电安全“一机一闸一漏”要求，户外带电作业挂牌上锁，雨天暂停所有户外接线作业；规范材料堆放，配备足量消防器材，现场安排专人值守防火防盗；制定触电、高空坠落、路人意外伤害、台风暴雨、汛情等专项应急预案，配备急救箱、应急照明、防汛物资，定期开展应急演练，确保突发情况快速处置。</w:t>
      </w:r>
    </w:p>
    <w:p w14:paraId="7C11C520">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（二）网络安全专项管控</w:t>
      </w:r>
    </w:p>
    <w:p w14:paraId="14281154">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投标人须严格遵守公安网络安全管理红线规定，坚决杜绝“一机两用”“两网互通”等违规行为，确保施工全过程网络边界清晰、接入合规，不发生任何网络安全责任事故。</w:t>
      </w:r>
    </w:p>
    <w:p w14:paraId="1061C13D">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1、网络隔离刚性要求严格执行公安视频专网、公安信息网、互联网、政务外网物理隔离的硬性规定，所有网络链路施工必须明确边界标识，严禁跨网私接线缆、违规打通网络；施工过程中不得擅自更改现有网络架构，不得将任何未授权设备接入公安专网，严禁破坏原有网络安全防护体系。</w:t>
      </w:r>
    </w:p>
    <w:p w14:paraId="5A9B6AAB">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2、终端设备专项管控所有用于项目调试、施工的电脑、笔记本等终端设备实行“专网专用、专机专用”，严禁同一台设备交替接入公安3、专网与互联网；专网调试终端必须拆除无线网卡、蓝牙等所有无线通信模块，安装违规外联监测程序，经甲方科信部门审核备案后方可接入；严禁使用个人手机、私人电脑、随身WiFi等设备接入公安网络及周边设备。</w:t>
      </w:r>
    </w:p>
    <w:p w14:paraId="384712EE">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4、存储介质规范管理移动硬盘、U盘等存储介质按网络分区专用，专网介质标注明确标识，严禁接入互联网及其他非公安网络；跨网数据交换必须通过甲方指定的安全隔离设备进行，严禁私自用U盘、移动硬盘等介质跨网拷贝数据；所有专网介质实行登记管理，领用、归还全程留痕，项目结束后统一移交甲方处置。</w:t>
      </w:r>
    </w:p>
    <w:p w14:paraId="16E8D7A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5、接入审批流程管控所有设备、终端接入公安网络前，必须提前向建设单位科信部门提交正式接入申请，说明设备用途、接入时长、接入点位、IP地址，经审批通过后，在甲方专人监督下完成接入；施工临时接入设备在工作完成后立即拆除，恢复网络原有状态，严禁私自长期挂靠。</w:t>
      </w:r>
    </w:p>
    <w:p w14:paraId="56655C2B">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6、责任与监督机制所有施工人员必须签订《网络安全责任书》，开展公安网络安全规定专项培训，明确“一机两用”“两网互通”的违规后果；项目配备专职网络安全管理员，全程监督施工过程网络操作，每日开展违规外联自查，发现问题立即整改并第一时间上报建设单位。</w:t>
      </w:r>
    </w:p>
    <w:p w14:paraId="1DDA99EE">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（三）数据安全专项管控</w:t>
      </w:r>
    </w:p>
    <w:p w14:paraId="48B52C20">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本项目涉及人脸、车辆、视频等公安限制级敏感数据，投标人须建立数据全生命周期安全管控机制，严防数据泄露、篡改、滥用，不发生任何数据泄露责任事件。</w:t>
      </w:r>
    </w:p>
    <w:p w14:paraId="1107AC8C">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1、数据采集传输安全前端设备采集的敏感数据必须通过加密链路传输，严禁明文传输；施工调试过程中严禁私自缓存、复制、下载人脸抓拍、车辆识别、监控视频等原始敏感数据；野外调试设备断网时产生的本地缓存数据，联网后自动同步至公安专网存储，调试完成后立即彻底清除本地缓存。</w:t>
      </w:r>
    </w:p>
    <w:p w14:paraId="42E95E4F">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2、调试测试数据安全系统调试、算法测试优先使用脱敏样本数据，确需使用真实业务数据的，须经甲方书面审批同意，且仅限指定设备、指定人员在指定场所使用；严禁通过微信、邮箱、网盘、私人聊天等互联网渠道传输、存储项目任何敏感数据；调试结束后，所有测试终端、临时存储设备中的原始数据必须彻底清除，不得留存任何副本。</w:t>
      </w:r>
    </w:p>
    <w:p w14:paraId="7D429FC4">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3、数据存储与访问安全项目所有业务数据必须全部存储于公安内网指定存储设备，严禁私自备份存储至外部设备、个人终端或第三方云平台；存储设备实行专人管理，施工人员访问数据须经甲方逐次授权，访问操作全程留痕、日志可追溯；严禁对敏感视频、人脸图片、车辆信息进行拍照、截屏、转录、外传。</w:t>
      </w:r>
    </w:p>
    <w:p w14:paraId="0C38646F">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4、人员保密管理所有参与项目的施工、调试、运维人员必须签订《保密承诺书》，明确数据保密责任与违规追责条款；开展数据安全与保密专项培训，明确敏感数据范围与管控要求；人员离岗、项目交付时，立即收回所有数据访问权限，彻底清除其工作设备中的所有项目数据。</w:t>
      </w:r>
    </w:p>
    <w:p w14:paraId="4B1A0788">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5、交付与归档安全项目交付时同步完成全量数据清理核查，确保所有临时数据、测试数据、缓存数据全部清除，无数据残留；竣工资料不得包含人脸、车辆等原始敏感数据，涉密资料严格按公安保密规定归档移交。</w:t>
      </w:r>
    </w:p>
    <w:p w14:paraId="7B9D54BB">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6.2.6点位动态调整与设计变更管理机制</w:t>
      </w:r>
    </w:p>
    <w:p w14:paraId="3E47BA89">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本项目已完成初步点位设计与施工流程规划，鉴于初步设计至现场施工存在时间差，现场地形地貌、管线分布、村居建设、权属协调等情况可能发生变化，投标人需针对初步设计与现场实际不符的情形，制定完整的点位调整与设计变更管理方案，确保调整过程合规、防控效能不降低、工期质量不受影响。本模块为评标重点考察内容，投标人需结合项目实际细化阐述，至少包含以下内容：</w:t>
      </w:r>
    </w:p>
    <w:p w14:paraId="3C8631DC">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一）现场前置复核与差异排查机制施工进场前，投标人须对照初步设计点位图纸、施工方案，对32个村居全部点位开展100%现场复核，逐一核查点位选址、立杆条件、供电接入、管线走向、周边遮挡、权属协调等内容，全面排查初步设计与现场实际的差异点，形成《初步设计-现场情况差异台账》，明确差异类型、影响程度、调整建议，报监理及建设单位备案。针对沿海岸线、丹顶鹤保护区等特殊区域，须额外开展环境适配性复核，重点核验生态保护要求、盐雾腐蚀影响、地形沉降风险等内容，确保点位调整符合专项管控要求。</w:t>
      </w:r>
    </w:p>
    <w:p w14:paraId="4CB5286A">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（二）点位调整原则与适用场景点位调整须严格遵循「防控效能不降低、建设规模不突破、合规标准不下降、实战需求为核心」四大原则，仅可在以下场景依规调整，严禁随意变更初步设计方案：</w:t>
      </w:r>
    </w:p>
    <w:p w14:paraId="1B0A3673">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eastAsia="zh-CN"/>
        </w:rPr>
        <w:t>现场存在地下管线、文物、生态保护红线等无法施工的客观障碍；</w:t>
      </w:r>
    </w:p>
    <w:p w14:paraId="7DEAD3BF">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zh-CN" w:eastAsia="zh-CN"/>
        </w:rPr>
        <w:t>点位周边新增建筑物、植被遮挡，导致监控/探测效果无法达到设计指标；</w:t>
      </w:r>
    </w:p>
    <w:p w14:paraId="2E75AF80">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zh-CN" w:eastAsia="zh-CN"/>
        </w:rPr>
        <w:t>供电、网络接入条件发生变化，原设计方案无法落地；</w:t>
      </w:r>
    </w:p>
    <w:p w14:paraId="44ECC07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val="zh-CN" w:eastAsia="zh-CN"/>
        </w:rPr>
        <w:t>公安业务部门根据实战需求提出的点位优化调整；</w:t>
      </w:r>
    </w:p>
    <w:p w14:paraId="6722236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zh-CN" w:eastAsia="zh-CN"/>
        </w:rPr>
        <w:t>因村居规划、道路建设等客观因素导致原点位失效。所有调整均须保证对应区域防控覆盖无死角、技术指标不低于初步设计要求，不得因调整降低整体安防体系效能。</w:t>
      </w:r>
    </w:p>
    <w:p w14:paraId="5EDF7AA7">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（三）分级设计变更审批流程投标人须建立分级变更审批机制，严格履行建设单位、监理单位审批程序，严禁先施工后变更：</w:t>
      </w:r>
    </w:p>
    <w:p w14:paraId="6D3CEA5C">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eastAsia="zh-CN"/>
        </w:rPr>
        <w:t>一般调整：点位小幅移位（位移距离≤50米）、设备安装角度微调、管线路径优化等不影响防控效能、不增加投资的变更，由投标人提出调整方案，报监理单位审核、建设单位科信及业务部门确认后实施。</w:t>
      </w:r>
    </w:p>
    <w:p w14:paraId="5D7790C8">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zh-CN" w:eastAsia="zh-CN"/>
        </w:rPr>
        <w:t>重大变更：点位取消、新增点位、设备型号变更、防控范围调整、涉及投资变化的变更，须由投标人提交专项论证报告，说明变更原因、调整方案、效能影响、造价变化，经监理单位初审、建设单位组织业务与技术部门联合评审通过后方可实施。所有变更须留存完整书面资料、现场影像、审批签字文件，作为竣工资料及验收依据。</w:t>
      </w:r>
    </w:p>
    <w:p w14:paraId="0046C224">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（四）调整后的质量与工期保障措施投标人须明确点位调整后的质量管控与工期补救方案：</w:t>
      </w:r>
    </w:p>
    <w:p w14:paraId="47A977BF">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eastAsia="zh-CN"/>
        </w:rPr>
        <w:t>质量保障：调整后的点位须重新开展技术参数验算、覆盖范围仿真，确保视频覆盖、雷达探测、抓拍精度等指标满足设计标准；施工工艺、材料标准不得低于原设计要求。</w:t>
      </w:r>
    </w:p>
    <w:p w14:paraId="56095FA5">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zh-CN" w:eastAsia="zh-CN"/>
        </w:rPr>
        <w:t>工期保障：建立变更快速响应机制，一般变更24小时内完成方案报审，重大变更3个工作日内完成论证；对点位调整造成的工期影响，须通过优化施工顺序、增加作业班组、并行施工等方式补救，确保总工期不突破240天要求。</w:t>
      </w:r>
    </w:p>
    <w:p w14:paraId="3554249F">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五）防控效能兜底与动态台账管理点位调整过程中，若出现临时防控盲区，投标人须制定临时防控预案，通过移动监控、加密人工巡防、临时布设设备等方式兜底，确保防控无断档。全过程建立《点位设计变更动态台账》，逐一记录变更原因、审批流程、调整前后参数、现场验收情况，竣工阶段同步更新竣工图纸，确保图实一致、资料完整可追溯。</w:t>
      </w:r>
    </w:p>
    <w:p w14:paraId="3C0BCB9C">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6.2.7验收组织措施</w:t>
      </w:r>
    </w:p>
    <w:p w14:paraId="657D9083">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投标人需制定贴合公安项目规范的验收方案，明确验收组织、验收内容、验收流程、整改移交机制，覆盖硬件、软件、算法、安全、资料全维度验收，同步核验设计变更合规性与安全管控落地成效：</w:t>
      </w:r>
    </w:p>
    <w:p w14:paraId="05C66AF4">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（一）组建建设单位、监理、施工单位、公安使用单位四方验收小组，严格按照可研指标、初步设计要求、行业标准、安全管理规定及变更台账开展验收。</w:t>
      </w:r>
    </w:p>
    <w:p w14:paraId="377E78A7">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二）验收内容包含：前端设备安装质量、供电网络稳定性、雷达及大模型功能、AI预警准确率、数据存储合规性、网络安全防护达标性、系统联动效能、全套竣工资料；实物验收须对照初步设计图纸及变更台账，核验点位实际布设情况，核查所有设计变更的审批资料与合规性，确认调整后点位的防控覆盖、技术参数达标；专项验收网络安全隔离措施、数据安全管控机制、人员保密协议签订情况、一机两用防控落地成效，安全不达标不得通过验收。</w:t>
      </w:r>
    </w:p>
    <w:p w14:paraId="18183857">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（三）规范验收流程：施工自检→监理预验收→问题整改闭环→四方联合竣工验收→功能模拟测试→安全专项核验→资料核查→正式移交。</w:t>
      </w:r>
    </w:p>
    <w:p w14:paraId="66BB2719">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（四）针对验收问题建立台账，限期整改复验，完成人员培训、账号移交、资料归档后，正式进入5年质保期。</w:t>
      </w:r>
    </w:p>
    <w:p w14:paraId="79623145">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6.3售后服务方案</w:t>
      </w:r>
    </w:p>
    <w:p w14:paraId="1A89B5A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方案至少包含：</w:t>
      </w:r>
      <w:r>
        <w:rPr>
          <w:rFonts w:hint="eastAsia" w:ascii="宋体" w:hAnsi="宋体" w:eastAsia="宋体" w:cs="宋体"/>
          <w:color w:val="auto"/>
          <w:sz w:val="21"/>
          <w:szCs w:val="21"/>
          <w:highlight w:val="none"/>
          <w:lang w:bidi="ar"/>
        </w:rPr>
        <w:t>①、售后服务管理体系与维保方案；②、售后服务计划与服务承诺完善性；③、售后服务计划与服务承诺可行性；④、售后服务人员的技术水平；⑤、现场服务措施（如响应时间、服务范围、应急处理方案等）</w:t>
      </w:r>
    </w:p>
    <w:p w14:paraId="73864613">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6.3.1售后服务管理体系与维保方案</w:t>
      </w:r>
    </w:p>
    <w:p w14:paraId="473AF6F7">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1、建立专属项目售后服务体系，设立运维主管、硬件工程师、算法运维工程师、安全运维专员、客服专员，实现全流程闭环运维管理，适配公安7×24小时实战需求。</w:t>
      </w:r>
    </w:p>
    <w:p w14:paraId="40D8558F">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2、明确全品类维保范围，包含前端感知设备、雷达防控设备、低空巡防设备、算力存储设备、网络安全硬件、多模态大模型算法、平台软件、传输供电系统等全部建设内容。</w:t>
      </w:r>
    </w:p>
    <w:p w14:paraId="78D6C7B5">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3、制定分级维保机制，落实日常远程巡检、季度现场巡检、年度全面检修、极端天气专项排查，同步开展算法迭代优化、安全漏洞修复、数据合规核查。</w:t>
      </w:r>
    </w:p>
    <w:p w14:paraId="26C5FF11">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6.3.2售后服务计划与服务承诺完善性</w:t>
      </w:r>
    </w:p>
    <w:p w14:paraId="1C5A4304">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常态化运维计划：每月远程核查设备在线率、数据存储完整性、系统运行稳定性、网络安全态势；每季度现场排查设备故障、优化AI算法精度、检测网络安全防护有效性；每年完成系统全面升级、点位微调、安全合规测评。</w:t>
      </w:r>
    </w:p>
    <w:p w14:paraId="690E8941">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2、专项培训计划：项目交付前后，针对公安运维人员、村居工作人员开展设备操作、平台使用、故障排查、安全管理、算法应用专项培训。</w:t>
      </w:r>
    </w:p>
    <w:p w14:paraId="4EE882D4">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备品备件保障计划：本地储备全套易损硬件、专项设备备件，保障雷达、摄像头、安全设备等故障快速更换，不影响实战应用。</w:t>
      </w:r>
    </w:p>
    <w:p w14:paraId="3DCCC75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3、量化服务承诺：明确设备在线率、录像完好率、AI告警准确率、系统稳定运行率、故障修复率等量化指标，承诺7×24小时热线服务，满足公安实战运维标准。</w:t>
      </w:r>
    </w:p>
    <w:p w14:paraId="490984CE">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6.3.3售后服务计划与服务承诺可行性</w:t>
      </w:r>
    </w:p>
    <w:p w14:paraId="3B895EDB">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需结合本地服务能力、团队配置、备件储备、项目经验，论证售后服务可行性：重点说明本地化驻点服务机制、专职运维团队配置、公安同类项目运维经验、极端场景应急处置能力、算法迭代与安全运维专业能力，保障偏远村居、沿海、保护区点位运维全覆盖、无死角。</w:t>
      </w:r>
    </w:p>
    <w:p w14:paraId="165334C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6.3.4售后服务人员的技术水平</w:t>
      </w:r>
    </w:p>
    <w:p w14:paraId="5C96AB9D">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需明确运维团队资质与技术能力，团队人员需具备安防工程、网络安全、AI算法、公安视频平台运维、商用密码设备运维相关资质，熟悉公安行业标准、本项目多模态大模型、雷达防控、网络安全防护核心技术，具备智慧安防村居同类项目运维经验。</w:t>
      </w:r>
    </w:p>
    <w:p w14:paraId="3DAA5937">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6.3.5现场服务措施（响应时间、服务范围、应急处理）</w:t>
      </w:r>
    </w:p>
    <w:p w14:paraId="73896109">
      <w:pPr>
        <w:keepNext w:val="0"/>
        <w:keepLines w:val="0"/>
        <w:pageBreakBefore w:val="0"/>
        <w:widowControl w:val="0"/>
        <w:numPr>
          <w:ilvl w:val="0"/>
          <w:numId w:val="5"/>
        </w:numPr>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响应时间承诺：在合同期内，中标供应商须提供全天候7*24小时响应维护，系统故障应在接到报修通知后，维修人员3小时内到达现场，6小时内处理完故障，特殊情况下经采购人同意应在24小时内处理完故障,如不能修复，必须在24小时内更换备品备件。大型活动期间或遇有大型突发事件，根据采购人需求，投标人应指派技术人员到现场进行技术保障。</w:t>
      </w:r>
    </w:p>
    <w:p w14:paraId="00BB467C">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2、服务范围：全覆盖本项目32个建设村居、沿海防控带、丹顶鹤保护区所有建设设备、系统、算法及安全防护体系。</w:t>
      </w:r>
    </w:p>
    <w:p w14:paraId="13249DB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专项应急处理：制定设备大面积离线、雷达系统故障、大模型算力异常、网络安全攻击、数据泄露风险、极端天气损毁等各类突发事件应急处置方案，配合公安开展突发事件技术支撑、录像调取、线索研判等工作。</w:t>
      </w:r>
    </w:p>
    <w:p w14:paraId="68E45A1A">
      <w:pPr>
        <w:pStyle w:val="217"/>
        <w:widowControl w:val="0"/>
        <w:shd w:val="clear" w:color="auto" w:fill="auto"/>
        <w:spacing w:line="460" w:lineRule="exact"/>
        <w:rPr>
          <w:rFonts w:ascii="宋体" w:hAnsi="宋体" w:cs="宋体"/>
          <w:b/>
          <w:color w:val="auto"/>
          <w:sz w:val="24"/>
          <w:highlight w:val="none"/>
        </w:rPr>
      </w:pPr>
      <w:r>
        <w:rPr>
          <w:rFonts w:hint="eastAsia" w:ascii="宋体" w:hAnsi="宋体" w:cs="宋体"/>
          <w:b/>
          <w:color w:val="auto"/>
          <w:sz w:val="24"/>
          <w:highlight w:val="none"/>
          <w:lang w:val="en-US" w:eastAsia="zh-CN"/>
        </w:rPr>
        <w:t>七</w:t>
      </w:r>
      <w:r>
        <w:rPr>
          <w:rFonts w:hint="eastAsia" w:ascii="宋体" w:hAnsi="宋体" w:cs="宋体"/>
          <w:b/>
          <w:color w:val="auto"/>
          <w:sz w:val="24"/>
          <w:highlight w:val="none"/>
        </w:rPr>
        <w:t>、采购标的对应的中小企业划分标准所属行业一览表</w:t>
      </w:r>
    </w:p>
    <w:tbl>
      <w:tblPr>
        <w:tblStyle w:val="31"/>
        <w:tblW w:w="8928" w:type="dxa"/>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57"/>
        <w:gridCol w:w="2693"/>
        <w:gridCol w:w="5078"/>
      </w:tblGrid>
      <w:tr w14:paraId="36E52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atLeast"/>
          <w:tblCellSpacing w:w="0" w:type="dxa"/>
          <w:jc w:val="center"/>
        </w:trPr>
        <w:tc>
          <w:tcPr>
            <w:tcW w:w="1157" w:type="dxa"/>
            <w:tcBorders>
              <w:top w:val="single" w:color="000000" w:sz="4" w:space="0"/>
              <w:left w:val="single" w:color="000000" w:sz="4" w:space="0"/>
              <w:bottom w:val="single" w:color="000000" w:sz="4" w:space="0"/>
              <w:right w:val="single" w:color="000000" w:sz="4" w:space="0"/>
            </w:tcBorders>
            <w:vAlign w:val="center"/>
          </w:tcPr>
          <w:p w14:paraId="229F9EA4">
            <w:pPr>
              <w:pStyle w:val="29"/>
              <w:shd w:val="clear" w:color="auto" w:fill="auto"/>
              <w:spacing w:beforeAutospacing="0" w:afterAutospacing="0" w:line="0" w:lineRule="atLeast"/>
              <w:jc w:val="center"/>
              <w:rPr>
                <w:b/>
                <w:color w:val="auto"/>
                <w:highlight w:val="none"/>
              </w:rPr>
            </w:pPr>
            <w:r>
              <w:rPr>
                <w:rFonts w:hint="eastAsia"/>
                <w:b/>
                <w:color w:val="auto"/>
                <w:highlight w:val="none"/>
              </w:rPr>
              <w:t>序号</w:t>
            </w:r>
          </w:p>
        </w:tc>
        <w:tc>
          <w:tcPr>
            <w:tcW w:w="2693" w:type="dxa"/>
            <w:tcBorders>
              <w:top w:val="single" w:color="000000" w:sz="4" w:space="0"/>
              <w:left w:val="single" w:color="000000" w:sz="4" w:space="0"/>
              <w:bottom w:val="single" w:color="000000" w:sz="4" w:space="0"/>
              <w:right w:val="single" w:color="000000" w:sz="4" w:space="0"/>
            </w:tcBorders>
            <w:vAlign w:val="center"/>
          </w:tcPr>
          <w:p w14:paraId="1C63B289">
            <w:pPr>
              <w:pStyle w:val="29"/>
              <w:shd w:val="clear" w:color="auto" w:fill="auto"/>
              <w:spacing w:beforeAutospacing="0" w:afterAutospacing="0" w:line="0" w:lineRule="atLeast"/>
              <w:jc w:val="center"/>
              <w:rPr>
                <w:b/>
                <w:color w:val="auto"/>
                <w:highlight w:val="none"/>
              </w:rPr>
            </w:pPr>
            <w:r>
              <w:rPr>
                <w:rFonts w:hint="eastAsia"/>
                <w:b/>
                <w:color w:val="auto"/>
                <w:highlight w:val="none"/>
              </w:rPr>
              <w:t>采购标的</w:t>
            </w:r>
          </w:p>
        </w:tc>
        <w:tc>
          <w:tcPr>
            <w:tcW w:w="5078" w:type="dxa"/>
            <w:tcBorders>
              <w:top w:val="single" w:color="000000" w:sz="4" w:space="0"/>
              <w:left w:val="single" w:color="000000" w:sz="4" w:space="0"/>
              <w:bottom w:val="single" w:color="000000" w:sz="4" w:space="0"/>
              <w:right w:val="single" w:color="000000" w:sz="4" w:space="0"/>
            </w:tcBorders>
            <w:vAlign w:val="center"/>
          </w:tcPr>
          <w:p w14:paraId="438F1EF4">
            <w:pPr>
              <w:pStyle w:val="29"/>
              <w:shd w:val="clear" w:color="auto" w:fill="auto"/>
              <w:spacing w:beforeAutospacing="0" w:afterAutospacing="0" w:line="0" w:lineRule="atLeast"/>
              <w:jc w:val="center"/>
              <w:rPr>
                <w:b/>
                <w:color w:val="auto"/>
                <w:highlight w:val="none"/>
              </w:rPr>
            </w:pPr>
            <w:r>
              <w:rPr>
                <w:rFonts w:hint="eastAsia"/>
                <w:b/>
                <w:color w:val="auto"/>
                <w:highlight w:val="none"/>
              </w:rPr>
              <w:t>对应中小企业划分标准所属行业</w:t>
            </w:r>
          </w:p>
        </w:tc>
      </w:tr>
      <w:tr w14:paraId="7CBE5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3" w:hRule="atLeast"/>
          <w:tblCellSpacing w:w="0" w:type="dxa"/>
          <w:jc w:val="center"/>
        </w:trPr>
        <w:tc>
          <w:tcPr>
            <w:tcW w:w="1157" w:type="dxa"/>
            <w:tcBorders>
              <w:top w:val="single" w:color="000000" w:sz="4" w:space="0"/>
              <w:left w:val="single" w:color="000000" w:sz="4" w:space="0"/>
              <w:bottom w:val="single" w:color="000000" w:sz="4" w:space="0"/>
              <w:right w:val="single" w:color="000000" w:sz="4" w:space="0"/>
            </w:tcBorders>
            <w:vAlign w:val="center"/>
          </w:tcPr>
          <w:p w14:paraId="7B41A6E9">
            <w:pPr>
              <w:pStyle w:val="29"/>
              <w:shd w:val="clear" w:color="auto" w:fill="auto"/>
              <w:spacing w:beforeAutospacing="0" w:afterAutospacing="0" w:line="0" w:lineRule="atLeast"/>
              <w:jc w:val="center"/>
              <w:rPr>
                <w:b/>
                <w:color w:val="auto"/>
                <w:highlight w:val="none"/>
              </w:rPr>
            </w:pPr>
            <w:r>
              <w:rPr>
                <w:rFonts w:hint="eastAsia"/>
                <w:b/>
                <w:color w:val="auto"/>
                <w:highlight w:val="none"/>
              </w:rPr>
              <w:t>1</w:t>
            </w:r>
          </w:p>
        </w:tc>
        <w:tc>
          <w:tcPr>
            <w:tcW w:w="2693" w:type="dxa"/>
            <w:tcBorders>
              <w:top w:val="single" w:color="000000" w:sz="4" w:space="0"/>
              <w:left w:val="single" w:color="000000" w:sz="4" w:space="0"/>
              <w:bottom w:val="single" w:color="000000" w:sz="4" w:space="0"/>
              <w:right w:val="single" w:color="000000" w:sz="4" w:space="0"/>
            </w:tcBorders>
            <w:vAlign w:val="center"/>
          </w:tcPr>
          <w:p w14:paraId="6E6440D7">
            <w:pPr>
              <w:pStyle w:val="29"/>
              <w:shd w:val="clear" w:color="auto" w:fill="auto"/>
              <w:spacing w:beforeAutospacing="0" w:afterAutospacing="0" w:line="0" w:lineRule="atLeast"/>
              <w:jc w:val="center"/>
              <w:rPr>
                <w:rFonts w:hint="eastAsia"/>
                <w:b/>
                <w:color w:val="auto"/>
                <w:highlight w:val="none"/>
              </w:rPr>
            </w:pPr>
            <w:r>
              <w:rPr>
                <w:rFonts w:hint="eastAsia"/>
                <w:b/>
                <w:color w:val="auto"/>
                <w:highlight w:val="none"/>
              </w:rPr>
              <w:t>盐城市公安局亭湖分局农村地区智慧安防村居</w:t>
            </w:r>
          </w:p>
          <w:p w14:paraId="3881F3F1">
            <w:pPr>
              <w:pStyle w:val="29"/>
              <w:shd w:val="clear" w:color="auto" w:fill="auto"/>
              <w:spacing w:beforeAutospacing="0" w:afterAutospacing="0" w:line="0" w:lineRule="atLeast"/>
              <w:jc w:val="center"/>
              <w:rPr>
                <w:b/>
                <w:color w:val="auto"/>
                <w:highlight w:val="none"/>
              </w:rPr>
            </w:pPr>
            <w:r>
              <w:rPr>
                <w:rFonts w:hint="eastAsia"/>
                <w:b/>
                <w:color w:val="auto"/>
                <w:highlight w:val="none"/>
              </w:rPr>
              <w:t>建设(2026年)项目</w:t>
            </w:r>
          </w:p>
        </w:tc>
        <w:tc>
          <w:tcPr>
            <w:tcW w:w="5078" w:type="dxa"/>
            <w:tcBorders>
              <w:top w:val="single" w:color="000000" w:sz="4" w:space="0"/>
              <w:left w:val="single" w:color="000000" w:sz="4" w:space="0"/>
              <w:bottom w:val="single" w:color="000000" w:sz="4" w:space="0"/>
              <w:right w:val="single" w:color="000000" w:sz="4" w:space="0"/>
            </w:tcBorders>
            <w:vAlign w:val="center"/>
          </w:tcPr>
          <w:p w14:paraId="5E3068C2">
            <w:pPr>
              <w:pStyle w:val="29"/>
              <w:shd w:val="clear" w:color="auto" w:fill="auto"/>
              <w:spacing w:beforeAutospacing="0" w:afterAutospacing="0" w:line="0" w:lineRule="atLeast"/>
              <w:jc w:val="center"/>
              <w:rPr>
                <w:rFonts w:hint="eastAsia" w:eastAsia="宋体"/>
                <w:b/>
                <w:color w:val="auto"/>
                <w:highlight w:val="none"/>
                <w:lang w:val="en-US" w:eastAsia="zh-CN"/>
              </w:rPr>
            </w:pPr>
            <w:r>
              <w:rPr>
                <w:rFonts w:hint="eastAsia" w:eastAsia="宋体"/>
                <w:b/>
                <w:color w:val="auto"/>
                <w:highlight w:val="none"/>
                <w:lang w:val="en-US" w:eastAsia="zh-CN"/>
              </w:rPr>
              <w:t>工业</w:t>
            </w:r>
          </w:p>
        </w:tc>
      </w:tr>
    </w:tbl>
    <w:p w14:paraId="28A4CD33">
      <w:pPr>
        <w:tabs>
          <w:tab w:val="left" w:pos="720"/>
          <w:tab w:val="left" w:pos="1080"/>
        </w:tabs>
        <w:spacing w:line="520" w:lineRule="exact"/>
        <w:ind w:firstLine="480"/>
        <w:rPr>
          <w:rFonts w:hint="eastAsia" w:ascii="宋体" w:hAnsi="宋体" w:cs="宋体"/>
          <w:bCs/>
          <w:color w:val="auto"/>
          <w:sz w:val="21"/>
          <w:szCs w:val="21"/>
          <w:highlight w:val="none"/>
          <w:lang w:val="zh-CN" w:eastAsia="zh-CN"/>
        </w:rPr>
      </w:pPr>
    </w:p>
    <w:p w14:paraId="06163030">
      <w:pPr>
        <w:tabs>
          <w:tab w:val="left" w:pos="720"/>
          <w:tab w:val="left" w:pos="1080"/>
        </w:tabs>
        <w:spacing w:line="520" w:lineRule="exact"/>
        <w:ind w:firstLine="48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br w:type="page"/>
      </w:r>
    </w:p>
    <w:p w14:paraId="618C5019">
      <w:pPr>
        <w:jc w:val="center"/>
        <w:rPr>
          <w:color w:val="auto"/>
          <w:highlight w:val="none"/>
        </w:rPr>
      </w:pPr>
      <w:r>
        <w:rPr>
          <w:rFonts w:hint="eastAsia" w:ascii="黑体" w:hAnsi="宋体" w:eastAsia="黑体" w:cs="黑体"/>
          <w:color w:val="auto"/>
          <w:sz w:val="44"/>
          <w:szCs w:val="44"/>
          <w:highlight w:val="none"/>
        </w:rPr>
        <w:t>第五章 </w:t>
      </w:r>
      <w:r>
        <w:rPr>
          <w:rFonts w:hint="eastAsia" w:ascii="黑体" w:hAnsi="宋体" w:eastAsia="黑体" w:cs="黑体"/>
          <w:b/>
          <w:color w:val="auto"/>
          <w:sz w:val="44"/>
          <w:szCs w:val="44"/>
          <w:highlight w:val="none"/>
        </w:rPr>
        <w:t>评标方法与评标标准</w:t>
      </w:r>
    </w:p>
    <w:p w14:paraId="00DDDEF3">
      <w:pPr>
        <w:spacing w:line="360" w:lineRule="auto"/>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一、定标原则</w:t>
      </w:r>
    </w:p>
    <w:p w14:paraId="2741A0F1">
      <w:pPr>
        <w:spacing w:line="360" w:lineRule="auto"/>
        <w:ind w:firstLine="420"/>
        <w:rPr>
          <w:rFonts w:hint="eastAsia" w:ascii="宋体" w:hAnsi="宋体" w:cs="宋体"/>
          <w:color w:val="auto"/>
          <w:szCs w:val="21"/>
          <w:highlight w:val="none"/>
        </w:rPr>
      </w:pPr>
      <w:r>
        <w:rPr>
          <w:rFonts w:hint="eastAsia" w:ascii="宋体" w:hAnsi="宋体" w:cs="宋体"/>
          <w:bCs/>
          <w:color w:val="auto"/>
          <w:szCs w:val="21"/>
          <w:highlight w:val="none"/>
        </w:rPr>
        <w:t>本项目采用</w:t>
      </w:r>
      <w:r>
        <w:rPr>
          <w:rFonts w:hint="eastAsia" w:ascii="宋体" w:hAnsi="宋体" w:cs="宋体"/>
          <w:bCs/>
          <w:color w:val="auto"/>
          <w:szCs w:val="21"/>
          <w:highlight w:val="none"/>
          <w:u w:val="single"/>
        </w:rPr>
        <w:t>综合评分</w:t>
      </w:r>
      <w:r>
        <w:rPr>
          <w:rFonts w:hint="eastAsia" w:ascii="宋体" w:hAnsi="宋体" w:cs="宋体"/>
          <w:bCs/>
          <w:color w:val="auto"/>
          <w:szCs w:val="21"/>
          <w:highlight w:val="none"/>
        </w:rPr>
        <w:t>法。</w:t>
      </w:r>
      <w:r>
        <w:rPr>
          <w:rFonts w:hint="eastAsia" w:ascii="宋体" w:hAnsi="宋体" w:cs="宋体"/>
          <w:color w:val="auto"/>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425040A1">
      <w:pPr>
        <w:spacing w:line="360" w:lineRule="auto"/>
        <w:ind w:firstLine="422"/>
        <w:rPr>
          <w:rFonts w:hint="eastAsia" w:ascii="宋体" w:hAnsi="宋体" w:cs="宋体"/>
          <w:color w:val="auto"/>
          <w:szCs w:val="21"/>
          <w:highlight w:val="none"/>
        </w:rPr>
      </w:pPr>
      <w:r>
        <w:rPr>
          <w:rFonts w:hint="eastAsia" w:ascii="宋体" w:hAnsi="宋体" w:cs="宋体"/>
          <w:b/>
          <w:color w:val="auto"/>
          <w:szCs w:val="21"/>
          <w:highlight w:val="none"/>
        </w:rPr>
        <w:t>政府采购政策功能落实</w:t>
      </w:r>
    </w:p>
    <w:p w14:paraId="1D851CC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1、小微型企业价格扣除</w:t>
      </w:r>
    </w:p>
    <w:p w14:paraId="460DEED3">
      <w:pPr>
        <w:spacing w:line="360" w:lineRule="auto"/>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w:t>
      </w:r>
      <w:r>
        <w:rPr>
          <w:rFonts w:hint="eastAsia" w:ascii="宋体" w:hAnsi="宋体" w:eastAsia="宋体" w:cs="宋体"/>
          <w:color w:val="auto"/>
          <w:sz w:val="21"/>
          <w:szCs w:val="21"/>
          <w:highlight w:val="none"/>
        </w:rPr>
        <w:t>本项目不专门面向中小企业采购，对符合规定的小型和微型企业报价给予20%的扣除价格，用扣除后的价格参与评审</w:t>
      </w:r>
      <w:r>
        <w:rPr>
          <w:rFonts w:hint="eastAsia" w:ascii="宋体" w:hAnsi="宋体" w:eastAsia="宋体" w:cs="宋体"/>
          <w:color w:val="auto"/>
          <w:sz w:val="21"/>
          <w:szCs w:val="21"/>
          <w:highlight w:val="none"/>
          <w:lang w:eastAsia="zh-CN"/>
        </w:rPr>
        <w:t>。</w:t>
      </w:r>
    </w:p>
    <w:p w14:paraId="04D7C9E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（2）供应商需按照采购文件的要求提供相应的《中小企业声明函》。</w:t>
      </w:r>
    </w:p>
    <w:p w14:paraId="07E2317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（3）企业标准请参照《关于印发中小企业划型标准规定的通知》（工信部联企业〔2011〕300号）文件规定自行填写。</w:t>
      </w:r>
    </w:p>
    <w:p w14:paraId="54FF100C">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2、残疾人福利单位价格扣除</w:t>
      </w:r>
      <w:r>
        <w:rPr>
          <w:rFonts w:hint="eastAsia" w:ascii="宋体" w:hAnsi="宋体" w:eastAsia="宋体" w:cs="宋体"/>
          <w:color w:val="auto"/>
          <w:sz w:val="21"/>
          <w:szCs w:val="21"/>
          <w:highlight w:val="none"/>
        </w:rPr>
        <w:t>，给予20%的价格扣除，用扣除后的价格参与评审</w:t>
      </w:r>
      <w:r>
        <w:rPr>
          <w:rFonts w:hint="eastAsia" w:ascii="宋体" w:hAnsi="宋体" w:eastAsia="宋体" w:cs="宋体"/>
          <w:color w:val="auto"/>
          <w:sz w:val="21"/>
          <w:szCs w:val="21"/>
          <w:highlight w:val="none"/>
          <w:lang w:eastAsia="zh-CN"/>
        </w:rPr>
        <w:t>。</w:t>
      </w:r>
    </w:p>
    <w:p w14:paraId="690014AC">
      <w:pPr>
        <w:spacing w:line="360" w:lineRule="auto"/>
        <w:ind w:firstLine="420"/>
        <w:rPr>
          <w:rFonts w:hint="eastAsia" w:ascii="宋体" w:hAnsi="宋体" w:cs="宋体"/>
          <w:color w:val="auto"/>
          <w:szCs w:val="21"/>
          <w:highlight w:val="none"/>
          <w:u w:val="single"/>
        </w:rPr>
      </w:pPr>
      <w:r>
        <w:rPr>
          <w:rFonts w:hint="eastAsia" w:ascii="宋体" w:hAnsi="宋体" w:cs="宋体"/>
          <w:color w:val="auto"/>
          <w:szCs w:val="21"/>
          <w:highlight w:val="none"/>
        </w:rPr>
        <w:t>（1）本项目对残疾人福利性单位视同小型、微型企业。</w:t>
      </w:r>
    </w:p>
    <w:p w14:paraId="102E761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（2）残疾人福利单位需按照采购文件的要求提供《残疾人福利性单位声明函》。</w:t>
      </w:r>
    </w:p>
    <w:p w14:paraId="0DC847F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（3）残疾人福利单位标准请参照《关于促进残疾人就业政府采购政策的通知》（财库〔2017〕141号）。</w:t>
      </w:r>
    </w:p>
    <w:p w14:paraId="3BA6CFEC">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3、监狱和戒毒企业价格扣除</w:t>
      </w:r>
    </w:p>
    <w:p w14:paraId="4CD5725A">
      <w:pPr>
        <w:spacing w:line="360" w:lineRule="auto"/>
        <w:ind w:firstLine="420"/>
        <w:rPr>
          <w:rFonts w:hint="eastAsia" w:ascii="宋体" w:hAnsi="宋体" w:cs="宋体"/>
          <w:color w:val="auto"/>
          <w:szCs w:val="21"/>
          <w:highlight w:val="none"/>
          <w:u w:val="single"/>
        </w:rPr>
      </w:pPr>
      <w:r>
        <w:rPr>
          <w:rFonts w:hint="eastAsia" w:ascii="宋体" w:hAnsi="宋体" w:cs="宋体"/>
          <w:color w:val="auto"/>
          <w:szCs w:val="21"/>
          <w:highlight w:val="none"/>
        </w:rPr>
        <w:t>（1）本项目对监狱和戒毒企业（简称监狱企业）视同小型、微型企业</w:t>
      </w:r>
      <w:r>
        <w:rPr>
          <w:rFonts w:hint="eastAsia" w:ascii="宋体" w:hAnsi="宋体" w:eastAsia="宋体" w:cs="宋体"/>
          <w:color w:val="auto"/>
          <w:sz w:val="21"/>
          <w:szCs w:val="21"/>
          <w:highlight w:val="none"/>
        </w:rPr>
        <w:t>，给予20%的价格扣除，用扣除后的价格参与评审</w:t>
      </w:r>
      <w:r>
        <w:rPr>
          <w:rFonts w:hint="eastAsia" w:ascii="宋体" w:hAnsi="宋体" w:cs="宋体"/>
          <w:color w:val="auto"/>
          <w:szCs w:val="21"/>
          <w:highlight w:val="none"/>
        </w:rPr>
        <w:t>。</w:t>
      </w:r>
    </w:p>
    <w:p w14:paraId="3BF4B49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（2）监狱企业参加政府采购活动时，需提供由省级以上监狱管理局、戒毒管理局(含新疆生产建设兵团)出具的属于监狱企业的证明文件。供应商如不提供上述证明文件，价格将不做相应扣除。</w:t>
      </w:r>
    </w:p>
    <w:p w14:paraId="61D14DAC">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（3）监狱企业标准请参照《关于政府采购支持监狱企业发展有关问题的通知》（财库〔2014〕68号）。</w:t>
      </w:r>
    </w:p>
    <w:p w14:paraId="4402BD1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4、残疾人福利单位、监狱企业属于小型、微型企业的，不重复享受政策。</w:t>
      </w:r>
    </w:p>
    <w:p w14:paraId="65636D5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auto"/>
          <w:szCs w:val="21"/>
          <w:highlight w:val="none"/>
          <w:u w:val="single"/>
        </w:rPr>
        <w:t>6%</w:t>
      </w:r>
      <w:r>
        <w:rPr>
          <w:rFonts w:hint="eastAsia" w:ascii="宋体" w:hAnsi="宋体" w:cs="宋体"/>
          <w:color w:val="auto"/>
          <w:szCs w:val="21"/>
          <w:highlight w:val="none"/>
        </w:rPr>
        <w:t>的价格扣除，用扣除后的价格参与评审。</w:t>
      </w:r>
    </w:p>
    <w:p w14:paraId="738A6C62">
      <w:pPr>
        <w:spacing w:line="360" w:lineRule="auto"/>
        <w:ind w:firstLine="420"/>
        <w:rPr>
          <w:rFonts w:hint="eastAsia" w:ascii="宋体" w:hAnsi="宋体" w:cs="宋体"/>
          <w:color w:val="auto"/>
          <w:szCs w:val="21"/>
          <w:highlight w:val="none"/>
          <w:u w:val="single"/>
        </w:rPr>
      </w:pPr>
      <w:r>
        <w:rPr>
          <w:rFonts w:hint="eastAsia" w:ascii="宋体" w:hAnsi="宋体" w:cs="宋体"/>
          <w:color w:val="auto"/>
          <w:szCs w:val="21"/>
          <w:highlight w:val="none"/>
        </w:rPr>
        <w:t>6、联合体各方均为小型、微型企业（残疾人福利单位、监狱企业）的，联合体享受</w:t>
      </w:r>
      <w:r>
        <w:rPr>
          <w:rFonts w:hint="eastAsia" w:ascii="宋体" w:hAnsi="宋体" w:cs="宋体"/>
          <w:color w:val="auto"/>
          <w:szCs w:val="21"/>
          <w:highlight w:val="none"/>
          <w:u w:val="single"/>
        </w:rPr>
        <w:t>20%</w:t>
      </w:r>
      <w:r>
        <w:rPr>
          <w:rFonts w:hint="eastAsia" w:ascii="宋体" w:hAnsi="宋体" w:cs="宋体"/>
          <w:color w:val="auto"/>
          <w:szCs w:val="21"/>
          <w:highlight w:val="none"/>
        </w:rPr>
        <w:t>的价格扣除。</w:t>
      </w:r>
    </w:p>
    <w:p w14:paraId="1B549071">
      <w:pPr>
        <w:adjustRightInd w:val="0"/>
        <w:spacing w:line="400" w:lineRule="exact"/>
        <w:ind w:firstLine="422" w:firstLineChars="200"/>
        <w:jc w:val="left"/>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7、采购本国产品的支持政策</w:t>
      </w:r>
    </w:p>
    <w:p w14:paraId="5D8A434A">
      <w:pPr>
        <w:adjustRightInd w:val="0"/>
        <w:spacing w:line="400" w:lineRule="exact"/>
        <w:ind w:firstLine="422" w:firstLineChars="200"/>
        <w:jc w:val="left"/>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7.1本项目政府采购活动中既有本国产品又有非本国产品参与竞争的，依法对本国产品给予价格评审优惠，对本国产品的报价给予</w:t>
      </w:r>
      <w:r>
        <w:rPr>
          <w:rFonts w:hint="eastAsia" w:ascii="宋体" w:hAnsi="宋体" w:eastAsia="宋体" w:cs="宋体"/>
          <w:b/>
          <w:bCs/>
          <w:color w:val="auto"/>
          <w:sz w:val="21"/>
          <w:szCs w:val="21"/>
          <w:highlight w:val="none"/>
          <w:u w:val="single"/>
        </w:rPr>
        <w:t>20%</w:t>
      </w:r>
      <w:r>
        <w:rPr>
          <w:rFonts w:hint="eastAsia" w:ascii="宋体" w:hAnsi="宋体" w:eastAsia="宋体" w:cs="宋体"/>
          <w:b/>
          <w:bCs/>
          <w:color w:val="auto"/>
          <w:sz w:val="21"/>
          <w:szCs w:val="21"/>
          <w:highlight w:val="none"/>
        </w:rPr>
        <w:t>的价格扣除，用扣除后的价格参与评审。</w:t>
      </w:r>
    </w:p>
    <w:p w14:paraId="287D7059">
      <w:pPr>
        <w:adjustRightInd w:val="0"/>
        <w:spacing w:line="400" w:lineRule="exact"/>
        <w:ind w:firstLine="422" w:firstLineChars="200"/>
        <w:jc w:val="left"/>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7.2当采购项目或者采购包中含有多种产品，供应商为该采购项目或者采购包提供的符合本国产品标准的产品成本之和占该供应商提供的全部产品成本之和的比例达到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1"/>
          <w:szCs w:val="21"/>
          <w:highlight w:val="none"/>
          <w:u w:val="single"/>
        </w:rPr>
        <w:t>80%</w:t>
      </w:r>
      <w:r>
        <w:rPr>
          <w:rFonts w:hint="eastAsia" w:ascii="宋体" w:hAnsi="宋体" w:eastAsia="宋体" w:cs="宋体"/>
          <w:b/>
          <w:bCs/>
          <w:color w:val="auto"/>
          <w:sz w:val="21"/>
          <w:szCs w:val="21"/>
          <w:highlight w:val="none"/>
        </w:rPr>
        <w:t>以上时（供应商需在“第六章投标文件格式”的“投标分项报价表”中填写比例数值），依法对该供应商提供的全部产品给予价格评审优惠，即对该供应商提供的全部产品的总报价给予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1"/>
          <w:szCs w:val="21"/>
          <w:highlight w:val="none"/>
          <w:u w:val="single"/>
        </w:rPr>
        <w:t>20%</w:t>
      </w:r>
      <w:r>
        <w:rPr>
          <w:rFonts w:hint="eastAsia" w:ascii="宋体" w:hAnsi="宋体" w:eastAsia="宋体" w:cs="宋体"/>
          <w:b/>
          <w:bCs/>
          <w:color w:val="auto"/>
          <w:sz w:val="21"/>
          <w:szCs w:val="21"/>
          <w:highlight w:val="none"/>
        </w:rPr>
        <w:t>的价格扣除，用扣除后的价格参与评审。供应商未填写比例数值，或比例数值未达到80%的，将不享受本国产品价格评审优惠。</w:t>
      </w:r>
    </w:p>
    <w:p w14:paraId="0AEEEBC6">
      <w:pPr>
        <w:adjustRightInd w:val="0"/>
        <w:spacing w:line="400" w:lineRule="exact"/>
        <w:ind w:firstLine="422" w:firstLineChars="200"/>
        <w:jc w:val="left"/>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7.3供应商需按照招标文件的要求提供《关于符合本国产品标准的声明函》（以下简称《声明函》），如不提供将不享受本国产品价格评审优惠。</w:t>
      </w:r>
    </w:p>
    <w:p w14:paraId="19991BC0">
      <w:pPr>
        <w:adjustRightInd w:val="0"/>
        <w:spacing w:line="400" w:lineRule="exact"/>
        <w:ind w:firstLine="422" w:firstLineChars="200"/>
        <w:jc w:val="left"/>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7.4供应商需在《声明函》中逐一、准确填写产品名称、厂名、生产厂址三项信息（《声明函》中用</w:t>
      </w:r>
      <w:r>
        <w:rPr>
          <w:rFonts w:hint="eastAsia" w:ascii="宋体" w:hAnsi="宋体" w:eastAsia="宋体" w:cs="宋体"/>
          <w:b/>
          <w:bCs/>
          <w:color w:val="auto"/>
          <w:sz w:val="21"/>
          <w:szCs w:val="21"/>
          <w:highlight w:val="none"/>
          <w:lang w:val="en-US" w:eastAsia="zh-CN"/>
        </w:rPr>
        <w:t>横</w:t>
      </w:r>
      <w:r>
        <w:rPr>
          <w:rFonts w:hint="eastAsia" w:ascii="宋体" w:hAnsi="宋体" w:eastAsia="宋体" w:cs="宋体"/>
          <w:b/>
          <w:bCs/>
          <w:color w:val="auto"/>
          <w:sz w:val="21"/>
          <w:szCs w:val="21"/>
          <w:highlight w:val="none"/>
        </w:rPr>
        <w:t>线划除的地方无需填写），三项信息中任意一项未填写的视为该项产品不符合本国产品标准，不享受本国产品价格评审优惠。</w:t>
      </w:r>
    </w:p>
    <w:p w14:paraId="005D200B">
      <w:pPr>
        <w:spacing w:line="360" w:lineRule="auto"/>
        <w:ind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7.5评标过程中，如发现供应商在《声明函》内容含义不明确、同类事项与投标（响应）文件表述不一致或者有明显文字错误等情况的，评标委员会应当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1"/>
          <w:szCs w:val="21"/>
          <w:highlight w:val="none"/>
          <w:lang w:val="en-US" w:eastAsia="zh-CN"/>
        </w:rPr>
        <w:t>在苏采云系统</w:t>
      </w:r>
      <w:r>
        <w:rPr>
          <w:rFonts w:hint="eastAsia" w:ascii="宋体" w:hAnsi="宋体" w:eastAsia="宋体" w:cs="宋体"/>
          <w:b/>
          <w:bCs/>
          <w:color w:val="auto"/>
          <w:sz w:val="21"/>
          <w:szCs w:val="21"/>
          <w:highlight w:val="none"/>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A2ED6EE">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0BF89403">
      <w:pPr>
        <w:spacing w:line="360" w:lineRule="auto"/>
        <w:ind w:firstLine="422"/>
        <w:rPr>
          <w:rFonts w:hint="eastAsia" w:ascii="宋体" w:hAnsi="宋体" w:cs="宋体"/>
          <w:color w:val="auto"/>
          <w:szCs w:val="21"/>
          <w:highlight w:val="none"/>
        </w:rPr>
      </w:pPr>
      <w:r>
        <w:rPr>
          <w:rFonts w:hint="eastAsia" w:ascii="宋体" w:hAnsi="宋体" w:cs="宋体"/>
          <w:b/>
          <w:color w:val="auto"/>
          <w:szCs w:val="21"/>
          <w:highlight w:val="none"/>
        </w:rPr>
        <w:t>评标方法与评标标准</w:t>
      </w:r>
    </w:p>
    <w:tbl>
      <w:tblPr>
        <w:tblStyle w:val="31"/>
        <w:tblpPr w:leftFromText="180" w:rightFromText="180" w:vertAnchor="text" w:horzAnchor="page" w:tblpX="1145" w:tblpY="317"/>
        <w:tblOverlap w:val="never"/>
        <w:tblW w:w="92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1"/>
        <w:gridCol w:w="850"/>
        <w:gridCol w:w="567"/>
        <w:gridCol w:w="6946"/>
      </w:tblGrid>
      <w:tr w14:paraId="3F87C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trPr>
        <w:tc>
          <w:tcPr>
            <w:tcW w:w="170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796A7D7">
            <w:pPr>
              <w:widowControl/>
              <w:jc w:val="center"/>
              <w:rPr>
                <w:rFonts w:hint="eastAsia" w:ascii="宋体" w:hAnsi="宋体" w:eastAsia="宋体" w:cs="宋体"/>
                <w:b/>
                <w:color w:val="auto"/>
                <w:sz w:val="21"/>
                <w:szCs w:val="21"/>
                <w:highlight w:val="none"/>
                <w:lang w:bidi="ar"/>
              </w:rPr>
            </w:pPr>
            <w:bookmarkStart w:id="214" w:name="_Hlk196127052"/>
            <w:r>
              <w:rPr>
                <w:rFonts w:hint="eastAsia" w:ascii="宋体" w:hAnsi="宋体" w:eastAsia="宋体" w:cs="宋体"/>
                <w:b/>
                <w:color w:val="auto"/>
                <w:sz w:val="21"/>
                <w:szCs w:val="21"/>
                <w:highlight w:val="none"/>
                <w:lang w:bidi="ar"/>
              </w:rPr>
              <w:t>评分项目</w:t>
            </w:r>
          </w:p>
        </w:tc>
        <w:tc>
          <w:tcPr>
            <w:tcW w:w="56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D9D1D47">
            <w:pPr>
              <w:widowControl/>
              <w:jc w:val="center"/>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分值</w:t>
            </w:r>
          </w:p>
        </w:tc>
        <w:tc>
          <w:tcPr>
            <w:tcW w:w="69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F9C9F3F">
            <w:pPr>
              <w:widowControl/>
              <w:jc w:val="center"/>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评分标准</w:t>
            </w:r>
          </w:p>
        </w:tc>
      </w:tr>
      <w:tr w14:paraId="24858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trPr>
        <w:tc>
          <w:tcPr>
            <w:tcW w:w="170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8EC38CB">
            <w:pPr>
              <w:widowControl/>
              <w:jc w:val="center"/>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投标报价</w:t>
            </w:r>
          </w:p>
        </w:tc>
        <w:tc>
          <w:tcPr>
            <w:tcW w:w="56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3727FF8">
            <w:pPr>
              <w:widowControl/>
              <w:jc w:val="center"/>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30</w:t>
            </w:r>
          </w:p>
        </w:tc>
        <w:tc>
          <w:tcPr>
            <w:tcW w:w="69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AFC794E">
            <w:pPr>
              <w:widowControl/>
              <w:jc w:val="left"/>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满足招标文件要求且投标价格最低的投标报价为评标基准价，其价格分为满分。其他投标人的价格分统一按照下列公式计算：</w:t>
            </w:r>
          </w:p>
          <w:p w14:paraId="2F348B3C">
            <w:pPr>
              <w:widowControl/>
              <w:jc w:val="left"/>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投标报价得分=(评标基准价／投标报价)×30 （该结果四舍五入，保留两位小数）</w:t>
            </w:r>
          </w:p>
        </w:tc>
      </w:tr>
      <w:tr w14:paraId="69BDC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 w:hRule="atLeast"/>
        </w:trPr>
        <w:tc>
          <w:tcPr>
            <w:tcW w:w="170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A7A8428">
            <w:pPr>
              <w:widowControl/>
              <w:jc w:val="center"/>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技术参数</w:t>
            </w:r>
          </w:p>
        </w:tc>
        <w:tc>
          <w:tcPr>
            <w:tcW w:w="56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749B839">
            <w:pPr>
              <w:widowControl/>
              <w:jc w:val="center"/>
              <w:rPr>
                <w:rFonts w:hint="default" w:ascii="宋体" w:hAnsi="宋体" w:eastAsia="宋体" w:cs="宋体"/>
                <w:b/>
                <w:color w:val="auto"/>
                <w:sz w:val="21"/>
                <w:szCs w:val="21"/>
                <w:highlight w:val="none"/>
                <w:lang w:val="en-US" w:eastAsia="zh-CN" w:bidi="ar"/>
              </w:rPr>
            </w:pPr>
            <w:r>
              <w:rPr>
                <w:rFonts w:hint="eastAsia" w:ascii="宋体" w:hAnsi="宋体" w:cs="宋体"/>
                <w:b/>
                <w:color w:val="auto"/>
                <w:sz w:val="21"/>
                <w:szCs w:val="21"/>
                <w:highlight w:val="none"/>
                <w:lang w:val="en-US" w:eastAsia="zh-CN" w:bidi="ar"/>
              </w:rPr>
              <w:t>34</w:t>
            </w:r>
          </w:p>
        </w:tc>
        <w:tc>
          <w:tcPr>
            <w:tcW w:w="69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4F41DEA">
            <w:pPr>
              <w:widowControl/>
              <w:spacing w:line="400" w:lineRule="exact"/>
              <w:ind w:firstLine="48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投标文件采购需求中标</w:t>
            </w:r>
            <w:r>
              <w:rPr>
                <w:rFonts w:hint="eastAsia" w:ascii="宋体" w:hAnsi="宋体" w:eastAsia="宋体" w:cs="宋体"/>
                <w:color w:val="auto"/>
                <w:sz w:val="21"/>
                <w:szCs w:val="21"/>
                <w:highlight w:val="none"/>
                <w:lang w:val="en-US" w:eastAsia="zh-CN" w:bidi="ar"/>
              </w:rPr>
              <w:t>★</w:t>
            </w:r>
            <w:r>
              <w:rPr>
                <w:rFonts w:hint="eastAsia" w:ascii="宋体" w:hAnsi="宋体" w:eastAsia="宋体" w:cs="宋体"/>
                <w:color w:val="auto"/>
                <w:sz w:val="21"/>
                <w:szCs w:val="21"/>
                <w:highlight w:val="none"/>
                <w:lang w:bidi="ar"/>
              </w:rPr>
              <w:t>项为重要技术指标（共</w:t>
            </w:r>
            <w:r>
              <w:rPr>
                <w:rFonts w:hint="eastAsia" w:ascii="宋体" w:hAnsi="宋体" w:eastAsia="宋体" w:cs="宋体"/>
                <w:color w:val="auto"/>
                <w:sz w:val="21"/>
                <w:szCs w:val="21"/>
                <w:highlight w:val="none"/>
                <w:lang w:val="en-US" w:eastAsia="zh-CN" w:bidi="ar"/>
              </w:rPr>
              <w:t>68</w:t>
            </w:r>
            <w:r>
              <w:rPr>
                <w:rFonts w:hint="eastAsia" w:ascii="宋体" w:hAnsi="宋体" w:eastAsia="宋体" w:cs="宋体"/>
                <w:color w:val="auto"/>
                <w:sz w:val="21"/>
                <w:szCs w:val="21"/>
                <w:highlight w:val="none"/>
                <w:lang w:bidi="ar"/>
              </w:rPr>
              <w:t>项），有一项满足的得</w:t>
            </w:r>
            <w:r>
              <w:rPr>
                <w:rFonts w:hint="eastAsia" w:ascii="宋体" w:hAnsi="宋体" w:eastAsia="宋体" w:cs="宋体"/>
                <w:color w:val="auto"/>
                <w:sz w:val="21"/>
                <w:szCs w:val="21"/>
                <w:highlight w:val="none"/>
                <w:lang w:val="en-US" w:eastAsia="zh-CN" w:bidi="ar"/>
              </w:rPr>
              <w:t>0.5</w:t>
            </w:r>
            <w:r>
              <w:rPr>
                <w:rFonts w:hint="eastAsia" w:ascii="宋体" w:hAnsi="宋体" w:eastAsia="宋体" w:cs="宋体"/>
                <w:color w:val="auto"/>
                <w:sz w:val="21"/>
                <w:szCs w:val="21"/>
                <w:highlight w:val="none"/>
                <w:lang w:bidi="ar"/>
              </w:rPr>
              <w:t>分，全部满足的得</w:t>
            </w:r>
            <w:r>
              <w:rPr>
                <w:rFonts w:hint="eastAsia" w:ascii="宋体" w:hAnsi="宋体" w:eastAsia="宋体" w:cs="宋体"/>
                <w:color w:val="auto"/>
                <w:sz w:val="21"/>
                <w:szCs w:val="21"/>
                <w:highlight w:val="none"/>
                <w:lang w:val="en-US" w:eastAsia="zh-CN" w:bidi="ar"/>
              </w:rPr>
              <w:t>34</w:t>
            </w:r>
            <w:r>
              <w:rPr>
                <w:rFonts w:hint="eastAsia" w:ascii="宋体" w:hAnsi="宋体" w:eastAsia="宋体" w:cs="宋体"/>
                <w:color w:val="auto"/>
                <w:sz w:val="21"/>
                <w:szCs w:val="21"/>
                <w:highlight w:val="none"/>
                <w:lang w:bidi="ar"/>
              </w:rPr>
              <w:t>分。</w:t>
            </w:r>
          </w:p>
          <w:p w14:paraId="12183E8E">
            <w:pPr>
              <w:widowControl/>
              <w:spacing w:line="400" w:lineRule="exact"/>
              <w:ind w:firstLine="480"/>
              <w:rPr>
                <w:rFonts w:hint="eastAsia" w:ascii="宋体" w:hAnsi="宋体" w:eastAsia="宋体" w:cs="宋体"/>
                <w:b/>
                <w:color w:val="auto"/>
                <w:sz w:val="21"/>
                <w:szCs w:val="21"/>
                <w:highlight w:val="none"/>
                <w:lang w:bidi="ar"/>
              </w:rPr>
            </w:pPr>
            <w:r>
              <w:rPr>
                <w:rFonts w:hint="eastAsia" w:ascii="宋体" w:hAnsi="宋体" w:eastAsia="宋体" w:cs="宋体"/>
                <w:color w:val="auto"/>
                <w:sz w:val="21"/>
                <w:szCs w:val="21"/>
                <w:highlight w:val="none"/>
                <w:lang w:bidi="ar"/>
              </w:rPr>
              <w:t>注：根据招标文件要求提供证明材料，未能提供的视为负偏离，没有要求的技术参数性能指标根据</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技术要求响应及偏离表</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进</w:t>
            </w:r>
            <w:r>
              <w:rPr>
                <w:rFonts w:hint="eastAsia" w:ascii="宋体" w:hAnsi="宋体" w:eastAsia="宋体" w:cs="宋体"/>
                <w:color w:val="auto"/>
                <w:sz w:val="21"/>
                <w:szCs w:val="21"/>
                <w:highlight w:val="none"/>
                <w:lang w:bidi="ar"/>
              </w:rPr>
              <w:t>行评审。中标后</w:t>
            </w:r>
            <w:r>
              <w:rPr>
                <w:rFonts w:hint="eastAsia" w:ascii="宋体" w:hAnsi="宋体" w:cs="宋体"/>
                <w:color w:val="auto"/>
                <w:sz w:val="21"/>
                <w:szCs w:val="21"/>
                <w:highlight w:val="none"/>
                <w:lang w:val="en-US" w:eastAsia="zh-CN" w:bidi="ar"/>
              </w:rPr>
              <w:t>验收时</w:t>
            </w:r>
            <w:r>
              <w:rPr>
                <w:rFonts w:hint="eastAsia" w:ascii="宋体" w:hAnsi="宋体" w:eastAsia="宋体" w:cs="宋体"/>
                <w:color w:val="auto"/>
                <w:sz w:val="21"/>
                <w:szCs w:val="21"/>
                <w:highlight w:val="none"/>
                <w:lang w:eastAsia="zh-CN" w:bidi="ar"/>
              </w:rPr>
              <w:t>提供相</w:t>
            </w:r>
            <w:r>
              <w:rPr>
                <w:rFonts w:hint="eastAsia" w:ascii="宋体" w:hAnsi="宋体" w:eastAsia="宋体" w:cs="宋体"/>
                <w:color w:val="auto"/>
                <w:sz w:val="21"/>
                <w:szCs w:val="21"/>
                <w:highlight w:val="none"/>
                <w:lang w:val="en-US" w:eastAsia="zh-CN" w:bidi="ar"/>
              </w:rPr>
              <w:t>对应要求产品的</w:t>
            </w:r>
            <w:r>
              <w:rPr>
                <w:rFonts w:hint="eastAsia" w:ascii="宋体" w:hAnsi="宋体" w:eastAsia="宋体" w:cs="宋体"/>
                <w:color w:val="auto"/>
                <w:sz w:val="21"/>
                <w:szCs w:val="21"/>
                <w:highlight w:val="none"/>
                <w:lang w:eastAsia="zh-CN" w:bidi="ar"/>
              </w:rPr>
              <w:t>检测报告</w:t>
            </w:r>
            <w:r>
              <w:rPr>
                <w:rFonts w:hint="eastAsia" w:ascii="宋体" w:hAnsi="宋体" w:eastAsia="宋体" w:cs="宋体"/>
                <w:color w:val="auto"/>
                <w:sz w:val="21"/>
                <w:szCs w:val="21"/>
                <w:highlight w:val="none"/>
                <w:lang w:val="en-US" w:eastAsia="zh-CN" w:bidi="ar"/>
              </w:rPr>
              <w:t>及证书</w:t>
            </w:r>
            <w:r>
              <w:rPr>
                <w:rFonts w:hint="eastAsia" w:ascii="宋体" w:hAnsi="宋体" w:eastAsia="宋体" w:cs="宋体"/>
                <w:color w:val="auto"/>
                <w:sz w:val="21"/>
                <w:szCs w:val="21"/>
                <w:highlight w:val="none"/>
                <w:lang w:eastAsia="zh-CN" w:bidi="ar"/>
              </w:rPr>
              <w:t>供招标人审核。</w:t>
            </w:r>
          </w:p>
        </w:tc>
      </w:tr>
      <w:tr w14:paraId="38D10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05" w:hRule="atLeast"/>
        </w:trPr>
        <w:tc>
          <w:tcPr>
            <w:tcW w:w="851" w:type="dxa"/>
            <w:vMerge w:val="restart"/>
            <w:tcMar>
              <w:top w:w="15" w:type="dxa"/>
              <w:left w:w="15" w:type="dxa"/>
              <w:right w:w="15" w:type="dxa"/>
            </w:tcMar>
            <w:vAlign w:val="center"/>
          </w:tcPr>
          <w:p w14:paraId="4FAAC714">
            <w:pPr>
              <w:widowControl/>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实施方案（3</w:t>
            </w:r>
            <w:r>
              <w:rPr>
                <w:rFonts w:hint="eastAsia" w:ascii="宋体" w:hAnsi="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分）</w:t>
            </w:r>
          </w:p>
        </w:tc>
        <w:tc>
          <w:tcPr>
            <w:tcW w:w="850" w:type="dxa"/>
            <w:tcMar>
              <w:top w:w="15" w:type="dxa"/>
              <w:left w:w="15" w:type="dxa"/>
              <w:right w:w="15" w:type="dxa"/>
            </w:tcMar>
            <w:vAlign w:val="center"/>
          </w:tcPr>
          <w:p w14:paraId="1E06F96E">
            <w:pPr>
              <w:widowControl/>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总体方案</w:t>
            </w:r>
          </w:p>
        </w:tc>
        <w:tc>
          <w:tcPr>
            <w:tcW w:w="567" w:type="dxa"/>
            <w:tcMar>
              <w:top w:w="15" w:type="dxa"/>
              <w:left w:w="15" w:type="dxa"/>
              <w:right w:w="15" w:type="dxa"/>
            </w:tcMar>
            <w:vAlign w:val="center"/>
          </w:tcPr>
          <w:p w14:paraId="2494A2BE">
            <w:pPr>
              <w:widowControl/>
              <w:spacing w:line="276"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1</w:t>
            </w:r>
            <w:r>
              <w:rPr>
                <w:rFonts w:hint="eastAsia" w:ascii="宋体" w:hAnsi="宋体" w:cs="宋体"/>
                <w:color w:val="auto"/>
                <w:sz w:val="21"/>
                <w:szCs w:val="21"/>
                <w:highlight w:val="none"/>
                <w:lang w:val="en-US" w:eastAsia="zh-CN" w:bidi="ar"/>
              </w:rPr>
              <w:t>2</w:t>
            </w:r>
          </w:p>
        </w:tc>
        <w:tc>
          <w:tcPr>
            <w:tcW w:w="6946" w:type="dxa"/>
            <w:tcMar>
              <w:top w:w="15" w:type="dxa"/>
              <w:left w:w="15" w:type="dxa"/>
              <w:right w:w="15" w:type="dxa"/>
            </w:tcMar>
            <w:vAlign w:val="center"/>
          </w:tcPr>
          <w:p w14:paraId="1F862BF8">
            <w:pPr>
              <w:widowControl/>
              <w:spacing w:line="400" w:lineRule="exact"/>
              <w:ind w:firstLine="48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根据投标人对项目背景、现状、存在问题及建设需求分析，</w:t>
            </w:r>
            <w:r>
              <w:rPr>
                <w:rFonts w:hint="eastAsia" w:ascii="宋体" w:hAnsi="宋体" w:eastAsia="宋体" w:cs="宋体"/>
                <w:color w:val="auto"/>
                <w:sz w:val="21"/>
                <w:szCs w:val="21"/>
                <w:highlight w:val="none"/>
                <w:lang w:val="zh-CN" w:eastAsia="zh-CN"/>
              </w:rPr>
              <w:t>方案至少包含：</w:t>
            </w:r>
            <w:r>
              <w:rPr>
                <w:rFonts w:hint="eastAsia" w:ascii="宋体" w:hAnsi="宋体" w:eastAsia="宋体" w:cs="宋体"/>
                <w:color w:val="auto"/>
                <w:sz w:val="21"/>
                <w:szCs w:val="21"/>
                <w:highlight w:val="none"/>
                <w:lang w:bidi="ar"/>
              </w:rPr>
              <w:t>①、建设思路；②、布点原则；③、资源整合；④、优化点位；⑤、功能实现</w:t>
            </w:r>
            <w:r>
              <w:rPr>
                <w:rFonts w:hint="eastAsia" w:ascii="宋体" w:hAnsi="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⑥</w:t>
            </w:r>
            <w:r>
              <w:rPr>
                <w:rFonts w:hint="eastAsia" w:ascii="宋体" w:hAnsi="宋体" w:eastAsia="宋体" w:cs="宋体"/>
                <w:color w:val="auto"/>
                <w:sz w:val="21"/>
                <w:szCs w:val="21"/>
                <w:highlight w:val="none"/>
                <w:lang w:val="zh-CN" w:eastAsia="zh-CN" w:bidi="ar"/>
              </w:rPr>
              <w:t>创新亮点与特色提升</w:t>
            </w:r>
            <w:r>
              <w:rPr>
                <w:rFonts w:hint="eastAsia" w:ascii="宋体" w:hAnsi="宋体" w:eastAsia="宋体" w:cs="宋体"/>
                <w:color w:val="auto"/>
                <w:sz w:val="21"/>
                <w:szCs w:val="21"/>
                <w:highlight w:val="none"/>
                <w:lang w:bidi="ar"/>
              </w:rPr>
              <w:t>等方面进行阐述；</w:t>
            </w:r>
          </w:p>
          <w:p w14:paraId="603F8F8F">
            <w:pPr>
              <w:widowControl/>
              <w:spacing w:line="400" w:lineRule="exact"/>
              <w:ind w:firstLine="480"/>
              <w:rPr>
                <w:rFonts w:hint="eastAsia" w:ascii="宋体" w:hAnsi="宋体" w:eastAsia="宋体" w:cs="宋体"/>
                <w:color w:val="auto"/>
                <w:sz w:val="21"/>
                <w:szCs w:val="21"/>
                <w:highlight w:val="none"/>
              </w:rPr>
            </w:pPr>
            <w:r>
              <w:rPr>
                <w:rFonts w:hint="eastAsia" w:ascii="宋体" w:hAnsi="宋体" w:cs="宋体"/>
                <w:color w:val="auto"/>
                <w:szCs w:val="21"/>
                <w:highlight w:val="none"/>
                <w:lang w:bidi="ar"/>
              </w:rPr>
              <w:t>方案内容满足以上全部要求且符合本项目实际需求的，得</w:t>
            </w:r>
            <w:r>
              <w:rPr>
                <w:rFonts w:hint="eastAsia" w:ascii="宋体" w:hAnsi="宋体" w:cs="宋体"/>
                <w:color w:val="auto"/>
                <w:szCs w:val="21"/>
                <w:highlight w:val="none"/>
                <w:lang w:val="en-US" w:eastAsia="zh-CN" w:bidi="ar"/>
              </w:rPr>
              <w:t>12</w:t>
            </w:r>
            <w:r>
              <w:rPr>
                <w:rFonts w:hint="eastAsia" w:ascii="宋体" w:hAnsi="宋体" w:cs="宋体"/>
                <w:color w:val="auto"/>
                <w:szCs w:val="21"/>
                <w:highlight w:val="none"/>
                <w:lang w:bidi="ar"/>
              </w:rPr>
              <w:t>分，每有一项内容缺失的扣</w:t>
            </w:r>
            <w:r>
              <w:rPr>
                <w:rFonts w:hint="eastAsia" w:ascii="宋体" w:hAnsi="宋体" w:cs="宋体"/>
                <w:color w:val="auto"/>
                <w:szCs w:val="21"/>
                <w:highlight w:val="none"/>
                <w:lang w:val="en-US" w:eastAsia="zh-CN" w:bidi="ar"/>
              </w:rPr>
              <w:t>2</w:t>
            </w:r>
            <w:r>
              <w:rPr>
                <w:rFonts w:hint="eastAsia" w:ascii="宋体" w:hAnsi="宋体" w:cs="宋体"/>
                <w:color w:val="auto"/>
                <w:szCs w:val="21"/>
                <w:highlight w:val="none"/>
                <w:lang w:bidi="ar"/>
              </w:rPr>
              <w:t>分，每有一处内容存在缺陷或不满足要求的扣</w:t>
            </w:r>
            <w:r>
              <w:rPr>
                <w:rFonts w:hint="eastAsia" w:ascii="宋体" w:hAnsi="宋体" w:cs="宋体"/>
                <w:color w:val="auto"/>
                <w:szCs w:val="21"/>
                <w:highlight w:val="none"/>
                <w:lang w:val="en-US" w:eastAsia="zh-CN" w:bidi="ar"/>
              </w:rPr>
              <w:t>1</w:t>
            </w:r>
            <w:r>
              <w:rPr>
                <w:rFonts w:hint="eastAsia" w:ascii="宋体" w:hAnsi="宋体" w:cs="宋体"/>
                <w:color w:val="auto"/>
                <w:szCs w:val="21"/>
                <w:highlight w:val="none"/>
                <w:lang w:bidi="ar"/>
              </w:rPr>
              <w:t>分，扣完为止。（缺陷或不满足指：与实际需求不符、套用其他项目方案、有规范性或常识性错误、存在无关的事项等任意一种情形）</w:t>
            </w:r>
            <w:r>
              <w:rPr>
                <w:rFonts w:hint="eastAsia" w:ascii="宋体" w:hAnsi="宋体" w:eastAsia="宋体" w:cs="宋体"/>
                <w:color w:val="auto"/>
                <w:sz w:val="21"/>
                <w:szCs w:val="21"/>
                <w:highlight w:val="none"/>
              </w:rPr>
              <w:t xml:space="preserve"> </w:t>
            </w:r>
          </w:p>
        </w:tc>
      </w:tr>
      <w:tr w14:paraId="1E06A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75" w:hRule="atLeast"/>
        </w:trPr>
        <w:tc>
          <w:tcPr>
            <w:tcW w:w="851" w:type="dxa"/>
            <w:vMerge w:val="continue"/>
            <w:tcMar>
              <w:top w:w="15" w:type="dxa"/>
              <w:left w:w="15" w:type="dxa"/>
              <w:right w:w="15" w:type="dxa"/>
            </w:tcMar>
            <w:vAlign w:val="center"/>
          </w:tcPr>
          <w:p w14:paraId="5C9C0DD9">
            <w:pPr>
              <w:widowControl/>
              <w:spacing w:line="276" w:lineRule="auto"/>
              <w:jc w:val="center"/>
              <w:rPr>
                <w:rFonts w:hint="eastAsia" w:ascii="宋体" w:hAnsi="宋体" w:eastAsia="宋体" w:cs="宋体"/>
                <w:color w:val="auto"/>
                <w:sz w:val="21"/>
                <w:szCs w:val="21"/>
                <w:highlight w:val="none"/>
              </w:rPr>
            </w:pPr>
          </w:p>
        </w:tc>
        <w:tc>
          <w:tcPr>
            <w:tcW w:w="850" w:type="dxa"/>
            <w:tcMar>
              <w:top w:w="15" w:type="dxa"/>
              <w:left w:w="15" w:type="dxa"/>
              <w:right w:w="15" w:type="dxa"/>
            </w:tcMar>
            <w:vAlign w:val="center"/>
          </w:tcPr>
          <w:p w14:paraId="10FFD583">
            <w:pPr>
              <w:widowControl/>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建设方案</w:t>
            </w:r>
          </w:p>
        </w:tc>
        <w:tc>
          <w:tcPr>
            <w:tcW w:w="567" w:type="dxa"/>
            <w:tcMar>
              <w:top w:w="15" w:type="dxa"/>
              <w:left w:w="15" w:type="dxa"/>
              <w:right w:w="15" w:type="dxa"/>
            </w:tcMar>
            <w:vAlign w:val="center"/>
          </w:tcPr>
          <w:p w14:paraId="452191C5">
            <w:pPr>
              <w:widowControl/>
              <w:spacing w:line="276"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bidi="ar"/>
              </w:rPr>
              <w:t>14</w:t>
            </w:r>
          </w:p>
        </w:tc>
        <w:tc>
          <w:tcPr>
            <w:tcW w:w="6946" w:type="dxa"/>
            <w:tcMar>
              <w:top w:w="15" w:type="dxa"/>
              <w:left w:w="15" w:type="dxa"/>
              <w:right w:w="15" w:type="dxa"/>
            </w:tcMar>
            <w:vAlign w:val="center"/>
          </w:tcPr>
          <w:p w14:paraId="5F1D00BF">
            <w:pPr>
              <w:widowControl/>
              <w:spacing w:line="400" w:lineRule="exact"/>
              <w:ind w:firstLine="480"/>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根据投标人的建设方案</w:t>
            </w:r>
            <w:r>
              <w:rPr>
                <w:rFonts w:hint="eastAsia" w:ascii="宋体" w:hAnsi="宋体" w:cs="宋体"/>
                <w:color w:val="auto"/>
                <w:sz w:val="21"/>
                <w:szCs w:val="21"/>
                <w:highlight w:val="none"/>
                <w:lang w:eastAsia="zh-CN" w:bidi="ar"/>
              </w:rPr>
              <w:t>，</w:t>
            </w:r>
            <w:r>
              <w:rPr>
                <w:rFonts w:hint="eastAsia" w:ascii="宋体" w:hAnsi="宋体" w:eastAsia="宋体" w:cs="宋体"/>
                <w:color w:val="auto"/>
                <w:sz w:val="21"/>
                <w:szCs w:val="21"/>
                <w:highlight w:val="none"/>
                <w:lang w:val="zh-CN" w:eastAsia="zh-CN"/>
              </w:rPr>
              <w:t>方案至少包含</w:t>
            </w:r>
            <w:r>
              <w:rPr>
                <w:rFonts w:hint="eastAsia" w:ascii="宋体" w:hAnsi="宋体" w:eastAsia="宋体" w:cs="宋体"/>
                <w:color w:val="auto"/>
                <w:sz w:val="21"/>
                <w:szCs w:val="21"/>
                <w:highlight w:val="none"/>
                <w:lang w:bidi="ar"/>
              </w:rPr>
              <w:t>：①、设备安装、接电等建设方案；②、各工种同时施工的协调措施；③、工期保证措施；④、质量保证措施；⑤、</w:t>
            </w:r>
            <w:r>
              <w:rPr>
                <w:rFonts w:hint="eastAsia" w:ascii="宋体" w:hAnsi="宋体" w:eastAsia="宋体" w:cs="宋体"/>
                <w:color w:val="auto"/>
                <w:sz w:val="21"/>
                <w:szCs w:val="21"/>
                <w:highlight w:val="none"/>
                <w:lang w:val="zh-CN" w:eastAsia="zh-CN"/>
              </w:rPr>
              <w:t>建设全周期安全管控体系</w:t>
            </w:r>
            <w:r>
              <w:rPr>
                <w:rFonts w:hint="eastAsia" w:ascii="宋体" w:hAnsi="宋体" w:eastAsia="宋体" w:cs="宋体"/>
                <w:color w:val="auto"/>
                <w:sz w:val="21"/>
                <w:szCs w:val="21"/>
                <w:highlight w:val="none"/>
                <w:lang w:bidi="ar"/>
              </w:rPr>
              <w:t>；⑥、</w:t>
            </w:r>
            <w:r>
              <w:rPr>
                <w:rFonts w:hint="eastAsia" w:ascii="宋体" w:hAnsi="宋体" w:eastAsia="宋体" w:cs="宋体"/>
                <w:color w:val="auto"/>
                <w:sz w:val="21"/>
                <w:szCs w:val="21"/>
                <w:highlight w:val="none"/>
                <w:lang w:val="zh-CN" w:eastAsia="zh-CN"/>
              </w:rPr>
              <w:t>点位动态调整与设计变更管理机制</w:t>
            </w:r>
            <w:r>
              <w:rPr>
                <w:rFonts w:hint="eastAsia" w:ascii="宋体" w:hAnsi="宋体" w:eastAsia="宋体" w:cs="宋体"/>
                <w:color w:val="auto"/>
                <w:sz w:val="21"/>
                <w:szCs w:val="21"/>
                <w:highlight w:val="none"/>
                <w:lang w:bidi="ar"/>
              </w:rPr>
              <w:t>；⑦</w:t>
            </w:r>
            <w:r>
              <w:rPr>
                <w:rFonts w:hint="eastAsia" w:ascii="宋体" w:hAnsi="宋体" w:cs="宋体"/>
                <w:color w:val="auto"/>
                <w:sz w:val="21"/>
                <w:szCs w:val="21"/>
                <w:highlight w:val="none"/>
                <w:lang w:eastAsia="zh-CN" w:bidi="ar"/>
              </w:rPr>
              <w:t>、</w:t>
            </w:r>
            <w:r>
              <w:rPr>
                <w:rFonts w:hint="eastAsia" w:ascii="宋体" w:hAnsi="宋体" w:eastAsia="宋体" w:cs="宋体"/>
                <w:color w:val="auto"/>
                <w:sz w:val="21"/>
                <w:szCs w:val="21"/>
                <w:highlight w:val="none"/>
                <w:lang w:val="zh-CN" w:eastAsia="zh-CN"/>
              </w:rPr>
              <w:t>验收组织措施</w:t>
            </w:r>
            <w:r>
              <w:rPr>
                <w:rFonts w:hint="eastAsia" w:ascii="宋体" w:hAnsi="宋体" w:eastAsia="宋体" w:cs="宋体"/>
                <w:color w:val="auto"/>
                <w:sz w:val="21"/>
                <w:szCs w:val="21"/>
                <w:highlight w:val="none"/>
                <w:lang w:bidi="ar"/>
              </w:rPr>
              <w:t>等方面进行阐述</w:t>
            </w:r>
            <w:r>
              <w:rPr>
                <w:rFonts w:hint="eastAsia" w:ascii="宋体" w:hAnsi="宋体" w:cs="宋体"/>
                <w:color w:val="auto"/>
                <w:sz w:val="21"/>
                <w:szCs w:val="21"/>
                <w:highlight w:val="none"/>
                <w:lang w:val="zh-CN" w:eastAsia="zh-CN"/>
              </w:rPr>
              <w:t>；</w:t>
            </w:r>
          </w:p>
          <w:p w14:paraId="691F3926">
            <w:pPr>
              <w:widowControl/>
              <w:spacing w:line="400" w:lineRule="exact"/>
              <w:ind w:firstLine="480"/>
              <w:rPr>
                <w:rFonts w:hint="eastAsia" w:ascii="宋体" w:hAnsi="宋体" w:eastAsia="宋体" w:cs="宋体"/>
                <w:color w:val="auto"/>
                <w:sz w:val="21"/>
                <w:szCs w:val="21"/>
                <w:highlight w:val="none"/>
              </w:rPr>
            </w:pPr>
            <w:r>
              <w:rPr>
                <w:rFonts w:hint="eastAsia" w:ascii="宋体" w:hAnsi="宋体" w:cs="宋体"/>
                <w:color w:val="auto"/>
                <w:szCs w:val="21"/>
                <w:highlight w:val="none"/>
                <w:lang w:bidi="ar"/>
              </w:rPr>
              <w:t>方案内容满足以上全部要求且符合本项目实际需求的，得</w:t>
            </w:r>
            <w:r>
              <w:rPr>
                <w:rFonts w:hint="eastAsia" w:ascii="宋体" w:hAnsi="宋体" w:cs="宋体"/>
                <w:color w:val="auto"/>
                <w:szCs w:val="21"/>
                <w:highlight w:val="none"/>
                <w:lang w:val="en-US" w:eastAsia="zh-CN" w:bidi="ar"/>
              </w:rPr>
              <w:t>14</w:t>
            </w:r>
            <w:r>
              <w:rPr>
                <w:rFonts w:hint="eastAsia" w:ascii="宋体" w:hAnsi="宋体" w:cs="宋体"/>
                <w:color w:val="auto"/>
                <w:szCs w:val="21"/>
                <w:highlight w:val="none"/>
                <w:lang w:bidi="ar"/>
              </w:rPr>
              <w:t>分，每有一项内容缺失的扣</w:t>
            </w:r>
            <w:r>
              <w:rPr>
                <w:rFonts w:hint="eastAsia" w:ascii="宋体" w:hAnsi="宋体" w:cs="宋体"/>
                <w:color w:val="auto"/>
                <w:szCs w:val="21"/>
                <w:highlight w:val="none"/>
                <w:lang w:val="en-US" w:eastAsia="zh-CN" w:bidi="ar"/>
              </w:rPr>
              <w:t>2</w:t>
            </w:r>
            <w:r>
              <w:rPr>
                <w:rFonts w:hint="eastAsia" w:ascii="宋体" w:hAnsi="宋体" w:cs="宋体"/>
                <w:color w:val="auto"/>
                <w:szCs w:val="21"/>
                <w:highlight w:val="none"/>
                <w:lang w:bidi="ar"/>
              </w:rPr>
              <w:t>分，每有一处内容存在缺陷或不满足要求的扣</w:t>
            </w:r>
            <w:r>
              <w:rPr>
                <w:rFonts w:hint="eastAsia" w:ascii="宋体" w:hAnsi="宋体" w:cs="宋体"/>
                <w:color w:val="auto"/>
                <w:szCs w:val="21"/>
                <w:highlight w:val="none"/>
                <w:lang w:val="en-US" w:eastAsia="zh-CN" w:bidi="ar"/>
              </w:rPr>
              <w:t>1</w:t>
            </w:r>
            <w:r>
              <w:rPr>
                <w:rFonts w:hint="eastAsia" w:ascii="宋体" w:hAnsi="宋体" w:cs="宋体"/>
                <w:color w:val="auto"/>
                <w:szCs w:val="21"/>
                <w:highlight w:val="none"/>
                <w:lang w:bidi="ar"/>
              </w:rPr>
              <w:t>分，扣完为止。（缺陷或不满足指：与实际需求不符、套用其他项目方案、有规范性或常识性错误、存在无关的事项等任意一种情形）</w:t>
            </w:r>
          </w:p>
        </w:tc>
      </w:tr>
      <w:tr w14:paraId="3DE79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trPr>
        <w:tc>
          <w:tcPr>
            <w:tcW w:w="851" w:type="dxa"/>
            <w:vMerge w:val="continue"/>
            <w:tcMar>
              <w:top w:w="15" w:type="dxa"/>
              <w:left w:w="15" w:type="dxa"/>
              <w:right w:w="15" w:type="dxa"/>
            </w:tcMar>
            <w:vAlign w:val="center"/>
          </w:tcPr>
          <w:p w14:paraId="12436F73">
            <w:pPr>
              <w:widowControl/>
              <w:spacing w:line="276" w:lineRule="auto"/>
              <w:jc w:val="center"/>
              <w:rPr>
                <w:rFonts w:hint="eastAsia" w:ascii="宋体" w:hAnsi="宋体" w:eastAsia="宋体" w:cs="宋体"/>
                <w:color w:val="auto"/>
                <w:sz w:val="21"/>
                <w:szCs w:val="21"/>
                <w:highlight w:val="none"/>
              </w:rPr>
            </w:pPr>
          </w:p>
        </w:tc>
        <w:tc>
          <w:tcPr>
            <w:tcW w:w="850" w:type="dxa"/>
            <w:tcMar>
              <w:top w:w="15" w:type="dxa"/>
              <w:left w:w="15" w:type="dxa"/>
              <w:right w:w="15" w:type="dxa"/>
            </w:tcMar>
            <w:vAlign w:val="center"/>
          </w:tcPr>
          <w:p w14:paraId="5FEAD388">
            <w:pPr>
              <w:widowControl/>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售后服务方案</w:t>
            </w:r>
          </w:p>
        </w:tc>
        <w:tc>
          <w:tcPr>
            <w:tcW w:w="567" w:type="dxa"/>
            <w:tcMar>
              <w:top w:w="15" w:type="dxa"/>
              <w:left w:w="15" w:type="dxa"/>
              <w:right w:w="15" w:type="dxa"/>
            </w:tcMar>
            <w:vAlign w:val="center"/>
          </w:tcPr>
          <w:p w14:paraId="7CA3E98C">
            <w:pPr>
              <w:widowControl/>
              <w:spacing w:line="276"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5</w:t>
            </w:r>
          </w:p>
        </w:tc>
        <w:tc>
          <w:tcPr>
            <w:tcW w:w="6946" w:type="dxa"/>
            <w:tcMar>
              <w:top w:w="15" w:type="dxa"/>
              <w:left w:w="15" w:type="dxa"/>
              <w:right w:w="15" w:type="dxa"/>
            </w:tcMar>
            <w:vAlign w:val="center"/>
          </w:tcPr>
          <w:p w14:paraId="69907964">
            <w:pPr>
              <w:widowControl/>
              <w:spacing w:line="400" w:lineRule="exact"/>
              <w:ind w:firstLine="48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根据投标人的售后服务</w:t>
            </w:r>
            <w:r>
              <w:rPr>
                <w:rFonts w:hint="eastAsia" w:ascii="宋体" w:hAnsi="宋体" w:eastAsia="宋体" w:cs="宋体"/>
                <w:color w:val="auto"/>
                <w:sz w:val="21"/>
                <w:szCs w:val="21"/>
                <w:highlight w:val="none"/>
                <w:lang w:val="zh-CN" w:eastAsia="zh-CN"/>
              </w:rPr>
              <w:t>方案</w:t>
            </w:r>
            <w:r>
              <w:rPr>
                <w:rFonts w:hint="eastAsia" w:ascii="宋体" w:hAnsi="宋体" w:cs="宋体"/>
                <w:color w:val="auto"/>
                <w:sz w:val="21"/>
                <w:szCs w:val="21"/>
                <w:highlight w:val="none"/>
                <w:lang w:val="zh-CN" w:eastAsia="zh-CN"/>
              </w:rPr>
              <w:t>，</w:t>
            </w:r>
            <w:r>
              <w:rPr>
                <w:rFonts w:hint="eastAsia" w:ascii="宋体" w:hAnsi="宋体" w:cs="宋体"/>
                <w:color w:val="auto"/>
                <w:sz w:val="21"/>
                <w:szCs w:val="21"/>
                <w:highlight w:val="none"/>
                <w:lang w:val="en-US" w:eastAsia="zh-CN"/>
              </w:rPr>
              <w:t>方案</w:t>
            </w:r>
            <w:r>
              <w:rPr>
                <w:rFonts w:hint="eastAsia" w:ascii="宋体" w:hAnsi="宋体" w:eastAsia="宋体" w:cs="宋体"/>
                <w:color w:val="auto"/>
                <w:sz w:val="21"/>
                <w:szCs w:val="21"/>
                <w:highlight w:val="none"/>
                <w:lang w:val="zh-CN" w:eastAsia="zh-CN"/>
              </w:rPr>
              <w:t>至少包含：</w:t>
            </w:r>
            <w:r>
              <w:rPr>
                <w:rFonts w:hint="eastAsia" w:ascii="宋体" w:hAnsi="宋体" w:eastAsia="宋体" w:cs="宋体"/>
                <w:color w:val="auto"/>
                <w:sz w:val="21"/>
                <w:szCs w:val="21"/>
                <w:highlight w:val="none"/>
                <w:lang w:bidi="ar"/>
              </w:rPr>
              <w:t>①、售后服务管理体系与维保方案；②、售后服务计划与服务承诺完善性；③、售后服务计划与服务承诺可行性；④、售后服务人员的技术水平；⑤、现场服务措施（如响应时间、服务范围、应急处理方案等）等方面进行阐述；</w:t>
            </w:r>
          </w:p>
          <w:p w14:paraId="3CD4896B">
            <w:pPr>
              <w:widowControl/>
              <w:spacing w:line="400" w:lineRule="exact"/>
              <w:ind w:firstLine="480"/>
              <w:rPr>
                <w:rFonts w:hint="eastAsia" w:ascii="宋体" w:hAnsi="宋体" w:eastAsia="宋体" w:cs="宋体"/>
                <w:color w:val="auto"/>
                <w:sz w:val="21"/>
                <w:szCs w:val="21"/>
                <w:highlight w:val="none"/>
              </w:rPr>
            </w:pPr>
            <w:r>
              <w:rPr>
                <w:rFonts w:hint="eastAsia" w:ascii="宋体" w:hAnsi="宋体" w:cs="宋体"/>
                <w:color w:val="auto"/>
                <w:szCs w:val="21"/>
                <w:highlight w:val="none"/>
                <w:lang w:bidi="ar"/>
              </w:rPr>
              <w:t>方案内容满足以上全部要求且符合本项目实际需求的，得</w:t>
            </w:r>
            <w:r>
              <w:rPr>
                <w:rFonts w:hint="eastAsia" w:ascii="宋体" w:hAnsi="宋体" w:cs="宋体"/>
                <w:color w:val="auto"/>
                <w:szCs w:val="21"/>
                <w:highlight w:val="none"/>
                <w:lang w:val="en-US" w:eastAsia="zh-CN" w:bidi="ar"/>
              </w:rPr>
              <w:t>5</w:t>
            </w:r>
            <w:r>
              <w:rPr>
                <w:rFonts w:hint="eastAsia" w:ascii="宋体" w:hAnsi="宋体" w:cs="宋体"/>
                <w:color w:val="auto"/>
                <w:szCs w:val="21"/>
                <w:highlight w:val="none"/>
                <w:lang w:bidi="ar"/>
              </w:rPr>
              <w:t>分，每有一项内容缺失的扣</w:t>
            </w:r>
            <w:r>
              <w:rPr>
                <w:rFonts w:hint="eastAsia" w:ascii="宋体" w:hAnsi="宋体" w:cs="宋体"/>
                <w:color w:val="auto"/>
                <w:szCs w:val="21"/>
                <w:highlight w:val="none"/>
                <w:lang w:val="en-US" w:eastAsia="zh-CN" w:bidi="ar"/>
              </w:rPr>
              <w:t>1</w:t>
            </w:r>
            <w:r>
              <w:rPr>
                <w:rFonts w:hint="eastAsia" w:ascii="宋体" w:hAnsi="宋体" w:cs="宋体"/>
                <w:color w:val="auto"/>
                <w:szCs w:val="21"/>
                <w:highlight w:val="none"/>
                <w:lang w:bidi="ar"/>
              </w:rPr>
              <w:t>分，每有一处内容存在缺陷或不满足要求的扣</w:t>
            </w:r>
            <w:r>
              <w:rPr>
                <w:rFonts w:hint="eastAsia" w:ascii="宋体" w:hAnsi="宋体" w:cs="宋体"/>
                <w:color w:val="auto"/>
                <w:szCs w:val="21"/>
                <w:highlight w:val="none"/>
                <w:lang w:val="en-US" w:eastAsia="zh-CN" w:bidi="ar"/>
              </w:rPr>
              <w:t>0.5</w:t>
            </w:r>
            <w:r>
              <w:rPr>
                <w:rFonts w:hint="eastAsia" w:ascii="宋体" w:hAnsi="宋体" w:cs="宋体"/>
                <w:color w:val="auto"/>
                <w:szCs w:val="21"/>
                <w:highlight w:val="none"/>
                <w:lang w:bidi="ar"/>
              </w:rPr>
              <w:t>分，扣完为止。（缺陷或不满足指：与实际需求不符、套用其他项目方案、有规范性或常识性错误、存在无关的事项等任意一种情形）</w:t>
            </w:r>
            <w:r>
              <w:rPr>
                <w:rFonts w:hint="eastAsia" w:ascii="宋体" w:hAnsi="宋体" w:eastAsia="宋体" w:cs="宋体"/>
                <w:color w:val="auto"/>
                <w:sz w:val="21"/>
                <w:szCs w:val="21"/>
                <w:highlight w:val="none"/>
              </w:rPr>
              <w:t>。</w:t>
            </w:r>
          </w:p>
        </w:tc>
      </w:tr>
      <w:tr w14:paraId="781D9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31" w:hRule="atLeast"/>
        </w:trPr>
        <w:tc>
          <w:tcPr>
            <w:tcW w:w="1701" w:type="dxa"/>
            <w:gridSpan w:val="2"/>
            <w:tcMar>
              <w:top w:w="15" w:type="dxa"/>
              <w:left w:w="15" w:type="dxa"/>
              <w:right w:w="15" w:type="dxa"/>
            </w:tcMar>
            <w:vAlign w:val="center"/>
          </w:tcPr>
          <w:p w14:paraId="50CFF450">
            <w:pPr>
              <w:widowControl/>
              <w:spacing w:line="276" w:lineRule="auto"/>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类似业绩</w:t>
            </w:r>
          </w:p>
        </w:tc>
        <w:tc>
          <w:tcPr>
            <w:tcW w:w="567" w:type="dxa"/>
            <w:tcMar>
              <w:top w:w="15" w:type="dxa"/>
              <w:left w:w="15" w:type="dxa"/>
              <w:right w:w="15" w:type="dxa"/>
            </w:tcMar>
            <w:vAlign w:val="center"/>
          </w:tcPr>
          <w:p w14:paraId="73EA341D">
            <w:pPr>
              <w:widowControl/>
              <w:spacing w:line="276" w:lineRule="auto"/>
              <w:jc w:val="center"/>
              <w:rPr>
                <w:rFonts w:hint="eastAsia" w:ascii="宋体" w:hAnsi="宋体" w:eastAsia="宋体" w:cs="宋体"/>
                <w:color w:val="auto"/>
                <w:sz w:val="21"/>
                <w:szCs w:val="21"/>
                <w:highlight w:val="none"/>
                <w:lang w:eastAsia="zh-CN" w:bidi="ar"/>
              </w:rPr>
            </w:pPr>
            <w:r>
              <w:rPr>
                <w:rFonts w:hint="eastAsia" w:ascii="宋体" w:hAnsi="宋体" w:cs="宋体"/>
                <w:color w:val="auto"/>
                <w:sz w:val="21"/>
                <w:szCs w:val="21"/>
                <w:highlight w:val="none"/>
                <w:lang w:val="en-US" w:eastAsia="zh-CN" w:bidi="ar"/>
              </w:rPr>
              <w:t>5</w:t>
            </w:r>
          </w:p>
        </w:tc>
        <w:tc>
          <w:tcPr>
            <w:tcW w:w="6946" w:type="dxa"/>
            <w:tcMar>
              <w:top w:w="15" w:type="dxa"/>
              <w:left w:w="15" w:type="dxa"/>
              <w:right w:w="15" w:type="dxa"/>
            </w:tcMar>
            <w:vAlign w:val="center"/>
          </w:tcPr>
          <w:p w14:paraId="7135B15C">
            <w:pPr>
              <w:widowControl/>
              <w:spacing w:line="400" w:lineRule="exact"/>
              <w:ind w:firstLine="480"/>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202</w:t>
            </w:r>
            <w:r>
              <w:rPr>
                <w:rFonts w:hint="eastAsia" w:ascii="宋体" w:hAnsi="宋体" w:cs="宋体"/>
                <w:bCs/>
                <w:color w:val="auto"/>
                <w:sz w:val="21"/>
                <w:szCs w:val="21"/>
                <w:highlight w:val="none"/>
                <w:lang w:val="en-US" w:eastAsia="zh-CN"/>
              </w:rPr>
              <w:t>3</w:t>
            </w:r>
            <w:r>
              <w:rPr>
                <w:rFonts w:hint="eastAsia" w:ascii="宋体" w:hAnsi="宋体" w:eastAsia="宋体" w:cs="宋体"/>
                <w:bCs/>
                <w:color w:val="auto"/>
                <w:sz w:val="21"/>
                <w:szCs w:val="21"/>
                <w:highlight w:val="none"/>
              </w:rPr>
              <w:t>年</w:t>
            </w:r>
            <w:r>
              <w:rPr>
                <w:rFonts w:hint="eastAsia" w:ascii="宋体" w:hAnsi="宋体" w:cs="宋体"/>
                <w:bCs/>
                <w:color w:val="auto"/>
                <w:sz w:val="21"/>
                <w:szCs w:val="21"/>
                <w:highlight w:val="none"/>
                <w:lang w:val="en-US" w:eastAsia="zh-CN"/>
              </w:rPr>
              <w:t>1</w:t>
            </w:r>
            <w:r>
              <w:rPr>
                <w:rFonts w:hint="eastAsia" w:ascii="宋体" w:hAnsi="宋体" w:eastAsia="宋体" w:cs="宋体"/>
                <w:bCs/>
                <w:color w:val="auto"/>
                <w:sz w:val="21"/>
                <w:szCs w:val="21"/>
                <w:highlight w:val="none"/>
              </w:rPr>
              <w:t>月1日以来（以合同签订日期为准），投标人具有智能化项目业绩的，每个得1分，最多得</w:t>
            </w:r>
            <w:r>
              <w:rPr>
                <w:rFonts w:hint="eastAsia" w:ascii="宋体" w:hAnsi="宋体" w:cs="宋体"/>
                <w:bCs/>
                <w:color w:val="auto"/>
                <w:sz w:val="21"/>
                <w:szCs w:val="21"/>
                <w:highlight w:val="none"/>
                <w:lang w:val="en-US" w:eastAsia="zh-CN"/>
              </w:rPr>
              <w:t>5</w:t>
            </w:r>
            <w:r>
              <w:rPr>
                <w:rFonts w:hint="eastAsia" w:ascii="宋体" w:hAnsi="宋体" w:eastAsia="宋体" w:cs="宋体"/>
                <w:bCs/>
                <w:color w:val="auto"/>
                <w:sz w:val="21"/>
                <w:szCs w:val="21"/>
                <w:highlight w:val="none"/>
              </w:rPr>
              <w:t>分。</w:t>
            </w:r>
            <w:r>
              <w:rPr>
                <w:rFonts w:hint="eastAsia" w:ascii="宋体" w:hAnsi="宋体" w:eastAsia="宋体" w:cs="宋体"/>
                <w:bCs/>
                <w:color w:val="auto"/>
                <w:sz w:val="21"/>
                <w:szCs w:val="21"/>
                <w:highlight w:val="none"/>
                <w:lang w:bidi="zh-CN"/>
              </w:rPr>
              <w:t>（提供合同原件扫描件，合同须能反映项目名称、主要标的物、签订时间、单位公章或专用合同章,如不能反映的，另须提供盖有原委托单位公章的证明，否则不予认可</w:t>
            </w:r>
            <w:r>
              <w:rPr>
                <w:rFonts w:hint="eastAsia" w:ascii="宋体" w:hAnsi="宋体" w:eastAsia="宋体" w:cs="宋体"/>
                <w:bCs/>
                <w:color w:val="auto"/>
                <w:sz w:val="21"/>
                <w:szCs w:val="21"/>
                <w:highlight w:val="none"/>
              </w:rPr>
              <w:t>）。</w:t>
            </w:r>
          </w:p>
        </w:tc>
      </w:tr>
      <w:bookmarkEnd w:id="214"/>
    </w:tbl>
    <w:p w14:paraId="521BF7E9">
      <w:pPr>
        <w:rPr>
          <w:rFonts w:hint="eastAsia" w:ascii="宋体" w:hAnsi="宋体" w:cs="宋体"/>
          <w:color w:val="auto"/>
          <w:szCs w:val="21"/>
          <w:highlight w:val="none"/>
        </w:rPr>
      </w:pPr>
      <w:r>
        <w:rPr>
          <w:rFonts w:hint="eastAsia" w:ascii="宋体" w:hAnsi="宋体" w:cs="宋体"/>
          <w:color w:val="auto"/>
          <w:szCs w:val="21"/>
          <w:highlight w:val="none"/>
        </w:rPr>
        <w:br w:type="page"/>
      </w:r>
    </w:p>
    <w:p w14:paraId="585B69C9">
      <w:pPr>
        <w:pStyle w:val="39"/>
        <w:rPr>
          <w:rFonts w:hint="eastAsia"/>
          <w:color w:val="auto"/>
          <w:highlight w:val="none"/>
        </w:rPr>
      </w:pPr>
    </w:p>
    <w:p w14:paraId="3B254985">
      <w:pPr>
        <w:pStyle w:val="208"/>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第六章  投标文件格式 </w:t>
      </w:r>
    </w:p>
    <w:p w14:paraId="38D2452C">
      <w:pPr>
        <w:pStyle w:val="208"/>
        <w:spacing w:beforeAutospacing="0" w:afterAutospacing="0"/>
        <w:jc w:val="center"/>
        <w:rPr>
          <w:rFonts w:hint="eastAsia" w:ascii="宋体" w:hAnsi="宋体" w:cs="宋体"/>
          <w:b/>
          <w:color w:val="auto"/>
          <w:sz w:val="72"/>
          <w:szCs w:val="72"/>
          <w:highlight w:val="none"/>
        </w:rPr>
      </w:pPr>
      <w:bookmarkStart w:id="215" w:name="_Toc49090576"/>
      <w:bookmarkEnd w:id="215"/>
      <w:bookmarkStart w:id="216" w:name="_Toc120614282"/>
      <w:bookmarkEnd w:id="216"/>
      <w:bookmarkStart w:id="217" w:name="_Toc26554094"/>
      <w:bookmarkStart w:id="218" w:name="_Hlt26671244"/>
      <w:bookmarkStart w:id="219" w:name="_Hlt26955039"/>
    </w:p>
    <w:p w14:paraId="2EFCD5EA">
      <w:pPr>
        <w:pStyle w:val="208"/>
        <w:spacing w:beforeAutospacing="0" w:afterAutospacing="0"/>
        <w:jc w:val="center"/>
        <w:rPr>
          <w:color w:val="auto"/>
          <w:highlight w:val="none"/>
        </w:rPr>
      </w:pPr>
      <w:r>
        <w:rPr>
          <w:rFonts w:hint="eastAsia" w:ascii="宋体" w:hAnsi="宋体" w:cs="宋体"/>
          <w:b/>
          <w:color w:val="auto"/>
          <w:sz w:val="72"/>
          <w:szCs w:val="72"/>
          <w:highlight w:val="none"/>
        </w:rPr>
        <w:t>投  标  文  件</w:t>
      </w:r>
    </w:p>
    <w:p w14:paraId="36E28CF9">
      <w:pPr>
        <w:pStyle w:val="208"/>
        <w:spacing w:beforeAutospacing="0" w:afterAutospacing="0"/>
        <w:jc w:val="center"/>
        <w:rPr>
          <w:color w:val="auto"/>
          <w:highlight w:val="none"/>
        </w:rPr>
      </w:pPr>
      <w:r>
        <w:rPr>
          <w:color w:val="auto"/>
          <w:highlight w:val="none"/>
        </w:rPr>
        <w:t> </w:t>
      </w:r>
    </w:p>
    <w:p w14:paraId="1ACF44FD">
      <w:pPr>
        <w:pStyle w:val="208"/>
        <w:spacing w:beforeAutospacing="0" w:afterAutospacing="0"/>
        <w:jc w:val="center"/>
        <w:rPr>
          <w:color w:val="auto"/>
          <w:highlight w:val="none"/>
        </w:rPr>
      </w:pPr>
      <w:r>
        <w:rPr>
          <w:color w:val="auto"/>
          <w:highlight w:val="none"/>
        </w:rPr>
        <w:t> </w:t>
      </w:r>
    </w:p>
    <w:p w14:paraId="0994CF7F">
      <w:pPr>
        <w:pStyle w:val="208"/>
        <w:spacing w:beforeAutospacing="0" w:afterAutospacing="0"/>
        <w:jc w:val="center"/>
        <w:rPr>
          <w:color w:val="auto"/>
          <w:highlight w:val="none"/>
        </w:rPr>
      </w:pPr>
      <w:r>
        <w:rPr>
          <w:color w:val="auto"/>
          <w:highlight w:val="none"/>
        </w:rPr>
        <w:t> </w:t>
      </w:r>
    </w:p>
    <w:p w14:paraId="54DD108C">
      <w:pPr>
        <w:pStyle w:val="208"/>
        <w:spacing w:beforeAutospacing="0" w:afterAutospacing="0"/>
        <w:jc w:val="center"/>
        <w:rPr>
          <w:color w:val="auto"/>
          <w:highlight w:val="none"/>
        </w:rPr>
      </w:pPr>
      <w:r>
        <w:rPr>
          <w:color w:val="auto"/>
          <w:highlight w:val="none"/>
        </w:rPr>
        <w:t> </w:t>
      </w:r>
    </w:p>
    <w:p w14:paraId="2CC3BEE2">
      <w:pPr>
        <w:pStyle w:val="208"/>
        <w:spacing w:beforeAutospacing="0" w:afterAutospacing="0"/>
        <w:jc w:val="center"/>
        <w:rPr>
          <w:color w:val="auto"/>
          <w:highlight w:val="none"/>
        </w:rPr>
      </w:pPr>
      <w:r>
        <w:rPr>
          <w:color w:val="auto"/>
          <w:highlight w:val="none"/>
        </w:rPr>
        <w:t> </w:t>
      </w:r>
    </w:p>
    <w:p w14:paraId="6D6D6D25">
      <w:pPr>
        <w:pStyle w:val="208"/>
        <w:spacing w:beforeAutospacing="0" w:afterAutospacing="0"/>
        <w:ind w:firstLine="1084"/>
        <w:jc w:val="both"/>
        <w:rPr>
          <w:color w:val="auto"/>
          <w:highlight w:val="none"/>
        </w:rPr>
      </w:pPr>
      <w:r>
        <w:rPr>
          <w:rFonts w:hint="eastAsia" w:ascii="宋体" w:hAnsi="宋体" w:cs="宋体"/>
          <w:b/>
          <w:color w:val="auto"/>
          <w:sz w:val="36"/>
          <w:szCs w:val="36"/>
          <w:highlight w:val="none"/>
        </w:rPr>
        <w:t>项 目 名 称：</w:t>
      </w:r>
      <w:r>
        <w:rPr>
          <w:rFonts w:hint="eastAsia" w:ascii="宋体" w:hAnsi="宋体" w:cs="宋体"/>
          <w:b/>
          <w:color w:val="auto"/>
          <w:sz w:val="36"/>
          <w:szCs w:val="36"/>
          <w:highlight w:val="none"/>
          <w:u w:val="single"/>
        </w:rPr>
        <w:t>             </w:t>
      </w:r>
    </w:p>
    <w:p w14:paraId="21234A4D">
      <w:pPr>
        <w:pStyle w:val="208"/>
        <w:spacing w:beforeAutospacing="0" w:afterAutospacing="0"/>
        <w:ind w:firstLine="1084"/>
        <w:jc w:val="both"/>
        <w:rPr>
          <w:color w:val="auto"/>
          <w:highlight w:val="none"/>
        </w:rPr>
      </w:pPr>
      <w:r>
        <w:rPr>
          <w:rFonts w:hint="eastAsia" w:ascii="宋体" w:hAnsi="宋体" w:cs="宋体"/>
          <w:b/>
          <w:color w:val="auto"/>
          <w:sz w:val="36"/>
          <w:szCs w:val="36"/>
          <w:highlight w:val="none"/>
        </w:rPr>
        <w:t>项 目 编 号：</w:t>
      </w:r>
      <w:r>
        <w:rPr>
          <w:rFonts w:hint="eastAsia" w:ascii="宋体" w:hAnsi="宋体" w:cs="宋体"/>
          <w:b/>
          <w:color w:val="auto"/>
          <w:sz w:val="36"/>
          <w:szCs w:val="36"/>
          <w:highlight w:val="none"/>
          <w:u w:val="single"/>
        </w:rPr>
        <w:t>             </w:t>
      </w:r>
    </w:p>
    <w:p w14:paraId="649A7077">
      <w:pPr>
        <w:pStyle w:val="208"/>
        <w:spacing w:beforeAutospacing="0" w:afterAutospacing="0"/>
        <w:jc w:val="both"/>
        <w:rPr>
          <w:color w:val="auto"/>
          <w:highlight w:val="none"/>
        </w:rPr>
      </w:pPr>
      <w:r>
        <w:rPr>
          <w:rFonts w:hint="eastAsia" w:ascii="宋体" w:hAnsi="宋体" w:cs="宋体"/>
          <w:b/>
          <w:color w:val="auto"/>
          <w:sz w:val="36"/>
          <w:szCs w:val="36"/>
          <w:highlight w:val="none"/>
        </w:rPr>
        <w:t>   投标人名称 ：</w:t>
      </w:r>
      <w:r>
        <w:rPr>
          <w:rFonts w:hint="eastAsia" w:ascii="宋体" w:hAnsi="宋体" w:cs="宋体"/>
          <w:b/>
          <w:color w:val="auto"/>
          <w:sz w:val="36"/>
          <w:szCs w:val="36"/>
          <w:highlight w:val="none"/>
          <w:u w:val="single"/>
        </w:rPr>
        <w:t>（加盖CA电子公章）</w:t>
      </w:r>
    </w:p>
    <w:p w14:paraId="3791D01D">
      <w:pPr>
        <w:pStyle w:val="208"/>
        <w:spacing w:beforeAutospacing="0" w:afterAutospacing="0"/>
        <w:jc w:val="both"/>
        <w:rPr>
          <w:color w:val="auto"/>
          <w:highlight w:val="none"/>
        </w:rPr>
      </w:pPr>
      <w:r>
        <w:rPr>
          <w:rFonts w:hint="eastAsia" w:ascii="宋体" w:hAnsi="宋体" w:cs="宋体"/>
          <w:b/>
          <w:color w:val="auto"/>
          <w:sz w:val="36"/>
          <w:szCs w:val="36"/>
          <w:highlight w:val="none"/>
        </w:rPr>
        <w:t>   日   期 ：</w:t>
      </w:r>
      <w:r>
        <w:rPr>
          <w:rFonts w:hint="eastAsia" w:ascii="宋体" w:hAnsi="宋体" w:cs="宋体"/>
          <w:b/>
          <w:color w:val="auto"/>
          <w:sz w:val="36"/>
          <w:szCs w:val="36"/>
          <w:highlight w:val="none"/>
          <w:u w:val="single"/>
        </w:rPr>
        <w:t>             </w:t>
      </w:r>
    </w:p>
    <w:p w14:paraId="3A77DE50">
      <w:pPr>
        <w:pStyle w:val="208"/>
        <w:spacing w:beforeAutospacing="0" w:afterAutospacing="0" w:line="0" w:lineRule="atLeast"/>
        <w:jc w:val="center"/>
        <w:rPr>
          <w:color w:val="auto"/>
          <w:highlight w:val="none"/>
        </w:rPr>
      </w:pPr>
    </w:p>
    <w:p w14:paraId="74780C29">
      <w:pPr>
        <w:pStyle w:val="208"/>
        <w:spacing w:beforeAutospacing="0" w:afterAutospacing="0" w:line="0" w:lineRule="atLeast"/>
        <w:jc w:val="center"/>
        <w:rPr>
          <w:color w:val="auto"/>
          <w:highlight w:val="none"/>
        </w:rPr>
      </w:pPr>
    </w:p>
    <w:p w14:paraId="2AAACDF0">
      <w:pPr>
        <w:pStyle w:val="208"/>
        <w:spacing w:beforeAutospacing="0" w:afterAutospacing="0" w:line="0" w:lineRule="atLeast"/>
        <w:jc w:val="center"/>
        <w:rPr>
          <w:color w:val="auto"/>
          <w:highlight w:val="none"/>
        </w:rPr>
      </w:pPr>
    </w:p>
    <w:p w14:paraId="2B872412">
      <w:pPr>
        <w:pStyle w:val="208"/>
        <w:spacing w:beforeAutospacing="0" w:afterAutospacing="0" w:line="0" w:lineRule="atLeast"/>
        <w:jc w:val="center"/>
        <w:rPr>
          <w:color w:val="auto"/>
          <w:highlight w:val="none"/>
        </w:rPr>
      </w:pPr>
    </w:p>
    <w:p w14:paraId="16D5F06D">
      <w:pPr>
        <w:pStyle w:val="208"/>
        <w:spacing w:beforeAutospacing="0" w:afterAutospacing="0" w:line="0" w:lineRule="atLeast"/>
        <w:jc w:val="center"/>
        <w:rPr>
          <w:color w:val="auto"/>
          <w:highlight w:val="none"/>
        </w:rPr>
      </w:pPr>
    </w:p>
    <w:p w14:paraId="2177C6BB">
      <w:pPr>
        <w:pStyle w:val="208"/>
        <w:spacing w:beforeAutospacing="0" w:afterAutospacing="0" w:line="0" w:lineRule="atLeast"/>
        <w:jc w:val="center"/>
        <w:rPr>
          <w:color w:val="auto"/>
          <w:highlight w:val="none"/>
        </w:rPr>
      </w:pPr>
    </w:p>
    <w:p w14:paraId="4E893774">
      <w:pPr>
        <w:pStyle w:val="208"/>
        <w:spacing w:beforeAutospacing="0" w:afterAutospacing="0" w:line="0" w:lineRule="atLeast"/>
        <w:jc w:val="center"/>
        <w:rPr>
          <w:color w:val="auto"/>
          <w:highlight w:val="none"/>
        </w:rPr>
      </w:pPr>
    </w:p>
    <w:p w14:paraId="5B37282A">
      <w:pPr>
        <w:pStyle w:val="208"/>
        <w:spacing w:beforeAutospacing="0" w:afterAutospacing="0" w:line="0" w:lineRule="atLeast"/>
        <w:jc w:val="center"/>
        <w:rPr>
          <w:color w:val="auto"/>
          <w:highlight w:val="none"/>
        </w:rPr>
      </w:pPr>
    </w:p>
    <w:p w14:paraId="1E0A2422">
      <w:pPr>
        <w:pStyle w:val="208"/>
        <w:spacing w:beforeAutospacing="0" w:afterAutospacing="0" w:line="0" w:lineRule="atLeast"/>
        <w:jc w:val="center"/>
        <w:rPr>
          <w:color w:val="auto"/>
          <w:highlight w:val="none"/>
        </w:rPr>
      </w:pPr>
    </w:p>
    <w:p w14:paraId="18025F5F">
      <w:pPr>
        <w:pStyle w:val="208"/>
        <w:spacing w:beforeAutospacing="0" w:afterAutospacing="0" w:line="0" w:lineRule="atLeast"/>
        <w:jc w:val="center"/>
        <w:rPr>
          <w:color w:val="auto"/>
          <w:highlight w:val="none"/>
        </w:rPr>
      </w:pPr>
    </w:p>
    <w:p w14:paraId="7C798DB0">
      <w:pPr>
        <w:pStyle w:val="208"/>
        <w:spacing w:beforeAutospacing="0" w:afterAutospacing="0" w:line="0" w:lineRule="atLeast"/>
        <w:jc w:val="center"/>
        <w:rPr>
          <w:color w:val="auto"/>
          <w:highlight w:val="none"/>
        </w:rPr>
      </w:pPr>
    </w:p>
    <w:p w14:paraId="7CC45EFA">
      <w:pPr>
        <w:pStyle w:val="208"/>
        <w:spacing w:beforeAutospacing="0" w:afterAutospacing="0" w:line="0" w:lineRule="atLeast"/>
        <w:jc w:val="center"/>
        <w:rPr>
          <w:color w:val="auto"/>
          <w:highlight w:val="none"/>
        </w:rPr>
      </w:pPr>
    </w:p>
    <w:p w14:paraId="775DB670">
      <w:pPr>
        <w:pStyle w:val="208"/>
        <w:spacing w:beforeAutospacing="0" w:afterAutospacing="0" w:line="0" w:lineRule="atLeast"/>
        <w:jc w:val="center"/>
        <w:rPr>
          <w:color w:val="auto"/>
          <w:highlight w:val="none"/>
        </w:rPr>
      </w:pPr>
    </w:p>
    <w:p w14:paraId="1FBCC616">
      <w:pPr>
        <w:pStyle w:val="208"/>
        <w:spacing w:beforeAutospacing="0" w:afterAutospacing="0" w:line="0" w:lineRule="atLeast"/>
        <w:jc w:val="center"/>
        <w:rPr>
          <w:color w:val="auto"/>
          <w:highlight w:val="none"/>
        </w:rPr>
      </w:pPr>
    </w:p>
    <w:p w14:paraId="3421CCBE">
      <w:pPr>
        <w:pStyle w:val="208"/>
        <w:spacing w:beforeAutospacing="0" w:afterAutospacing="0" w:line="0" w:lineRule="atLeast"/>
        <w:jc w:val="center"/>
        <w:rPr>
          <w:color w:val="auto"/>
          <w:highlight w:val="none"/>
        </w:rPr>
      </w:pPr>
    </w:p>
    <w:p w14:paraId="26480AA3">
      <w:pPr>
        <w:pStyle w:val="208"/>
        <w:spacing w:beforeAutospacing="0" w:afterAutospacing="0" w:line="0" w:lineRule="atLeast"/>
        <w:jc w:val="center"/>
        <w:rPr>
          <w:color w:val="auto"/>
          <w:highlight w:val="none"/>
        </w:rPr>
      </w:pPr>
    </w:p>
    <w:p w14:paraId="643A9466">
      <w:pPr>
        <w:pStyle w:val="208"/>
        <w:spacing w:beforeAutospacing="0" w:afterAutospacing="0" w:line="0" w:lineRule="atLeast"/>
        <w:jc w:val="center"/>
        <w:rPr>
          <w:color w:val="auto"/>
          <w:highlight w:val="none"/>
        </w:rPr>
      </w:pPr>
    </w:p>
    <w:p w14:paraId="31EE93C0">
      <w:pPr>
        <w:pStyle w:val="208"/>
        <w:spacing w:beforeAutospacing="0" w:afterAutospacing="0" w:line="0" w:lineRule="atLeast"/>
        <w:jc w:val="center"/>
        <w:rPr>
          <w:color w:val="auto"/>
          <w:highlight w:val="none"/>
        </w:rPr>
      </w:pPr>
    </w:p>
    <w:p w14:paraId="7BD00FAB">
      <w:pPr>
        <w:pStyle w:val="208"/>
        <w:spacing w:beforeAutospacing="0" w:afterAutospacing="0" w:line="0" w:lineRule="atLeast"/>
        <w:jc w:val="center"/>
        <w:rPr>
          <w:color w:val="auto"/>
          <w:highlight w:val="none"/>
        </w:rPr>
      </w:pPr>
    </w:p>
    <w:p w14:paraId="17CF16A0">
      <w:pPr>
        <w:pStyle w:val="208"/>
        <w:spacing w:beforeAutospacing="0" w:afterAutospacing="0" w:line="0" w:lineRule="atLeast"/>
        <w:jc w:val="center"/>
        <w:rPr>
          <w:color w:val="auto"/>
          <w:highlight w:val="none"/>
        </w:rPr>
      </w:pPr>
    </w:p>
    <w:p w14:paraId="1102743B">
      <w:pPr>
        <w:pStyle w:val="208"/>
        <w:spacing w:beforeAutospacing="0" w:afterAutospacing="0" w:line="0" w:lineRule="atLeast"/>
        <w:jc w:val="center"/>
        <w:rPr>
          <w:color w:val="auto"/>
          <w:highlight w:val="none"/>
        </w:rPr>
      </w:pPr>
    </w:p>
    <w:p w14:paraId="2E039191">
      <w:pPr>
        <w:pStyle w:val="208"/>
        <w:spacing w:beforeAutospacing="0" w:afterAutospacing="0" w:line="0" w:lineRule="atLeast"/>
        <w:jc w:val="center"/>
        <w:rPr>
          <w:color w:val="auto"/>
          <w:highlight w:val="none"/>
        </w:rPr>
      </w:pPr>
    </w:p>
    <w:p w14:paraId="329C8274">
      <w:pPr>
        <w:pStyle w:val="208"/>
        <w:spacing w:beforeAutospacing="0" w:afterAutospacing="0" w:line="0" w:lineRule="atLeast"/>
        <w:jc w:val="center"/>
        <w:rPr>
          <w:color w:val="auto"/>
          <w:highlight w:val="none"/>
        </w:rPr>
      </w:pPr>
    </w:p>
    <w:p w14:paraId="41850181">
      <w:pPr>
        <w:pStyle w:val="208"/>
        <w:spacing w:beforeAutospacing="0" w:afterAutospacing="0" w:line="0" w:lineRule="atLeast"/>
        <w:jc w:val="center"/>
        <w:rPr>
          <w:color w:val="auto"/>
          <w:highlight w:val="none"/>
        </w:rPr>
      </w:pPr>
    </w:p>
    <w:p w14:paraId="62C0595D">
      <w:pPr>
        <w:pStyle w:val="208"/>
        <w:spacing w:beforeAutospacing="0" w:afterAutospacing="0" w:line="0" w:lineRule="atLeast"/>
        <w:jc w:val="both"/>
        <w:rPr>
          <w:color w:val="auto"/>
          <w:highlight w:val="none"/>
        </w:rPr>
      </w:pPr>
    </w:p>
    <w:p w14:paraId="5DB14007">
      <w:pPr>
        <w:pStyle w:val="208"/>
        <w:spacing w:beforeAutospacing="0" w:afterAutospacing="0" w:line="0" w:lineRule="atLeast"/>
        <w:jc w:val="both"/>
        <w:rPr>
          <w:color w:val="auto"/>
          <w:highlight w:val="none"/>
        </w:rPr>
      </w:pPr>
    </w:p>
    <w:p w14:paraId="6F0E2EEE">
      <w:pPr>
        <w:pStyle w:val="208"/>
        <w:spacing w:beforeAutospacing="0" w:afterAutospacing="0" w:line="0" w:lineRule="atLeast"/>
        <w:jc w:val="center"/>
        <w:rPr>
          <w:color w:val="auto"/>
          <w:highlight w:val="none"/>
        </w:rPr>
      </w:pPr>
      <w:r>
        <w:rPr>
          <w:rFonts w:hint="eastAsia" w:ascii="宋体" w:hAnsi="宋体" w:cs="宋体"/>
          <w:b/>
          <w:color w:val="auto"/>
          <w:sz w:val="32"/>
          <w:szCs w:val="32"/>
          <w:highlight w:val="none"/>
        </w:rPr>
        <w:t>投标文件目录</w:t>
      </w:r>
    </w:p>
    <w:p w14:paraId="085A6A05">
      <w:pPr>
        <w:pStyle w:val="208"/>
        <w:spacing w:beforeAutospacing="0" w:afterAutospacing="0" w:line="0" w:lineRule="atLeast"/>
        <w:jc w:val="center"/>
        <w:rPr>
          <w:color w:val="auto"/>
          <w:highlight w:val="none"/>
        </w:rPr>
      </w:pPr>
      <w:r>
        <w:rPr>
          <w:color w:val="auto"/>
          <w:highlight w:val="none"/>
        </w:rPr>
        <w:t> </w:t>
      </w:r>
    </w:p>
    <w:p w14:paraId="6F42E651">
      <w:pPr>
        <w:pStyle w:val="208"/>
        <w:spacing w:beforeAutospacing="0" w:afterAutospacing="0" w:line="360" w:lineRule="auto"/>
        <w:ind w:left="480"/>
        <w:jc w:val="both"/>
        <w:rPr>
          <w:iCs/>
          <w:color w:val="auto"/>
          <w:sz w:val="21"/>
          <w:szCs w:val="21"/>
          <w:highlight w:val="none"/>
        </w:rPr>
      </w:pPr>
      <w:r>
        <w:rPr>
          <w:rFonts w:hint="eastAsia" w:ascii="宋体" w:hAnsi="宋体" w:cs="宋体"/>
          <w:iCs/>
          <w:color w:val="auto"/>
          <w:sz w:val="21"/>
          <w:szCs w:val="21"/>
          <w:highlight w:val="none"/>
        </w:rPr>
        <w:t>一、法人或者其他组织的营业执照等证明文件，自然人的身份证明</w:t>
      </w:r>
    </w:p>
    <w:p w14:paraId="474C7AEB">
      <w:pPr>
        <w:tabs>
          <w:tab w:val="left" w:pos="1331"/>
        </w:tabs>
        <w:spacing w:line="360" w:lineRule="auto"/>
        <w:ind w:firstLine="420"/>
        <w:jc w:val="left"/>
        <w:rPr>
          <w:rFonts w:hint="eastAsia" w:ascii="宋体" w:hAnsi="宋体" w:eastAsia="宋体" w:cs="宋体"/>
          <w:iCs/>
          <w:color w:val="auto"/>
          <w:sz w:val="21"/>
          <w:szCs w:val="21"/>
          <w:highlight w:val="none"/>
          <w:lang w:val="en-US" w:eastAsia="zh-CN" w:bidi="ar-SA"/>
        </w:rPr>
      </w:pPr>
      <w:r>
        <w:rPr>
          <w:rFonts w:hint="eastAsia" w:ascii="宋体" w:hAnsi="宋体" w:cs="宋体"/>
          <w:iCs/>
          <w:color w:val="auto"/>
          <w:szCs w:val="21"/>
          <w:highlight w:val="none"/>
        </w:rPr>
        <w:t>二、</w:t>
      </w:r>
      <w:r>
        <w:rPr>
          <w:rFonts w:hint="eastAsia" w:ascii="宋体" w:hAnsi="宋体" w:eastAsia="宋体" w:cs="宋体"/>
          <w:iCs/>
          <w:color w:val="auto"/>
          <w:sz w:val="21"/>
          <w:szCs w:val="21"/>
          <w:highlight w:val="none"/>
          <w:lang w:val="en-US" w:eastAsia="zh-CN" w:bidi="ar-SA"/>
        </w:rPr>
        <w:t>上一年度的财务状况报</w:t>
      </w:r>
      <w:r>
        <w:rPr>
          <w:rFonts w:hint="eastAsia" w:ascii="宋体" w:hAnsi="宋体" w:eastAsia="宋体" w:cs="宋体"/>
          <w:color w:val="auto"/>
          <w:sz w:val="21"/>
          <w:szCs w:val="21"/>
          <w:highlight w:val="none"/>
          <w:lang w:eastAsia="zh-CN"/>
        </w:rPr>
        <w:t>表</w:t>
      </w:r>
      <w:r>
        <w:rPr>
          <w:rFonts w:hint="eastAsia" w:ascii="宋体" w:hAnsi="宋体" w:eastAsia="宋体" w:cs="宋体"/>
          <w:color w:val="auto"/>
          <w:sz w:val="21"/>
          <w:szCs w:val="21"/>
          <w:highlight w:val="none"/>
        </w:rPr>
        <w:t>（财务状况报表至少包含利润表、资产负债表、现金流量表，成立不满一年无需提供）</w:t>
      </w:r>
    </w:p>
    <w:p w14:paraId="29BC8593">
      <w:pPr>
        <w:pStyle w:val="208"/>
        <w:spacing w:beforeAutospacing="0" w:afterAutospacing="0" w:line="360" w:lineRule="auto"/>
        <w:ind w:left="480"/>
        <w:jc w:val="both"/>
        <w:rPr>
          <w:rFonts w:hint="eastAsia" w:ascii="宋体" w:hAnsi="宋体" w:cs="宋体"/>
          <w:iCs/>
          <w:color w:val="auto"/>
          <w:sz w:val="21"/>
          <w:szCs w:val="21"/>
          <w:highlight w:val="none"/>
        </w:rPr>
      </w:pPr>
      <w:r>
        <w:rPr>
          <w:rFonts w:hint="eastAsia" w:ascii="宋体" w:hAnsi="宋体" w:cs="宋体"/>
          <w:iCs/>
          <w:color w:val="auto"/>
          <w:sz w:val="21"/>
          <w:szCs w:val="21"/>
          <w:highlight w:val="none"/>
        </w:rPr>
        <w:t>三、具备履行合同所必需的设备和专业技术能力的书面声明</w:t>
      </w:r>
    </w:p>
    <w:p w14:paraId="6E8F56BD">
      <w:pPr>
        <w:pStyle w:val="208"/>
        <w:spacing w:beforeAutospacing="0" w:afterAutospacing="0" w:line="360" w:lineRule="auto"/>
        <w:ind w:left="480"/>
        <w:jc w:val="both"/>
        <w:rPr>
          <w:rFonts w:hint="eastAsia" w:ascii="宋体" w:hAnsi="宋体" w:cs="宋体"/>
          <w:iCs/>
          <w:color w:val="auto"/>
          <w:sz w:val="21"/>
          <w:szCs w:val="21"/>
          <w:highlight w:val="none"/>
        </w:rPr>
      </w:pPr>
      <w:r>
        <w:rPr>
          <w:rFonts w:hint="eastAsia" w:ascii="宋体" w:hAnsi="宋体" w:cs="宋体"/>
          <w:iCs/>
          <w:color w:val="auto"/>
          <w:sz w:val="21"/>
          <w:szCs w:val="21"/>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4D82C15C">
      <w:pPr>
        <w:pStyle w:val="208"/>
        <w:spacing w:beforeAutospacing="0" w:afterAutospacing="0" w:line="360" w:lineRule="auto"/>
        <w:ind w:firstLine="480"/>
        <w:jc w:val="both"/>
        <w:rPr>
          <w:iCs/>
          <w:color w:val="auto"/>
          <w:sz w:val="21"/>
          <w:szCs w:val="21"/>
          <w:highlight w:val="none"/>
        </w:rPr>
      </w:pPr>
      <w:r>
        <w:rPr>
          <w:rFonts w:hint="eastAsia" w:ascii="宋体" w:hAnsi="宋体" w:cs="宋体"/>
          <w:iCs/>
          <w:color w:val="auto"/>
          <w:sz w:val="21"/>
          <w:szCs w:val="21"/>
          <w:highlight w:val="none"/>
        </w:rPr>
        <w:t>五、参加政府采购活动前3年内在经营活动中没有重大违法记录的书面声明</w:t>
      </w:r>
    </w:p>
    <w:p w14:paraId="357211EE">
      <w:pPr>
        <w:pStyle w:val="208"/>
        <w:spacing w:beforeAutospacing="0" w:afterAutospacing="0" w:line="360" w:lineRule="auto"/>
        <w:ind w:firstLine="480"/>
        <w:jc w:val="both"/>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lang w:eastAsia="zh-CN"/>
        </w:rPr>
        <w:t>六、</w:t>
      </w:r>
      <w:r>
        <w:rPr>
          <w:rFonts w:hint="eastAsia" w:ascii="宋体" w:hAnsi="宋体" w:eastAsia="宋体" w:cs="宋体"/>
          <w:iCs/>
          <w:color w:val="auto"/>
          <w:sz w:val="21"/>
          <w:szCs w:val="21"/>
          <w:highlight w:val="none"/>
        </w:rPr>
        <w:t>单位负责人为同一人或者存在直接控股、管理关系的不同供应商，不得参加同一合同项下的政府采购活动。</w:t>
      </w:r>
      <w:r>
        <w:rPr>
          <w:rFonts w:hint="eastAsia" w:ascii="宋体" w:hAnsi="宋体" w:eastAsia="宋体" w:cs="宋体"/>
          <w:iCs/>
          <w:color w:val="auto"/>
          <w:sz w:val="21"/>
          <w:szCs w:val="21"/>
          <w:highlight w:val="none"/>
          <w:lang w:eastAsia="zh-CN"/>
        </w:rPr>
        <w:t>（自行提供，格式自拟）</w:t>
      </w:r>
    </w:p>
    <w:p w14:paraId="19C625BA">
      <w:pPr>
        <w:pStyle w:val="208"/>
        <w:spacing w:beforeAutospacing="0" w:afterAutospacing="0" w:line="360" w:lineRule="auto"/>
        <w:ind w:firstLine="480"/>
        <w:jc w:val="both"/>
        <w:rPr>
          <w:iCs/>
          <w:color w:val="auto"/>
          <w:sz w:val="21"/>
          <w:szCs w:val="21"/>
          <w:highlight w:val="none"/>
        </w:rPr>
      </w:pPr>
      <w:r>
        <w:rPr>
          <w:rFonts w:hint="eastAsia" w:ascii="宋体" w:hAnsi="宋体" w:cs="宋体"/>
          <w:iCs/>
          <w:color w:val="auto"/>
          <w:sz w:val="21"/>
          <w:szCs w:val="21"/>
          <w:highlight w:val="none"/>
          <w:lang w:eastAsia="zh-CN"/>
        </w:rPr>
        <w:t>七</w:t>
      </w:r>
      <w:r>
        <w:rPr>
          <w:rFonts w:hint="eastAsia" w:ascii="宋体" w:hAnsi="宋体" w:cs="宋体"/>
          <w:iCs/>
          <w:color w:val="auto"/>
          <w:sz w:val="21"/>
          <w:szCs w:val="21"/>
          <w:highlight w:val="none"/>
        </w:rPr>
        <w:t>、特定资格要求的证明文件（如果本项目设置特定资格要求，则需要提供）</w:t>
      </w:r>
    </w:p>
    <w:p w14:paraId="607A3C72">
      <w:pPr>
        <w:pStyle w:val="208"/>
        <w:spacing w:beforeAutospacing="0" w:afterAutospacing="0" w:line="360" w:lineRule="auto"/>
        <w:ind w:firstLine="480"/>
        <w:jc w:val="both"/>
        <w:rPr>
          <w:iCs/>
          <w:color w:val="auto"/>
          <w:sz w:val="21"/>
          <w:szCs w:val="21"/>
          <w:highlight w:val="none"/>
        </w:rPr>
      </w:pPr>
      <w:r>
        <w:rPr>
          <w:rFonts w:hint="eastAsia" w:ascii="宋体" w:hAnsi="宋体" w:cs="宋体"/>
          <w:iCs/>
          <w:color w:val="auto"/>
          <w:sz w:val="21"/>
          <w:szCs w:val="21"/>
          <w:highlight w:val="none"/>
          <w:lang w:eastAsia="zh-CN"/>
        </w:rPr>
        <w:t>八</w:t>
      </w:r>
      <w:r>
        <w:rPr>
          <w:rFonts w:hint="eastAsia" w:ascii="宋体" w:hAnsi="宋体" w:cs="宋体"/>
          <w:iCs/>
          <w:color w:val="auto"/>
          <w:sz w:val="21"/>
          <w:szCs w:val="21"/>
          <w:highlight w:val="none"/>
        </w:rPr>
        <w:t>、法人授权书</w:t>
      </w:r>
    </w:p>
    <w:p w14:paraId="76FD4DF0">
      <w:pPr>
        <w:pStyle w:val="208"/>
        <w:spacing w:beforeAutospacing="0" w:afterAutospacing="0" w:line="360" w:lineRule="auto"/>
        <w:ind w:firstLine="480"/>
        <w:jc w:val="both"/>
        <w:rPr>
          <w:rFonts w:hint="eastAsia" w:ascii="宋体" w:hAnsi="宋体" w:cs="宋体"/>
          <w:iCs/>
          <w:color w:val="auto"/>
          <w:sz w:val="21"/>
          <w:szCs w:val="21"/>
          <w:highlight w:val="none"/>
        </w:rPr>
      </w:pPr>
      <w:r>
        <w:rPr>
          <w:rFonts w:hint="eastAsia" w:ascii="宋体" w:hAnsi="宋体" w:cs="宋体"/>
          <w:iCs/>
          <w:color w:val="auto"/>
          <w:sz w:val="21"/>
          <w:szCs w:val="21"/>
          <w:highlight w:val="none"/>
          <w:lang w:eastAsia="zh-CN"/>
        </w:rPr>
        <w:t>九</w:t>
      </w:r>
      <w:r>
        <w:rPr>
          <w:rFonts w:hint="eastAsia" w:ascii="宋体" w:hAnsi="宋体" w:cs="宋体"/>
          <w:iCs/>
          <w:color w:val="auto"/>
          <w:sz w:val="21"/>
          <w:szCs w:val="21"/>
          <w:highlight w:val="none"/>
        </w:rPr>
        <w:t>、投标函</w:t>
      </w:r>
    </w:p>
    <w:p w14:paraId="79020AB7">
      <w:pPr>
        <w:pStyle w:val="208"/>
        <w:spacing w:beforeAutospacing="0" w:afterAutospacing="0" w:line="360" w:lineRule="auto"/>
        <w:ind w:firstLine="480"/>
        <w:jc w:val="both"/>
        <w:rPr>
          <w:rFonts w:hint="eastAsia" w:ascii="宋体" w:hAnsi="宋体" w:cs="宋体"/>
          <w:iCs/>
          <w:color w:val="auto"/>
          <w:sz w:val="21"/>
          <w:szCs w:val="21"/>
          <w:highlight w:val="none"/>
        </w:rPr>
      </w:pPr>
      <w:r>
        <w:rPr>
          <w:rFonts w:hint="eastAsia" w:ascii="宋体" w:hAnsi="宋体" w:cs="宋体"/>
          <w:iCs/>
          <w:color w:val="auto"/>
          <w:sz w:val="21"/>
          <w:szCs w:val="21"/>
          <w:highlight w:val="none"/>
          <w:lang w:eastAsia="zh-CN"/>
        </w:rPr>
        <w:t>十</w:t>
      </w:r>
      <w:r>
        <w:rPr>
          <w:rFonts w:hint="eastAsia" w:ascii="宋体" w:hAnsi="宋体" w:cs="宋体"/>
          <w:iCs/>
          <w:color w:val="auto"/>
          <w:sz w:val="21"/>
          <w:szCs w:val="21"/>
          <w:highlight w:val="none"/>
        </w:rPr>
        <w:t>、中小企业声明函</w:t>
      </w:r>
    </w:p>
    <w:p w14:paraId="3D43F5B5">
      <w:pPr>
        <w:pStyle w:val="208"/>
        <w:spacing w:beforeAutospacing="0" w:afterAutospacing="0" w:line="360" w:lineRule="auto"/>
        <w:ind w:firstLine="480"/>
        <w:jc w:val="both"/>
        <w:rPr>
          <w:rFonts w:hint="eastAsia" w:ascii="宋体" w:hAnsi="宋体" w:cs="宋体"/>
          <w:iCs/>
          <w:color w:val="auto"/>
          <w:sz w:val="21"/>
          <w:szCs w:val="21"/>
          <w:highlight w:val="none"/>
        </w:rPr>
      </w:pPr>
      <w:r>
        <w:rPr>
          <w:rFonts w:hint="eastAsia" w:ascii="宋体" w:hAnsi="宋体" w:cs="宋体"/>
          <w:iCs/>
          <w:color w:val="auto"/>
          <w:sz w:val="21"/>
          <w:szCs w:val="21"/>
          <w:highlight w:val="none"/>
        </w:rPr>
        <w:t>十</w:t>
      </w:r>
      <w:r>
        <w:rPr>
          <w:rFonts w:hint="eastAsia" w:ascii="宋体" w:hAnsi="宋体" w:cs="宋体"/>
          <w:iCs/>
          <w:color w:val="auto"/>
          <w:sz w:val="21"/>
          <w:szCs w:val="21"/>
          <w:highlight w:val="none"/>
          <w:lang w:eastAsia="zh-CN"/>
        </w:rPr>
        <w:t>一</w:t>
      </w:r>
      <w:r>
        <w:rPr>
          <w:rFonts w:hint="eastAsia" w:ascii="宋体" w:hAnsi="宋体" w:cs="宋体"/>
          <w:iCs/>
          <w:color w:val="auto"/>
          <w:sz w:val="21"/>
          <w:szCs w:val="21"/>
          <w:highlight w:val="none"/>
        </w:rPr>
        <w:t>、残疾人福利性单位声明函</w:t>
      </w:r>
    </w:p>
    <w:p w14:paraId="66680EF5">
      <w:pPr>
        <w:pStyle w:val="208"/>
        <w:spacing w:beforeAutospacing="0" w:afterAutospacing="0" w:line="360" w:lineRule="auto"/>
        <w:ind w:firstLine="480"/>
        <w:jc w:val="both"/>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lang w:val="en-US" w:eastAsia="zh-CN"/>
        </w:rPr>
        <w:t>十</w:t>
      </w:r>
      <w:r>
        <w:rPr>
          <w:rFonts w:hint="eastAsia" w:ascii="宋体" w:hAnsi="宋体" w:cs="宋体"/>
          <w:iCs/>
          <w:color w:val="auto"/>
          <w:sz w:val="21"/>
          <w:szCs w:val="21"/>
          <w:highlight w:val="none"/>
          <w:lang w:val="en-US" w:eastAsia="zh-CN"/>
        </w:rPr>
        <w:t>二</w:t>
      </w:r>
      <w:r>
        <w:rPr>
          <w:rFonts w:hint="eastAsia" w:ascii="宋体" w:hAnsi="宋体" w:eastAsia="宋体" w:cs="宋体"/>
          <w:iCs/>
          <w:color w:val="auto"/>
          <w:sz w:val="21"/>
          <w:szCs w:val="21"/>
          <w:highlight w:val="none"/>
          <w:lang w:val="en-US" w:eastAsia="zh-CN"/>
        </w:rPr>
        <w:t>、</w:t>
      </w:r>
      <w:r>
        <w:rPr>
          <w:rFonts w:hint="eastAsia" w:ascii="宋体" w:hAnsi="宋体" w:eastAsia="宋体" w:cs="宋体"/>
          <w:iCs/>
          <w:color w:val="auto"/>
          <w:sz w:val="21"/>
          <w:szCs w:val="21"/>
          <w:highlight w:val="none"/>
        </w:rPr>
        <w:t>关于符合本国产品标准的声明函</w:t>
      </w:r>
    </w:p>
    <w:p w14:paraId="6E861F8F">
      <w:pPr>
        <w:pStyle w:val="208"/>
        <w:spacing w:beforeAutospacing="0" w:afterAutospacing="0" w:line="360" w:lineRule="auto"/>
        <w:ind w:firstLine="480"/>
        <w:jc w:val="both"/>
        <w:rPr>
          <w:rFonts w:hint="eastAsia" w:ascii="宋体" w:hAnsi="宋体" w:cs="宋体"/>
          <w:iCs/>
          <w:color w:val="auto"/>
          <w:sz w:val="21"/>
          <w:szCs w:val="21"/>
          <w:highlight w:val="none"/>
        </w:rPr>
      </w:pPr>
      <w:r>
        <w:rPr>
          <w:rFonts w:hint="eastAsia" w:ascii="宋体" w:hAnsi="宋体" w:cs="宋体"/>
          <w:iCs/>
          <w:color w:val="auto"/>
          <w:sz w:val="21"/>
          <w:szCs w:val="21"/>
          <w:highlight w:val="none"/>
        </w:rPr>
        <w:t>十</w:t>
      </w:r>
      <w:r>
        <w:rPr>
          <w:rFonts w:hint="eastAsia" w:ascii="宋体" w:hAnsi="宋体" w:cs="宋体"/>
          <w:iCs/>
          <w:color w:val="auto"/>
          <w:sz w:val="21"/>
          <w:szCs w:val="21"/>
          <w:highlight w:val="none"/>
          <w:lang w:val="en-US" w:eastAsia="zh-CN"/>
        </w:rPr>
        <w:t>三</w:t>
      </w:r>
      <w:r>
        <w:rPr>
          <w:rFonts w:hint="eastAsia" w:ascii="宋体" w:hAnsi="宋体" w:cs="宋体"/>
          <w:iCs/>
          <w:color w:val="auto"/>
          <w:sz w:val="21"/>
          <w:szCs w:val="21"/>
          <w:highlight w:val="none"/>
        </w:rPr>
        <w:t>、投标分项报价表</w:t>
      </w:r>
    </w:p>
    <w:p w14:paraId="7F0BC6A1">
      <w:pPr>
        <w:pStyle w:val="208"/>
        <w:spacing w:beforeAutospacing="0" w:afterAutospacing="0" w:line="360" w:lineRule="auto"/>
        <w:ind w:firstLine="480"/>
        <w:jc w:val="both"/>
        <w:rPr>
          <w:rFonts w:hint="eastAsia" w:ascii="宋体" w:hAnsi="宋体" w:eastAsia="宋体" w:cs="宋体"/>
          <w:iCs/>
          <w:color w:val="auto"/>
          <w:sz w:val="21"/>
          <w:szCs w:val="21"/>
          <w:highlight w:val="none"/>
        </w:rPr>
      </w:pPr>
      <w:r>
        <w:rPr>
          <w:rFonts w:hint="eastAsia" w:ascii="宋体" w:hAnsi="宋体" w:cs="宋体"/>
          <w:iCs/>
          <w:color w:val="auto"/>
          <w:sz w:val="21"/>
          <w:szCs w:val="21"/>
          <w:highlight w:val="none"/>
        </w:rPr>
        <w:t>十</w:t>
      </w:r>
      <w:r>
        <w:rPr>
          <w:rFonts w:hint="eastAsia" w:ascii="宋体" w:hAnsi="宋体" w:cs="宋体"/>
          <w:iCs/>
          <w:color w:val="auto"/>
          <w:sz w:val="21"/>
          <w:szCs w:val="21"/>
          <w:highlight w:val="none"/>
          <w:lang w:val="en-US" w:eastAsia="zh-CN"/>
        </w:rPr>
        <w:t>四</w:t>
      </w:r>
      <w:r>
        <w:rPr>
          <w:rFonts w:hint="eastAsia" w:ascii="宋体" w:hAnsi="宋体" w:cs="宋体"/>
          <w:iCs/>
          <w:color w:val="auto"/>
          <w:sz w:val="21"/>
          <w:szCs w:val="21"/>
          <w:highlight w:val="none"/>
        </w:rPr>
        <w:t>、技术要求响应及偏离表</w:t>
      </w:r>
    </w:p>
    <w:p w14:paraId="2835DCEF">
      <w:pPr>
        <w:pStyle w:val="208"/>
        <w:spacing w:beforeAutospacing="0" w:afterAutospacing="0" w:line="360" w:lineRule="auto"/>
        <w:ind w:firstLine="480"/>
        <w:jc w:val="both"/>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十</w:t>
      </w:r>
      <w:r>
        <w:rPr>
          <w:rFonts w:hint="eastAsia" w:ascii="宋体" w:hAnsi="宋体" w:eastAsia="宋体" w:cs="宋体"/>
          <w:iCs/>
          <w:color w:val="auto"/>
          <w:sz w:val="21"/>
          <w:szCs w:val="21"/>
          <w:highlight w:val="none"/>
          <w:lang w:val="en-US" w:eastAsia="zh-CN"/>
        </w:rPr>
        <w:t>五</w:t>
      </w:r>
      <w:r>
        <w:rPr>
          <w:rFonts w:hint="eastAsia" w:ascii="宋体" w:hAnsi="宋体" w:eastAsia="宋体" w:cs="宋体"/>
          <w:iCs/>
          <w:color w:val="auto"/>
          <w:sz w:val="21"/>
          <w:szCs w:val="21"/>
          <w:highlight w:val="none"/>
        </w:rPr>
        <w:t>、商务要求响应及偏离表</w:t>
      </w:r>
    </w:p>
    <w:p w14:paraId="6A8D8CED">
      <w:pPr>
        <w:pStyle w:val="208"/>
        <w:spacing w:beforeAutospacing="0" w:afterAutospacing="0" w:line="360" w:lineRule="auto"/>
        <w:ind w:firstLine="480"/>
        <w:jc w:val="both"/>
        <w:rPr>
          <w:rFonts w:hint="eastAsia" w:ascii="宋体" w:hAnsi="宋体" w:cs="宋体"/>
          <w:iCs/>
          <w:color w:val="auto"/>
          <w:sz w:val="21"/>
          <w:szCs w:val="21"/>
          <w:highlight w:val="none"/>
        </w:rPr>
      </w:pPr>
      <w:r>
        <w:rPr>
          <w:rFonts w:hint="eastAsia" w:ascii="宋体" w:hAnsi="宋体" w:cs="宋体"/>
          <w:iCs/>
          <w:color w:val="auto"/>
          <w:sz w:val="21"/>
          <w:szCs w:val="21"/>
          <w:highlight w:val="none"/>
        </w:rPr>
        <w:t>十</w:t>
      </w:r>
      <w:r>
        <w:rPr>
          <w:rFonts w:hint="eastAsia" w:ascii="宋体" w:hAnsi="宋体" w:cs="宋体"/>
          <w:iCs/>
          <w:color w:val="auto"/>
          <w:sz w:val="21"/>
          <w:szCs w:val="21"/>
          <w:highlight w:val="none"/>
          <w:lang w:val="en-US" w:eastAsia="zh-CN"/>
        </w:rPr>
        <w:t>六</w:t>
      </w:r>
      <w:r>
        <w:rPr>
          <w:rFonts w:hint="eastAsia" w:ascii="宋体" w:hAnsi="宋体" w:cs="宋体"/>
          <w:iCs/>
          <w:color w:val="auto"/>
          <w:sz w:val="21"/>
          <w:szCs w:val="21"/>
          <w:highlight w:val="none"/>
        </w:rPr>
        <w:t>、开标一览表</w:t>
      </w:r>
    </w:p>
    <w:p w14:paraId="49C0330D">
      <w:pPr>
        <w:pStyle w:val="208"/>
        <w:spacing w:beforeAutospacing="0" w:afterAutospacing="0" w:line="360" w:lineRule="auto"/>
        <w:ind w:firstLine="480"/>
        <w:jc w:val="both"/>
        <w:rPr>
          <w:rFonts w:hint="eastAsia" w:ascii="宋体" w:hAnsi="宋体" w:cs="宋体"/>
          <w:iCs/>
          <w:color w:val="auto"/>
          <w:sz w:val="21"/>
          <w:szCs w:val="21"/>
          <w:highlight w:val="none"/>
        </w:rPr>
      </w:pPr>
      <w:r>
        <w:rPr>
          <w:rFonts w:hint="eastAsia" w:ascii="宋体" w:hAnsi="宋体" w:cs="宋体"/>
          <w:iCs/>
          <w:color w:val="auto"/>
          <w:sz w:val="21"/>
          <w:szCs w:val="21"/>
          <w:highlight w:val="none"/>
        </w:rPr>
        <w:t>十</w:t>
      </w:r>
      <w:r>
        <w:rPr>
          <w:rFonts w:hint="eastAsia" w:ascii="宋体" w:hAnsi="宋体" w:cs="宋体"/>
          <w:iCs/>
          <w:color w:val="auto"/>
          <w:sz w:val="21"/>
          <w:szCs w:val="21"/>
          <w:highlight w:val="none"/>
          <w:lang w:eastAsia="zh-CN"/>
        </w:rPr>
        <w:t>七</w:t>
      </w:r>
      <w:r>
        <w:rPr>
          <w:rFonts w:hint="eastAsia" w:ascii="宋体" w:hAnsi="宋体" w:cs="宋体"/>
          <w:iCs/>
          <w:color w:val="auto"/>
          <w:sz w:val="21"/>
          <w:szCs w:val="21"/>
          <w:highlight w:val="none"/>
        </w:rPr>
        <w:t>、技术方案、服务承诺、培训承诺等</w:t>
      </w:r>
    </w:p>
    <w:p w14:paraId="76CF1499">
      <w:pPr>
        <w:pStyle w:val="208"/>
        <w:spacing w:beforeAutospacing="0" w:afterAutospacing="0" w:line="360" w:lineRule="auto"/>
        <w:ind w:firstLine="480"/>
        <w:jc w:val="both"/>
        <w:rPr>
          <w:rFonts w:hint="eastAsia" w:ascii="宋体" w:hAnsi="宋体" w:cs="宋体"/>
          <w:iCs/>
          <w:color w:val="auto"/>
          <w:sz w:val="21"/>
          <w:szCs w:val="21"/>
          <w:highlight w:val="none"/>
        </w:rPr>
      </w:pPr>
      <w:r>
        <w:rPr>
          <w:rFonts w:hint="eastAsia" w:ascii="宋体" w:hAnsi="宋体" w:cs="宋体"/>
          <w:iCs/>
          <w:color w:val="auto"/>
          <w:sz w:val="21"/>
          <w:szCs w:val="21"/>
          <w:highlight w:val="none"/>
        </w:rPr>
        <w:t>十</w:t>
      </w:r>
      <w:r>
        <w:rPr>
          <w:rFonts w:hint="eastAsia" w:ascii="宋体" w:hAnsi="宋体" w:cs="宋体"/>
          <w:iCs/>
          <w:color w:val="auto"/>
          <w:sz w:val="21"/>
          <w:szCs w:val="21"/>
          <w:highlight w:val="none"/>
          <w:lang w:val="en-US" w:eastAsia="zh-CN"/>
        </w:rPr>
        <w:t>八</w:t>
      </w:r>
      <w:r>
        <w:rPr>
          <w:rFonts w:hint="eastAsia" w:ascii="宋体" w:hAnsi="宋体" w:cs="宋体"/>
          <w:iCs/>
          <w:color w:val="auto"/>
          <w:sz w:val="21"/>
          <w:szCs w:val="21"/>
          <w:highlight w:val="none"/>
        </w:rPr>
        <w:t>、盐城市政府采购事前信用承诺书</w:t>
      </w:r>
    </w:p>
    <w:p w14:paraId="278ED634">
      <w:pPr>
        <w:pStyle w:val="208"/>
        <w:spacing w:beforeAutospacing="0" w:afterAutospacing="0" w:line="0" w:lineRule="atLeast"/>
        <w:ind w:firstLine="480"/>
        <w:jc w:val="both"/>
        <w:rPr>
          <w:rFonts w:hint="eastAsia" w:eastAsia="宋体"/>
          <w:color w:val="auto"/>
          <w:sz w:val="21"/>
          <w:szCs w:val="21"/>
          <w:highlight w:val="none"/>
          <w:lang w:val="en-US" w:eastAsia="zh-CN"/>
        </w:rPr>
      </w:pPr>
      <w:r>
        <w:rPr>
          <w:color w:val="auto"/>
          <w:sz w:val="21"/>
          <w:szCs w:val="21"/>
          <w:highlight w:val="none"/>
        </w:rPr>
        <w:t> </w:t>
      </w:r>
      <w:r>
        <w:rPr>
          <w:rFonts w:hint="eastAsia"/>
          <w:color w:val="auto"/>
          <w:sz w:val="21"/>
          <w:szCs w:val="21"/>
          <w:highlight w:val="none"/>
          <w:lang w:val="en-US" w:eastAsia="zh-CN"/>
        </w:rPr>
        <w:t>十九、承诺书</w:t>
      </w:r>
    </w:p>
    <w:p w14:paraId="380AB203">
      <w:pPr>
        <w:pStyle w:val="208"/>
        <w:spacing w:beforeAutospacing="0" w:afterAutospacing="0" w:line="0" w:lineRule="atLeast"/>
        <w:ind w:firstLine="480"/>
        <w:jc w:val="both"/>
        <w:rPr>
          <w:color w:val="auto"/>
          <w:sz w:val="21"/>
          <w:szCs w:val="21"/>
          <w:highlight w:val="none"/>
        </w:rPr>
      </w:pPr>
      <w:r>
        <w:rPr>
          <w:color w:val="auto"/>
          <w:sz w:val="21"/>
          <w:szCs w:val="21"/>
          <w:highlight w:val="none"/>
        </w:rPr>
        <w:t> </w:t>
      </w:r>
    </w:p>
    <w:p w14:paraId="10C9DD99">
      <w:pPr>
        <w:pStyle w:val="208"/>
        <w:spacing w:beforeAutospacing="0" w:afterAutospacing="0" w:line="0" w:lineRule="atLeast"/>
        <w:ind w:firstLine="480"/>
        <w:jc w:val="both"/>
        <w:rPr>
          <w:color w:val="auto"/>
          <w:sz w:val="21"/>
          <w:szCs w:val="21"/>
          <w:highlight w:val="none"/>
        </w:rPr>
      </w:pPr>
      <w:r>
        <w:rPr>
          <w:color w:val="auto"/>
          <w:sz w:val="21"/>
          <w:szCs w:val="21"/>
          <w:highlight w:val="none"/>
        </w:rPr>
        <w:t> </w:t>
      </w:r>
    </w:p>
    <w:p w14:paraId="69D2F9C8">
      <w:pPr>
        <w:pStyle w:val="208"/>
        <w:spacing w:beforeAutospacing="0" w:afterAutospacing="0" w:line="0" w:lineRule="atLeast"/>
        <w:ind w:firstLine="480"/>
        <w:jc w:val="both"/>
        <w:rPr>
          <w:color w:val="auto"/>
          <w:highlight w:val="none"/>
        </w:rPr>
      </w:pPr>
      <w:r>
        <w:rPr>
          <w:color w:val="auto"/>
          <w:highlight w:val="none"/>
        </w:rPr>
        <w:t> </w:t>
      </w:r>
    </w:p>
    <w:p w14:paraId="771988A5">
      <w:pPr>
        <w:pStyle w:val="208"/>
        <w:spacing w:beforeAutospacing="0" w:afterAutospacing="0" w:line="0" w:lineRule="atLeast"/>
        <w:ind w:firstLine="480"/>
        <w:jc w:val="both"/>
        <w:rPr>
          <w:color w:val="auto"/>
          <w:highlight w:val="none"/>
        </w:rPr>
      </w:pPr>
      <w:r>
        <w:rPr>
          <w:color w:val="auto"/>
          <w:highlight w:val="none"/>
        </w:rPr>
        <w:t> </w:t>
      </w:r>
    </w:p>
    <w:p w14:paraId="1DFF2477">
      <w:pPr>
        <w:pStyle w:val="208"/>
        <w:spacing w:beforeAutospacing="0" w:afterAutospacing="0" w:line="0" w:lineRule="atLeast"/>
        <w:ind w:firstLine="480"/>
        <w:jc w:val="both"/>
        <w:rPr>
          <w:color w:val="auto"/>
          <w:highlight w:val="none"/>
        </w:rPr>
      </w:pPr>
      <w:r>
        <w:rPr>
          <w:color w:val="auto"/>
          <w:highlight w:val="none"/>
        </w:rPr>
        <w:t> </w:t>
      </w:r>
    </w:p>
    <w:p w14:paraId="3F115AE5">
      <w:pPr>
        <w:pStyle w:val="208"/>
        <w:spacing w:beforeAutospacing="0" w:afterAutospacing="0" w:line="0" w:lineRule="atLeast"/>
        <w:ind w:firstLine="480"/>
        <w:jc w:val="both"/>
        <w:rPr>
          <w:color w:val="auto"/>
          <w:highlight w:val="none"/>
        </w:rPr>
      </w:pPr>
      <w:r>
        <w:rPr>
          <w:color w:val="auto"/>
          <w:highlight w:val="none"/>
        </w:rPr>
        <w:t> </w:t>
      </w:r>
    </w:p>
    <w:p w14:paraId="2903924D">
      <w:pPr>
        <w:pStyle w:val="208"/>
        <w:spacing w:beforeAutospacing="0" w:afterAutospacing="0" w:line="0" w:lineRule="atLeast"/>
        <w:ind w:firstLine="480"/>
        <w:jc w:val="both"/>
        <w:rPr>
          <w:color w:val="auto"/>
          <w:highlight w:val="none"/>
        </w:rPr>
      </w:pPr>
      <w:r>
        <w:rPr>
          <w:color w:val="auto"/>
          <w:highlight w:val="none"/>
        </w:rPr>
        <w:t> </w:t>
      </w:r>
    </w:p>
    <w:p w14:paraId="1BC57849">
      <w:pPr>
        <w:pStyle w:val="208"/>
        <w:spacing w:beforeAutospacing="0" w:afterAutospacing="0" w:line="0" w:lineRule="atLeast"/>
        <w:ind w:firstLine="480"/>
        <w:jc w:val="both"/>
        <w:rPr>
          <w:color w:val="auto"/>
          <w:highlight w:val="none"/>
        </w:rPr>
      </w:pPr>
    </w:p>
    <w:p w14:paraId="6E5DB6D2">
      <w:pPr>
        <w:pStyle w:val="208"/>
        <w:spacing w:beforeAutospacing="0" w:afterAutospacing="0" w:line="0" w:lineRule="atLeast"/>
        <w:ind w:firstLine="480"/>
        <w:jc w:val="both"/>
        <w:rPr>
          <w:color w:val="auto"/>
          <w:highlight w:val="none"/>
        </w:rPr>
      </w:pPr>
    </w:p>
    <w:p w14:paraId="53EFEDED">
      <w:pPr>
        <w:pStyle w:val="208"/>
        <w:spacing w:beforeAutospacing="0" w:afterAutospacing="0" w:line="0" w:lineRule="atLeast"/>
        <w:ind w:firstLine="480"/>
        <w:jc w:val="both"/>
        <w:rPr>
          <w:color w:val="auto"/>
          <w:highlight w:val="none"/>
        </w:rPr>
      </w:pPr>
    </w:p>
    <w:p w14:paraId="509ED5E0">
      <w:pPr>
        <w:pStyle w:val="208"/>
        <w:spacing w:beforeAutospacing="0" w:afterAutospacing="0" w:line="0" w:lineRule="atLeast"/>
        <w:ind w:firstLine="480"/>
        <w:jc w:val="both"/>
        <w:rPr>
          <w:color w:val="auto"/>
          <w:highlight w:val="none"/>
        </w:rPr>
      </w:pPr>
    </w:p>
    <w:p w14:paraId="1B45E056">
      <w:pPr>
        <w:pStyle w:val="208"/>
        <w:spacing w:beforeAutospacing="0" w:afterAutospacing="0" w:line="0" w:lineRule="atLeast"/>
        <w:ind w:firstLine="480"/>
        <w:jc w:val="both"/>
        <w:rPr>
          <w:color w:val="auto"/>
          <w:highlight w:val="none"/>
        </w:rPr>
      </w:pPr>
    </w:p>
    <w:p w14:paraId="35B4E5BC">
      <w:pPr>
        <w:pStyle w:val="208"/>
        <w:spacing w:beforeAutospacing="0" w:afterAutospacing="0" w:line="0" w:lineRule="atLeast"/>
        <w:ind w:firstLine="480"/>
        <w:jc w:val="both"/>
        <w:rPr>
          <w:color w:val="auto"/>
          <w:highlight w:val="none"/>
        </w:rPr>
      </w:pPr>
    </w:p>
    <w:p w14:paraId="41FA6A06">
      <w:pPr>
        <w:pStyle w:val="208"/>
        <w:spacing w:beforeAutospacing="0" w:afterAutospacing="0"/>
        <w:rPr>
          <w:rFonts w:hint="eastAsia" w:ascii="黑体" w:hAnsi="宋体" w:eastAsia="黑体" w:cs="黑体"/>
          <w:i/>
          <w:color w:val="auto"/>
          <w:sz w:val="32"/>
          <w:szCs w:val="32"/>
          <w:highlight w:val="none"/>
          <w:u w:val="single"/>
          <w:lang w:val="en-US" w:eastAsia="zh-CN" w:bidi="ar-SA"/>
        </w:rPr>
      </w:pPr>
      <w:r>
        <w:rPr>
          <w:rFonts w:hint="eastAsia" w:ascii="黑体" w:hAnsi="宋体" w:eastAsia="黑体" w:cs="黑体"/>
          <w:i/>
          <w:color w:val="auto"/>
          <w:sz w:val="32"/>
          <w:szCs w:val="32"/>
          <w:highlight w:val="none"/>
          <w:u w:val="single"/>
          <w:lang w:val="en-US" w:eastAsia="zh-CN" w:bidi="ar-SA"/>
        </w:rPr>
        <w:t>一、法人或者其他组织的营业执照等证明文件，自然人的身份证明</w:t>
      </w:r>
    </w:p>
    <w:p w14:paraId="72D5D670">
      <w:pPr>
        <w:pStyle w:val="208"/>
        <w:spacing w:beforeAutospacing="0" w:afterAutospacing="0" w:line="360" w:lineRule="auto"/>
        <w:ind w:firstLine="480"/>
        <w:jc w:val="both"/>
        <w:rPr>
          <w:color w:val="auto"/>
          <w:sz w:val="21"/>
          <w:szCs w:val="21"/>
          <w:highlight w:val="none"/>
        </w:rPr>
      </w:pPr>
      <w:r>
        <w:rPr>
          <w:color w:val="auto"/>
          <w:sz w:val="21"/>
          <w:szCs w:val="21"/>
          <w:highlight w:val="none"/>
        </w:rPr>
        <w:t> </w:t>
      </w:r>
    </w:p>
    <w:p w14:paraId="40040940">
      <w:pPr>
        <w:tabs>
          <w:tab w:val="left" w:pos="1331"/>
        </w:tabs>
        <w:spacing w:line="360" w:lineRule="auto"/>
        <w:ind w:firstLine="420"/>
        <w:jc w:val="left"/>
        <w:rPr>
          <w:color w:val="auto"/>
          <w:sz w:val="21"/>
          <w:szCs w:val="21"/>
          <w:highlight w:val="none"/>
        </w:rPr>
      </w:pPr>
      <w:r>
        <w:rPr>
          <w:rFonts w:hint="eastAsia" w:ascii="黑体" w:hAnsi="宋体" w:eastAsia="黑体" w:cs="黑体"/>
          <w:i/>
          <w:color w:val="auto"/>
          <w:sz w:val="32"/>
          <w:szCs w:val="32"/>
          <w:highlight w:val="none"/>
          <w:u w:val="single"/>
        </w:rPr>
        <w:t>二、</w:t>
      </w:r>
      <w:r>
        <w:rPr>
          <w:rFonts w:hint="eastAsia" w:ascii="黑体" w:hAnsi="宋体" w:eastAsia="黑体" w:cs="黑体"/>
          <w:i/>
          <w:color w:val="auto"/>
          <w:sz w:val="32"/>
          <w:szCs w:val="32"/>
          <w:highlight w:val="none"/>
          <w:u w:val="single"/>
          <w:lang w:val="en-US" w:eastAsia="zh-CN" w:bidi="ar-SA"/>
        </w:rPr>
        <w:t>上一年度的财务状况报告（财务状况报表至少包含利润表、资产负债表、现金流量表，成立不满一年无需提供）。</w:t>
      </w:r>
    </w:p>
    <w:p w14:paraId="3AD5E046">
      <w:pPr>
        <w:pStyle w:val="208"/>
        <w:spacing w:beforeAutospacing="0" w:afterAutospacing="0"/>
        <w:jc w:val="cente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三、具备履行合同所必需的设备和专业技术能力的书面声明</w:t>
      </w:r>
    </w:p>
    <w:p w14:paraId="67052181">
      <w:pPr>
        <w:pStyle w:val="208"/>
        <w:spacing w:beforeAutospacing="0" w:afterAutospacing="0" w:line="360" w:lineRule="auto"/>
        <w:ind w:firstLine="492"/>
        <w:jc w:val="both"/>
        <w:rPr>
          <w:color w:val="auto"/>
          <w:sz w:val="21"/>
          <w:szCs w:val="21"/>
          <w:highlight w:val="none"/>
        </w:rPr>
      </w:pPr>
      <w:r>
        <w:rPr>
          <w:rFonts w:hint="eastAsia" w:ascii="宋体" w:hAnsi="宋体" w:cs="宋体"/>
          <w:color w:val="auto"/>
          <w:sz w:val="21"/>
          <w:szCs w:val="21"/>
          <w:highlight w:val="none"/>
        </w:rPr>
        <w:t>我单位郑重声明：我单位具备履行本项采购合同所必需的设备和专业技术能力，为履行本项采购合同我公司具备如下主要设备和主要专业技术能力：</w:t>
      </w:r>
    </w:p>
    <w:p w14:paraId="38EDA98E">
      <w:pPr>
        <w:pStyle w:val="208"/>
        <w:spacing w:beforeAutospacing="0" w:afterAutospacing="0" w:line="360" w:lineRule="auto"/>
        <w:ind w:firstLine="492"/>
        <w:jc w:val="both"/>
        <w:rPr>
          <w:color w:val="auto"/>
          <w:sz w:val="21"/>
          <w:szCs w:val="21"/>
          <w:highlight w:val="none"/>
        </w:rPr>
      </w:pPr>
      <w:r>
        <w:rPr>
          <w:rFonts w:hint="eastAsia" w:ascii="宋体" w:hAnsi="宋体" w:cs="宋体"/>
          <w:color w:val="auto"/>
          <w:sz w:val="21"/>
          <w:szCs w:val="21"/>
          <w:highlight w:val="none"/>
        </w:rPr>
        <w:t>主要设备有：</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15962D0F">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主要专业技术能力有：</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378EEDCC">
      <w:pPr>
        <w:pStyle w:val="208"/>
        <w:spacing w:beforeAutospacing="0" w:afterAutospacing="0"/>
        <w:jc w:val="both"/>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四、依法缴纳税收和社会保障资金的相关材料</w:t>
      </w:r>
    </w:p>
    <w:p w14:paraId="2DC5F270">
      <w:pPr>
        <w:pStyle w:val="208"/>
        <w:spacing w:beforeAutospacing="0" w:afterAutospacing="0" w:line="360" w:lineRule="auto"/>
        <w:ind w:firstLine="480"/>
        <w:jc w:val="both"/>
        <w:rPr>
          <w:color w:val="auto"/>
          <w:sz w:val="21"/>
          <w:szCs w:val="21"/>
          <w:highlight w:val="none"/>
        </w:rPr>
      </w:pPr>
      <w:r>
        <w:rPr>
          <w:rFonts w:hint="eastAsia" w:ascii="宋体" w:hAnsi="宋体" w:cs="宋体"/>
          <w:color w:val="auto"/>
          <w:sz w:val="21"/>
          <w:szCs w:val="21"/>
          <w:highlight w:val="none"/>
        </w:rPr>
        <w:t>提供提交投标文件截止时间前一年内至少一个月依法缴纳税收及缴纳社会保障资金的证明材料。投标人依法享受缓缴、免缴税收、社会保障资金的提供证明材料。</w:t>
      </w:r>
    </w:p>
    <w:p w14:paraId="2DCED0BC">
      <w:pPr>
        <w:pStyle w:val="208"/>
        <w:spacing w:beforeAutospacing="0" w:afterAutospacing="0" w:line="360" w:lineRule="auto"/>
        <w:jc w:val="both"/>
        <w:rPr>
          <w:color w:val="auto"/>
          <w:sz w:val="21"/>
          <w:szCs w:val="21"/>
          <w:highlight w:val="none"/>
        </w:rPr>
      </w:pPr>
      <w:r>
        <w:rPr>
          <w:color w:val="auto"/>
          <w:sz w:val="21"/>
          <w:szCs w:val="21"/>
          <w:highlight w:val="none"/>
        </w:rPr>
        <w:t> </w:t>
      </w:r>
    </w:p>
    <w:p w14:paraId="5F9CEFED">
      <w:pPr>
        <w:pStyle w:val="208"/>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1534FA18">
      <w:pPr>
        <w:pStyle w:val="208"/>
        <w:spacing w:beforeAutospacing="0" w:afterAutospacing="0" w:line="360" w:lineRule="auto"/>
        <w:jc w:val="both"/>
        <w:rPr>
          <w:rFonts w:hint="eastAsia" w:ascii="宋体" w:hAnsi="宋体" w:cs="宋体"/>
          <w:b/>
          <w:color w:val="auto"/>
          <w:sz w:val="21"/>
          <w:szCs w:val="21"/>
          <w:highlight w:val="none"/>
        </w:rPr>
      </w:pPr>
      <w:r>
        <w:rPr>
          <w:rFonts w:hint="eastAsia" w:ascii="宋体" w:hAnsi="宋体" w:cs="宋体"/>
          <w:b/>
          <w:color w:val="auto"/>
          <w:sz w:val="21"/>
          <w:szCs w:val="21"/>
          <w:highlight w:val="none"/>
        </w:rPr>
        <w:t>                </w:t>
      </w:r>
    </w:p>
    <w:p w14:paraId="4F771A77">
      <w:pPr>
        <w:pStyle w:val="208"/>
        <w:spacing w:beforeAutospacing="0" w:afterAutospacing="0"/>
        <w:jc w:val="center"/>
        <w:rPr>
          <w:rFonts w:hint="eastAsia" w:ascii="黑体" w:hAnsi="宋体" w:eastAsia="黑体" w:cs="黑体"/>
          <w:iCs/>
          <w:color w:val="auto"/>
          <w:sz w:val="32"/>
          <w:szCs w:val="32"/>
          <w:highlight w:val="none"/>
        </w:rPr>
      </w:pPr>
      <w:r>
        <w:rPr>
          <w:rFonts w:hint="eastAsia" w:ascii="黑体" w:hAnsi="宋体" w:eastAsia="黑体" w:cs="黑体"/>
          <w:iCs/>
          <w:color w:val="auto"/>
          <w:sz w:val="32"/>
          <w:szCs w:val="32"/>
          <w:highlight w:val="none"/>
        </w:rPr>
        <w:t xml:space="preserve"> 声  明</w:t>
      </w:r>
    </w:p>
    <w:p w14:paraId="77668500">
      <w:pPr>
        <w:pStyle w:val="208"/>
        <w:spacing w:beforeAutospacing="0" w:afterAutospacing="0" w:line="360" w:lineRule="auto"/>
        <w:jc w:val="both"/>
        <w:rPr>
          <w:color w:val="auto"/>
          <w:sz w:val="21"/>
          <w:szCs w:val="21"/>
          <w:highlight w:val="none"/>
        </w:rPr>
      </w:pPr>
      <w:r>
        <w:rPr>
          <w:rFonts w:hint="eastAsia" w:ascii="宋体" w:hAnsi="宋体" w:cs="宋体"/>
          <w:b/>
          <w:color w:val="auto"/>
          <w:sz w:val="21"/>
          <w:szCs w:val="21"/>
          <w:highlight w:val="none"/>
        </w:rPr>
        <w:t xml:space="preserve">    </w:t>
      </w:r>
      <w:r>
        <w:rPr>
          <w:rFonts w:hint="eastAsia" w:ascii="宋体" w:hAnsi="宋体" w:cs="宋体"/>
          <w:color w:val="auto"/>
          <w:sz w:val="21"/>
          <w:szCs w:val="21"/>
          <w:highlight w:val="none"/>
        </w:rPr>
        <w:t>我单位郑重声明：参加本次政府采购活动前 3 年内，我单位在经营活动中没有因违法经营受到刑事处罚或者责令停产停业、吊销许可证或者执照、较大数额罚款等行政处罚。</w:t>
      </w:r>
    </w:p>
    <w:p w14:paraId="3283B542">
      <w:pPr>
        <w:pStyle w:val="208"/>
        <w:spacing w:beforeAutospacing="0" w:afterAutospacing="0" w:line="360" w:lineRule="auto"/>
        <w:jc w:val="both"/>
        <w:rPr>
          <w:color w:val="auto"/>
          <w:sz w:val="21"/>
          <w:szCs w:val="21"/>
          <w:highlight w:val="none"/>
        </w:rPr>
      </w:pPr>
      <w:r>
        <w:rPr>
          <w:color w:val="auto"/>
          <w:sz w:val="21"/>
          <w:szCs w:val="21"/>
          <w:highlight w:val="none"/>
        </w:rPr>
        <w:t> </w:t>
      </w:r>
    </w:p>
    <w:p w14:paraId="37B5D23C">
      <w:pPr>
        <w:pStyle w:val="208"/>
        <w:numPr>
          <w:ilvl w:val="0"/>
          <w:numId w:val="6"/>
        </w:numP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单位负责人为同一人或者存在直接控股、管理关系的不同供应商，不得参加同一合同项下的政府采购活动。</w:t>
      </w:r>
    </w:p>
    <w:p w14:paraId="2A904C89">
      <w:pPr>
        <w:pStyle w:val="208"/>
        <w:numPr>
          <w:ilvl w:val="0"/>
          <w:numId w:val="0"/>
        </w:numPr>
        <w:spacing w:beforeAutospacing="0" w:afterAutospacing="0"/>
        <w:jc w:val="center"/>
        <w:rPr>
          <w:rFonts w:hint="eastAsia" w:ascii="黑体" w:hAnsi="宋体" w:eastAsia="黑体" w:cs="黑体"/>
          <w:i/>
          <w:color w:val="auto"/>
          <w:sz w:val="32"/>
          <w:szCs w:val="32"/>
          <w:highlight w:val="none"/>
          <w:u w:val="single"/>
        </w:rPr>
      </w:pPr>
      <w:r>
        <w:rPr>
          <w:rFonts w:hint="eastAsia" w:ascii="宋体" w:hAnsi="宋体" w:eastAsia="宋体" w:cs="宋体"/>
          <w:iCs/>
          <w:color w:val="auto"/>
          <w:sz w:val="21"/>
          <w:szCs w:val="21"/>
          <w:highlight w:val="none"/>
          <w:lang w:eastAsia="zh-CN"/>
        </w:rPr>
        <w:t>（自行提供，格式自拟）</w:t>
      </w:r>
    </w:p>
    <w:p w14:paraId="357FAA59">
      <w:pPr>
        <w:pStyle w:val="208"/>
        <w:spacing w:beforeAutospacing="0" w:afterAutospacing="0"/>
        <w:rPr>
          <w:rFonts w:hint="eastAsia" w:ascii="黑体" w:hAnsi="宋体" w:eastAsia="黑体" w:cs="黑体"/>
          <w:i/>
          <w:color w:val="auto"/>
          <w:sz w:val="32"/>
          <w:szCs w:val="32"/>
          <w:highlight w:val="none"/>
          <w:u w:val="single"/>
          <w:lang w:eastAsia="zh-CN"/>
        </w:rPr>
      </w:pPr>
    </w:p>
    <w:p w14:paraId="586E8F83">
      <w:pPr>
        <w:pStyle w:val="208"/>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lang w:eastAsia="zh-CN"/>
        </w:rPr>
        <w:t>七</w:t>
      </w:r>
      <w:r>
        <w:rPr>
          <w:rFonts w:hint="eastAsia" w:ascii="黑体" w:hAnsi="宋体" w:eastAsia="黑体" w:cs="黑体"/>
          <w:i/>
          <w:color w:val="auto"/>
          <w:sz w:val="32"/>
          <w:szCs w:val="32"/>
          <w:highlight w:val="none"/>
          <w:u w:val="single"/>
        </w:rPr>
        <w:t>、特定资格要求的证明文件</w:t>
      </w:r>
    </w:p>
    <w:p w14:paraId="24FD7CD6">
      <w:pPr>
        <w:pStyle w:val="208"/>
        <w:spacing w:beforeAutospacing="0" w:afterAutospacing="0" w:line="360" w:lineRule="auto"/>
        <w:jc w:val="both"/>
        <w:rPr>
          <w:color w:val="auto"/>
          <w:sz w:val="21"/>
          <w:szCs w:val="21"/>
          <w:highlight w:val="none"/>
        </w:rPr>
      </w:pPr>
      <w:r>
        <w:rPr>
          <w:rFonts w:hint="eastAsia" w:ascii="宋体" w:hAnsi="宋体" w:cs="宋体"/>
          <w:color w:val="auto"/>
          <w:sz w:val="21"/>
          <w:szCs w:val="21"/>
          <w:highlight w:val="none"/>
        </w:rPr>
        <w:t>   如果本项目申请人的特定资格要求中要求提供的，必须提供。</w:t>
      </w:r>
    </w:p>
    <w:p w14:paraId="2E66058A">
      <w:pPr>
        <w:pStyle w:val="208"/>
        <w:spacing w:beforeAutospacing="0" w:afterAutospacing="0" w:line="360" w:lineRule="auto"/>
        <w:jc w:val="center"/>
        <w:rPr>
          <w:rFonts w:hint="eastAsia" w:ascii="黑体" w:hAnsi="宋体" w:eastAsia="黑体" w:cs="黑体"/>
          <w:i/>
          <w:color w:val="auto"/>
          <w:sz w:val="21"/>
          <w:szCs w:val="21"/>
          <w:highlight w:val="none"/>
          <w:u w:val="single"/>
        </w:rPr>
      </w:pPr>
      <w:bookmarkStart w:id="220" w:name="_Toc120614284"/>
    </w:p>
    <w:p w14:paraId="440ADA5A">
      <w:pPr>
        <w:pStyle w:val="208"/>
        <w:spacing w:beforeAutospacing="0" w:afterAutospacing="0"/>
        <w:jc w:val="both"/>
        <w:rPr>
          <w:rFonts w:hint="eastAsia" w:ascii="黑体" w:hAnsi="宋体" w:eastAsia="黑体" w:cs="黑体"/>
          <w:i/>
          <w:color w:val="auto"/>
          <w:sz w:val="32"/>
          <w:szCs w:val="32"/>
          <w:highlight w:val="none"/>
          <w:u w:val="single"/>
        </w:rPr>
      </w:pPr>
    </w:p>
    <w:p w14:paraId="3BD4015E">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r>
    </w:p>
    <w:p w14:paraId="55EB03B7">
      <w:pPr>
        <w:pStyle w:val="208"/>
        <w:spacing w:beforeAutospacing="0" w:afterAutospacing="0"/>
        <w:jc w:val="center"/>
        <w:rPr>
          <w:color w:val="auto"/>
          <w:highlight w:val="none"/>
        </w:rPr>
      </w:pPr>
      <w:r>
        <w:rPr>
          <w:rFonts w:hint="eastAsia" w:ascii="黑体" w:hAnsi="宋体" w:eastAsia="黑体" w:cs="黑体"/>
          <w:i/>
          <w:color w:val="auto"/>
          <w:sz w:val="32"/>
          <w:szCs w:val="32"/>
          <w:highlight w:val="none"/>
          <w:u w:val="single"/>
          <w:lang w:eastAsia="zh-CN"/>
        </w:rPr>
        <w:t>八</w:t>
      </w:r>
      <w:r>
        <w:rPr>
          <w:rFonts w:hint="eastAsia" w:ascii="黑体" w:hAnsi="宋体" w:eastAsia="黑体" w:cs="黑体"/>
          <w:i/>
          <w:color w:val="auto"/>
          <w:sz w:val="32"/>
          <w:szCs w:val="32"/>
          <w:highlight w:val="none"/>
          <w:u w:val="single"/>
        </w:rPr>
        <w:t>、法人授权书</w:t>
      </w:r>
    </w:p>
    <w:p w14:paraId="579EAC54">
      <w:pPr>
        <w:pStyle w:val="208"/>
        <w:tabs>
          <w:tab w:val="left" w:pos="360"/>
        </w:tabs>
        <w:spacing w:beforeAutospacing="0" w:afterAutospacing="0" w:line="360" w:lineRule="auto"/>
        <w:ind w:firstLine="480"/>
        <w:jc w:val="both"/>
        <w:rPr>
          <w:color w:val="auto"/>
          <w:sz w:val="21"/>
          <w:szCs w:val="21"/>
          <w:highlight w:val="none"/>
        </w:rPr>
      </w:pPr>
      <w:r>
        <w:rPr>
          <w:rFonts w:ascii="Times New Roman" w:hAnsi="Times New Roman"/>
          <w:color w:val="auto"/>
          <w:sz w:val="21"/>
          <w:szCs w:val="21"/>
          <w:highlight w:val="none"/>
        </w:rPr>
        <w:t>本授权书声明：____________（投标人名称）授权________________（被授权人的姓名）为我方就JSZC-</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号项目采购活动的合法代理人，以本单位名义全权处理一切与该项目采购有关的事务。</w:t>
      </w:r>
    </w:p>
    <w:p w14:paraId="0A63E173">
      <w:pPr>
        <w:pStyle w:val="208"/>
        <w:tabs>
          <w:tab w:val="left" w:pos="360"/>
        </w:tabs>
        <w:spacing w:beforeAutospacing="0" w:afterAutospacing="0" w:line="360" w:lineRule="auto"/>
        <w:ind w:firstLine="688"/>
        <w:jc w:val="both"/>
        <w:rPr>
          <w:color w:val="auto"/>
          <w:sz w:val="21"/>
          <w:szCs w:val="21"/>
          <w:highlight w:val="none"/>
        </w:rPr>
      </w:pPr>
      <w:r>
        <w:rPr>
          <w:rFonts w:ascii="Times New Roman" w:hAnsi="Times New Roman"/>
          <w:color w:val="auto"/>
          <w:sz w:val="21"/>
          <w:szCs w:val="21"/>
          <w:highlight w:val="none"/>
        </w:rPr>
        <w:t>本授权书于______年____月____日起生效，特此声明。</w:t>
      </w:r>
    </w:p>
    <w:p w14:paraId="015C4ACF">
      <w:pPr>
        <w:pStyle w:val="208"/>
        <w:tabs>
          <w:tab w:val="left" w:pos="360"/>
        </w:tabs>
        <w:spacing w:beforeAutospacing="0" w:afterAutospacing="0" w:line="360" w:lineRule="auto"/>
        <w:jc w:val="both"/>
        <w:rPr>
          <w:color w:val="auto"/>
          <w:sz w:val="21"/>
          <w:szCs w:val="21"/>
          <w:highlight w:val="none"/>
        </w:rPr>
      </w:pPr>
      <w:r>
        <w:rPr>
          <w:rFonts w:ascii="Times New Roman" w:hAnsi="Times New Roman"/>
          <w:color w:val="auto"/>
          <w:sz w:val="21"/>
          <w:szCs w:val="21"/>
          <w:highlight w:val="none"/>
        </w:rPr>
        <w:t>          被授权人身份证号码：</w:t>
      </w:r>
      <w:r>
        <w:rPr>
          <w:rFonts w:ascii="Times New Roman" w:hAnsi="Times New Roman"/>
          <w:color w:val="auto"/>
          <w:sz w:val="21"/>
          <w:szCs w:val="21"/>
          <w:highlight w:val="none"/>
          <w:u w:val="single"/>
        </w:rPr>
        <w:t xml:space="preserve">                              </w:t>
      </w:r>
    </w:p>
    <w:p w14:paraId="2B8CB3DF">
      <w:pPr>
        <w:pStyle w:val="208"/>
        <w:tabs>
          <w:tab w:val="left" w:pos="360"/>
        </w:tabs>
        <w:spacing w:beforeAutospacing="0" w:afterAutospacing="0" w:line="360" w:lineRule="auto"/>
        <w:jc w:val="both"/>
        <w:rPr>
          <w:rFonts w:ascii="Times New Roman" w:hAnsi="Times New Roman"/>
          <w:color w:val="auto"/>
          <w:sz w:val="21"/>
          <w:szCs w:val="21"/>
          <w:highlight w:val="none"/>
        </w:rPr>
      </w:pPr>
      <w:r>
        <w:rPr>
          <w:rFonts w:ascii="Times New Roman" w:hAnsi="Times New Roman"/>
          <w:color w:val="auto"/>
          <w:sz w:val="21"/>
          <w:szCs w:val="21"/>
          <w:highlight w:val="none"/>
        </w:rPr>
        <w:t>          被授权人联系电话：（手机）</w:t>
      </w:r>
      <w:r>
        <w:rPr>
          <w:rFonts w:ascii="Times New Roman" w:hAnsi="Times New Roman"/>
          <w:color w:val="auto"/>
          <w:sz w:val="21"/>
          <w:szCs w:val="21"/>
          <w:highlight w:val="none"/>
          <w:u w:val="single"/>
        </w:rPr>
        <w:t xml:space="preserve">                          </w:t>
      </w:r>
    </w:p>
    <w:p w14:paraId="55F25A21">
      <w:pPr>
        <w:pStyle w:val="208"/>
        <w:tabs>
          <w:tab w:val="left" w:pos="360"/>
        </w:tabs>
        <w:spacing w:beforeAutospacing="0" w:afterAutospacing="0" w:line="360" w:lineRule="auto"/>
        <w:ind w:firstLine="630"/>
        <w:jc w:val="both"/>
        <w:rPr>
          <w:color w:val="auto"/>
          <w:sz w:val="21"/>
          <w:szCs w:val="21"/>
          <w:highlight w:val="none"/>
        </w:rPr>
      </w:pPr>
      <w:r>
        <w:rPr>
          <w:rFonts w:ascii="Times New Roman" w:hAnsi="Times New Roman"/>
          <w:color w:val="auto"/>
          <w:sz w:val="21"/>
          <w:szCs w:val="21"/>
          <w:highlight w:val="none"/>
        </w:rPr>
        <w:t>授权单位名称：</w:t>
      </w:r>
      <w:r>
        <w:rPr>
          <w:rFonts w:ascii="Times New Roman" w:hAnsi="Times New Roman"/>
          <w:color w:val="auto"/>
          <w:sz w:val="21"/>
          <w:szCs w:val="21"/>
          <w:highlight w:val="none"/>
          <w:u w:val="single"/>
        </w:rPr>
        <w:t>（加盖CA电子公章）</w:t>
      </w:r>
    </w:p>
    <w:p w14:paraId="298D6C31">
      <w:pPr>
        <w:pStyle w:val="208"/>
        <w:tabs>
          <w:tab w:val="left" w:pos="360"/>
        </w:tabs>
        <w:spacing w:beforeAutospacing="0" w:afterAutospacing="0" w:line="360" w:lineRule="auto"/>
        <w:ind w:firstLine="480"/>
        <w:jc w:val="both"/>
        <w:rPr>
          <w:color w:val="auto"/>
          <w:sz w:val="21"/>
          <w:szCs w:val="21"/>
          <w:highlight w:val="none"/>
        </w:rPr>
      </w:pPr>
      <w:r>
        <w:rPr>
          <w:rFonts w:ascii="Times New Roman" w:hAnsi="Times New Roman"/>
          <w:color w:val="auto"/>
          <w:sz w:val="21"/>
          <w:szCs w:val="21"/>
          <w:highlight w:val="none"/>
        </w:rPr>
        <w:t>   单位地址：</w:t>
      </w:r>
      <w:r>
        <w:rPr>
          <w:rFonts w:ascii="Times New Roman" w:hAnsi="Times New Roman"/>
          <w:color w:val="auto"/>
          <w:sz w:val="21"/>
          <w:szCs w:val="21"/>
          <w:highlight w:val="none"/>
          <w:u w:val="single"/>
        </w:rPr>
        <w:t xml:space="preserve">                                         </w:t>
      </w:r>
    </w:p>
    <w:p w14:paraId="59FFDFED">
      <w:pPr>
        <w:pStyle w:val="208"/>
        <w:tabs>
          <w:tab w:val="left" w:pos="360"/>
        </w:tabs>
        <w:spacing w:beforeAutospacing="0" w:afterAutospacing="0" w:line="360" w:lineRule="auto"/>
        <w:ind w:firstLine="480"/>
        <w:jc w:val="both"/>
        <w:rPr>
          <w:color w:val="auto"/>
          <w:sz w:val="21"/>
          <w:szCs w:val="21"/>
          <w:highlight w:val="none"/>
        </w:rPr>
      </w:pPr>
      <w:r>
        <w:rPr>
          <w:rFonts w:ascii="Times New Roman" w:hAnsi="Times New Roman"/>
          <w:color w:val="auto"/>
          <w:sz w:val="21"/>
          <w:szCs w:val="21"/>
          <w:highlight w:val="none"/>
        </w:rPr>
        <w:t>   日期：</w:t>
      </w:r>
      <w:bookmarkStart w:id="221" w:name="_Hlt26671380"/>
      <w:bookmarkStart w:id="222" w:name="_格式3__银行出具的资信证明"/>
      <w:bookmarkStart w:id="223" w:name="_Hlt26955070"/>
      <w:r>
        <w:rPr>
          <w:rFonts w:ascii="Times New Roman" w:hAnsi="Times New Roman"/>
          <w:color w:val="auto"/>
          <w:sz w:val="21"/>
          <w:szCs w:val="21"/>
          <w:highlight w:val="none"/>
          <w:u w:val="single"/>
        </w:rPr>
        <w:t xml:space="preserve">                                         </w:t>
      </w:r>
    </w:p>
    <w:p w14:paraId="1CA087DC">
      <w:pPr>
        <w:pStyle w:val="208"/>
        <w:spacing w:beforeAutospacing="0" w:afterAutospacing="0"/>
        <w:ind w:firstLine="420"/>
        <w:jc w:val="both"/>
        <w:rPr>
          <w:color w:val="auto"/>
          <w:highlight w:val="none"/>
        </w:rPr>
      </w:pPr>
      <w:r>
        <w:rPr>
          <w:color w:val="auto"/>
          <w:highlight w:val="none"/>
        </w:rPr>
        <w:t> </w:t>
      </w:r>
    </w:p>
    <w:p w14:paraId="7082284C">
      <w:pPr>
        <w:pStyle w:val="208"/>
        <w:spacing w:beforeAutospacing="0" w:afterAutospacing="0"/>
        <w:jc w:val="both"/>
        <w:rPr>
          <w:color w:val="auto"/>
          <w:highlight w:val="none"/>
        </w:rPr>
      </w:pPr>
      <w:r>
        <w:rPr>
          <w:color w:val="auto"/>
          <w:highlight w:val="none"/>
        </w:rPr>
        <w:t> </w:t>
      </w:r>
    </w:p>
    <w:p w14:paraId="049BD088">
      <w:pPr>
        <w:pStyle w:val="208"/>
        <w:spacing w:beforeAutospacing="0" w:afterAutospacing="0" w:line="0" w:lineRule="atLeast"/>
        <w:jc w:val="both"/>
        <w:rPr>
          <w:color w:val="auto"/>
          <w:highlight w:val="none"/>
        </w:rPr>
      </w:pPr>
      <w:r>
        <w:rPr>
          <w:color w:val="auto"/>
          <w:highlight w:val="none"/>
        </w:rPr>
        <w:t> </w:t>
      </w:r>
    </w:p>
    <w:p w14:paraId="57D415F0">
      <w:pPr>
        <w:pStyle w:val="208"/>
        <w:keepNext/>
        <w:keepLines/>
        <w:spacing w:before="260" w:beforeAutospacing="0" w:after="260" w:afterAutospacing="0" w:line="415" w:lineRule="auto"/>
        <w:ind w:firstLine="3390"/>
        <w:jc w:val="both"/>
        <w:rPr>
          <w:color w:val="auto"/>
          <w:highlight w:val="none"/>
        </w:rPr>
      </w:pPr>
      <w:r>
        <w:rPr>
          <w:rFonts w:hint="eastAsia" w:ascii="宋体" w:hAnsi="宋体" w:cs="宋体"/>
          <w:b/>
          <w:color w:val="auto"/>
          <w:highlight w:val="none"/>
        </w:rPr>
        <w:br w:type="page"/>
      </w:r>
      <w:r>
        <w:rPr>
          <w:rFonts w:hint="eastAsia" w:ascii="宋体" w:hAnsi="宋体" w:cs="宋体"/>
          <w:b/>
          <w:color w:val="auto"/>
          <w:highlight w:val="none"/>
        </w:rPr>
        <w:t> </w:t>
      </w:r>
      <w:r>
        <w:rPr>
          <w:rFonts w:hint="eastAsia" w:ascii="黑体" w:hAnsi="宋体" w:eastAsia="黑体" w:cs="黑体"/>
          <w:b/>
          <w:i/>
          <w:color w:val="auto"/>
          <w:sz w:val="32"/>
          <w:szCs w:val="32"/>
          <w:highlight w:val="none"/>
          <w:u w:val="single"/>
          <w:lang w:eastAsia="zh-CN"/>
        </w:rPr>
        <w:t>九</w:t>
      </w:r>
      <w:r>
        <w:rPr>
          <w:rFonts w:hint="eastAsia" w:ascii="黑体" w:hAnsi="宋体" w:eastAsia="黑体" w:cs="黑体"/>
          <w:b/>
          <w:i/>
          <w:color w:val="auto"/>
          <w:sz w:val="32"/>
          <w:szCs w:val="32"/>
          <w:highlight w:val="none"/>
          <w:u w:val="single"/>
        </w:rPr>
        <w:t>、投标函</w:t>
      </w:r>
    </w:p>
    <w:p w14:paraId="0A51F5D9">
      <w:pPr>
        <w:pStyle w:val="208"/>
        <w:spacing w:beforeAutospacing="0" w:afterAutospacing="0" w:line="360" w:lineRule="auto"/>
        <w:rPr>
          <w:color w:val="auto"/>
          <w:sz w:val="21"/>
          <w:szCs w:val="21"/>
          <w:highlight w:val="none"/>
        </w:rPr>
      </w:pPr>
      <w:r>
        <w:rPr>
          <w:rFonts w:hint="eastAsia" w:ascii="宋体" w:hAnsi="宋体" w:cs="宋体"/>
          <w:color w:val="auto"/>
          <w:sz w:val="21"/>
          <w:szCs w:val="21"/>
          <w:highlight w:val="none"/>
        </w:rPr>
        <w:t>致：采购人</w:t>
      </w:r>
    </w:p>
    <w:p w14:paraId="76197693">
      <w:pPr>
        <w:pStyle w:val="208"/>
        <w:spacing w:beforeAutospacing="0" w:afterAutospacing="0" w:line="360" w:lineRule="auto"/>
        <w:ind w:firstLine="480"/>
        <w:rPr>
          <w:color w:val="auto"/>
          <w:sz w:val="21"/>
          <w:szCs w:val="21"/>
          <w:highlight w:val="none"/>
        </w:rPr>
      </w:pPr>
      <w:r>
        <w:rPr>
          <w:rFonts w:hint="eastAsia" w:ascii="宋体" w:hAnsi="宋体" w:cs="宋体"/>
          <w:color w:val="auto"/>
          <w:sz w:val="21"/>
          <w:szCs w:val="21"/>
          <w:highlight w:val="none"/>
        </w:rPr>
        <w:t>根据贵方的JSZC-***</w:t>
      </w:r>
      <w:r>
        <w:rPr>
          <w:rFonts w:hint="eastAsia" w:ascii="宋体" w:hAnsi="宋体" w:cs="宋体"/>
          <w:b/>
          <w:color w:val="auto"/>
          <w:sz w:val="21"/>
          <w:szCs w:val="21"/>
          <w:highlight w:val="none"/>
          <w:u w:val="single"/>
        </w:rPr>
        <w:t xml:space="preserve">            </w:t>
      </w:r>
      <w:r>
        <w:rPr>
          <w:rFonts w:hint="eastAsia" w:ascii="宋体" w:hAnsi="宋体" w:cs="宋体"/>
          <w:color w:val="auto"/>
          <w:sz w:val="21"/>
          <w:szCs w:val="21"/>
          <w:highlight w:val="none"/>
        </w:rPr>
        <w:t>号招标文件，正式授权下述签字人_________________(姓名)代表我方______________（投标人的名称），全权处理本次项目投标的有关事宜。</w:t>
      </w:r>
    </w:p>
    <w:p w14:paraId="6D84BBB4">
      <w:pPr>
        <w:pStyle w:val="208"/>
        <w:spacing w:beforeAutospacing="0" w:afterAutospacing="0" w:line="360" w:lineRule="auto"/>
        <w:ind w:firstLine="480"/>
        <w:rPr>
          <w:color w:val="auto"/>
          <w:sz w:val="21"/>
          <w:szCs w:val="21"/>
          <w:highlight w:val="none"/>
        </w:rPr>
      </w:pPr>
      <w:r>
        <w:rPr>
          <w:rFonts w:hint="eastAsia" w:ascii="宋体" w:hAnsi="宋体" w:cs="宋体"/>
          <w:color w:val="auto"/>
          <w:sz w:val="21"/>
          <w:szCs w:val="21"/>
          <w:highlight w:val="none"/>
        </w:rPr>
        <w:t>据此函，__________签字人兹宣布同意如下：</w:t>
      </w:r>
    </w:p>
    <w:p w14:paraId="75590C2E">
      <w:pPr>
        <w:pStyle w:val="208"/>
        <w:spacing w:beforeAutospacing="0" w:afterAutospacing="0" w:line="360" w:lineRule="auto"/>
        <w:ind w:firstLine="480"/>
        <w:rPr>
          <w:color w:val="auto"/>
          <w:sz w:val="21"/>
          <w:szCs w:val="21"/>
          <w:highlight w:val="none"/>
        </w:rPr>
      </w:pPr>
      <w:r>
        <w:rPr>
          <w:rFonts w:hint="eastAsia" w:ascii="宋体" w:hAnsi="宋体" w:cs="宋体"/>
          <w:color w:val="auto"/>
          <w:sz w:val="21"/>
          <w:szCs w:val="21"/>
          <w:highlight w:val="none"/>
        </w:rPr>
        <w:t>1.按招标文件规定的各项要求，向买方提供所需货物（包含与货物相关的服务）。</w:t>
      </w:r>
    </w:p>
    <w:p w14:paraId="4FE9FA95">
      <w:pPr>
        <w:pStyle w:val="208"/>
        <w:spacing w:beforeAutospacing="0" w:afterAutospacing="0" w:line="360" w:lineRule="auto"/>
        <w:ind w:firstLine="480"/>
        <w:rPr>
          <w:color w:val="auto"/>
          <w:sz w:val="21"/>
          <w:szCs w:val="21"/>
          <w:highlight w:val="none"/>
        </w:rPr>
      </w:pPr>
      <w:r>
        <w:rPr>
          <w:rFonts w:hint="eastAsia" w:ascii="宋体" w:hAnsi="宋体" w:cs="宋体"/>
          <w:color w:val="auto"/>
          <w:sz w:val="21"/>
          <w:szCs w:val="21"/>
          <w:highlight w:val="none"/>
        </w:rPr>
        <w:t>2.我们完全理解贵方不一定将合同授予最低报价的投标人。</w:t>
      </w:r>
    </w:p>
    <w:p w14:paraId="0858E78F">
      <w:pPr>
        <w:pStyle w:val="208"/>
        <w:spacing w:beforeAutospacing="0" w:afterAutospacing="0" w:line="360" w:lineRule="auto"/>
        <w:ind w:firstLine="480"/>
        <w:rPr>
          <w:color w:val="auto"/>
          <w:sz w:val="21"/>
          <w:szCs w:val="21"/>
          <w:highlight w:val="none"/>
        </w:rPr>
      </w:pPr>
      <w:r>
        <w:rPr>
          <w:rFonts w:hint="eastAsia" w:ascii="宋体" w:hAnsi="宋体" w:cs="宋体"/>
          <w:color w:val="auto"/>
          <w:sz w:val="21"/>
          <w:szCs w:val="21"/>
          <w:highlight w:val="none"/>
        </w:rPr>
        <w:t>3.我们已详细审核全部招标文件及其有效补充文件，我们知道必须放弃提出含糊不清或误解问题的权利。</w:t>
      </w:r>
    </w:p>
    <w:p w14:paraId="3800B94D">
      <w:pPr>
        <w:pStyle w:val="208"/>
        <w:spacing w:beforeAutospacing="0" w:afterAutospacing="0" w:line="360" w:lineRule="auto"/>
        <w:ind w:firstLine="480"/>
        <w:rPr>
          <w:color w:val="auto"/>
          <w:sz w:val="21"/>
          <w:szCs w:val="21"/>
          <w:highlight w:val="none"/>
        </w:rPr>
      </w:pPr>
      <w:r>
        <w:rPr>
          <w:rFonts w:hint="eastAsia" w:ascii="宋体" w:hAnsi="宋体" w:cs="宋体"/>
          <w:color w:val="auto"/>
          <w:sz w:val="21"/>
          <w:szCs w:val="21"/>
          <w:highlight w:val="none"/>
        </w:rPr>
        <w:t>4.我们同意从规定的开标日期起遵循本投标文件，并在规定的投标有效期期满之前均具有约束力。</w:t>
      </w:r>
    </w:p>
    <w:p w14:paraId="5D5750DF">
      <w:pPr>
        <w:pStyle w:val="208"/>
        <w:spacing w:beforeAutospacing="0" w:afterAutospacing="0" w:line="360" w:lineRule="auto"/>
        <w:ind w:firstLine="480"/>
        <w:rPr>
          <w:color w:val="auto"/>
          <w:sz w:val="21"/>
          <w:szCs w:val="21"/>
          <w:highlight w:val="none"/>
        </w:rPr>
      </w:pPr>
      <w:r>
        <w:rPr>
          <w:rFonts w:hint="eastAsia" w:ascii="宋体" w:hAnsi="宋体" w:cs="宋体"/>
          <w:color w:val="auto"/>
          <w:sz w:val="21"/>
          <w:szCs w:val="21"/>
          <w:highlight w:val="none"/>
        </w:rPr>
        <w:t>5.同意向贵方提供贵方可能另外要求的与投标有关的任何证据或资料，并保证我方已提供和将要提供的文件是真实的、准确的。</w:t>
      </w:r>
    </w:p>
    <w:p w14:paraId="4621E6EE">
      <w:pPr>
        <w:pStyle w:val="208"/>
        <w:spacing w:beforeAutospacing="0" w:afterAutospacing="0" w:line="360" w:lineRule="auto"/>
        <w:ind w:firstLine="480"/>
        <w:rPr>
          <w:color w:val="auto"/>
          <w:sz w:val="21"/>
          <w:szCs w:val="21"/>
          <w:highlight w:val="none"/>
        </w:rPr>
      </w:pPr>
      <w:r>
        <w:rPr>
          <w:rFonts w:hint="eastAsia" w:ascii="宋体" w:hAnsi="宋体" w:cs="宋体"/>
          <w:color w:val="auto"/>
          <w:sz w:val="21"/>
          <w:szCs w:val="21"/>
          <w:highlight w:val="none"/>
        </w:rPr>
        <w:t>6.一旦我方中标,我方将根据招标文件的规定，严格履行合同的责任和义务,并保证在招标文件规定的时间完成项目，交付买方验收、使用。</w:t>
      </w:r>
    </w:p>
    <w:p w14:paraId="10768E8C">
      <w:pPr>
        <w:pStyle w:val="208"/>
        <w:spacing w:beforeAutospacing="0" w:afterAutospacing="0" w:line="360" w:lineRule="auto"/>
        <w:ind w:left="425"/>
        <w:rPr>
          <w:color w:val="auto"/>
          <w:sz w:val="21"/>
          <w:szCs w:val="21"/>
          <w:highlight w:val="none"/>
        </w:rPr>
      </w:pPr>
      <w:r>
        <w:rPr>
          <w:rFonts w:hint="eastAsia" w:ascii="宋体" w:hAnsi="宋体" w:cs="宋体"/>
          <w:color w:val="auto"/>
          <w:sz w:val="21"/>
          <w:szCs w:val="21"/>
          <w:highlight w:val="none"/>
        </w:rPr>
        <w:t>7.与本投标有关的正式通讯地址为：</w:t>
      </w:r>
    </w:p>
    <w:p w14:paraId="3C424C23">
      <w:pPr>
        <w:pStyle w:val="208"/>
        <w:spacing w:beforeAutospacing="0" w:afterAutospacing="0" w:line="360" w:lineRule="auto"/>
        <w:ind w:left="420" w:firstLine="480"/>
        <w:rPr>
          <w:color w:val="auto"/>
          <w:sz w:val="21"/>
          <w:szCs w:val="21"/>
          <w:highlight w:val="none"/>
        </w:rPr>
      </w:pPr>
      <w:r>
        <w:rPr>
          <w:rFonts w:hint="eastAsia" w:ascii="宋体" w:hAnsi="宋体" w:cs="宋体"/>
          <w:color w:val="auto"/>
          <w:sz w:val="21"/>
          <w:szCs w:val="21"/>
          <w:highlight w:val="none"/>
        </w:rPr>
        <w:t>地          址：</w:t>
      </w:r>
    </w:p>
    <w:p w14:paraId="299A01C3">
      <w:pPr>
        <w:pStyle w:val="208"/>
        <w:spacing w:beforeAutospacing="0" w:afterAutospacing="0" w:line="360" w:lineRule="auto"/>
        <w:ind w:left="420" w:firstLine="480"/>
        <w:rPr>
          <w:color w:val="auto"/>
          <w:sz w:val="21"/>
          <w:szCs w:val="21"/>
          <w:highlight w:val="none"/>
        </w:rPr>
      </w:pPr>
      <w:r>
        <w:rPr>
          <w:rFonts w:hint="eastAsia" w:ascii="宋体" w:hAnsi="宋体" w:cs="宋体"/>
          <w:color w:val="auto"/>
          <w:sz w:val="21"/>
          <w:szCs w:val="21"/>
          <w:highlight w:val="none"/>
        </w:rPr>
        <w:t>邮          编：</w:t>
      </w:r>
    </w:p>
    <w:p w14:paraId="6BBB46B9">
      <w:pPr>
        <w:pStyle w:val="208"/>
        <w:spacing w:beforeAutospacing="0" w:afterAutospacing="0" w:line="360" w:lineRule="auto"/>
        <w:ind w:left="420" w:firstLine="480"/>
        <w:rPr>
          <w:color w:val="auto"/>
          <w:sz w:val="21"/>
          <w:szCs w:val="21"/>
          <w:highlight w:val="none"/>
        </w:rPr>
      </w:pPr>
      <w:r>
        <w:rPr>
          <w:rFonts w:hint="eastAsia" w:ascii="宋体" w:hAnsi="宋体" w:cs="宋体"/>
          <w:color w:val="auto"/>
          <w:sz w:val="21"/>
          <w:szCs w:val="21"/>
          <w:highlight w:val="none"/>
        </w:rPr>
        <w:t>电          话：</w:t>
      </w:r>
    </w:p>
    <w:p w14:paraId="668CECCA">
      <w:pPr>
        <w:pStyle w:val="208"/>
        <w:spacing w:beforeAutospacing="0" w:afterAutospacing="0" w:line="360" w:lineRule="auto"/>
        <w:ind w:left="420" w:firstLine="480"/>
        <w:rPr>
          <w:color w:val="auto"/>
          <w:sz w:val="21"/>
          <w:szCs w:val="21"/>
          <w:highlight w:val="none"/>
        </w:rPr>
      </w:pPr>
      <w:r>
        <w:rPr>
          <w:rFonts w:hint="eastAsia" w:ascii="宋体" w:hAnsi="宋体" w:cs="宋体"/>
          <w:color w:val="auto"/>
          <w:sz w:val="21"/>
          <w:szCs w:val="21"/>
          <w:highlight w:val="none"/>
        </w:rPr>
        <w:t>传          真：</w:t>
      </w:r>
    </w:p>
    <w:p w14:paraId="4ED6F137">
      <w:pPr>
        <w:pStyle w:val="208"/>
        <w:spacing w:beforeAutospacing="0" w:afterAutospacing="0" w:line="360" w:lineRule="auto"/>
        <w:ind w:left="420" w:firstLine="480"/>
        <w:rPr>
          <w:color w:val="auto"/>
          <w:sz w:val="21"/>
          <w:szCs w:val="21"/>
          <w:highlight w:val="none"/>
        </w:rPr>
      </w:pPr>
      <w:r>
        <w:rPr>
          <w:rFonts w:hint="eastAsia" w:ascii="宋体" w:hAnsi="宋体" w:cs="宋体"/>
          <w:color w:val="auto"/>
          <w:sz w:val="21"/>
          <w:szCs w:val="21"/>
          <w:highlight w:val="none"/>
        </w:rPr>
        <w:t>投标人开户行：</w:t>
      </w:r>
    </w:p>
    <w:p w14:paraId="644F105E">
      <w:pPr>
        <w:pStyle w:val="208"/>
        <w:spacing w:beforeAutospacing="0" w:afterAutospacing="0" w:line="360" w:lineRule="auto"/>
        <w:ind w:left="420" w:firstLine="480"/>
        <w:rPr>
          <w:color w:val="auto"/>
          <w:sz w:val="21"/>
          <w:szCs w:val="21"/>
          <w:highlight w:val="none"/>
        </w:rPr>
      </w:pPr>
      <w:r>
        <w:rPr>
          <w:rFonts w:hint="eastAsia" w:ascii="宋体" w:hAnsi="宋体" w:cs="宋体"/>
          <w:color w:val="auto"/>
          <w:sz w:val="21"/>
          <w:szCs w:val="21"/>
          <w:highlight w:val="none"/>
        </w:rPr>
        <w:t xml:space="preserve">账          号： </w:t>
      </w:r>
    </w:p>
    <w:p w14:paraId="139C7B21">
      <w:pPr>
        <w:pStyle w:val="208"/>
        <w:spacing w:beforeAutospacing="0" w:afterAutospacing="0" w:line="360" w:lineRule="auto"/>
        <w:ind w:left="420" w:firstLine="480"/>
        <w:rPr>
          <w:color w:val="auto"/>
          <w:sz w:val="21"/>
          <w:szCs w:val="21"/>
          <w:highlight w:val="none"/>
        </w:rPr>
      </w:pPr>
      <w:r>
        <w:rPr>
          <w:rFonts w:hint="eastAsia" w:ascii="宋体" w:hAnsi="宋体" w:cs="宋体"/>
          <w:color w:val="auto"/>
          <w:sz w:val="21"/>
          <w:szCs w:val="21"/>
          <w:highlight w:val="none"/>
        </w:rPr>
        <w:t>日           期：________年____月____日</w:t>
      </w:r>
    </w:p>
    <w:p w14:paraId="35C2FFAC">
      <w:pPr>
        <w:pStyle w:val="208"/>
        <w:spacing w:beforeAutospacing="0" w:afterAutospacing="0" w:line="0" w:lineRule="atLeast"/>
        <w:ind w:firstLine="240"/>
        <w:jc w:val="center"/>
        <w:rPr>
          <w:color w:val="auto"/>
          <w:highlight w:val="none"/>
        </w:rPr>
      </w:pPr>
      <w:r>
        <w:rPr>
          <w:color w:val="auto"/>
          <w:highlight w:val="none"/>
        </w:rPr>
        <w:t> </w:t>
      </w:r>
    </w:p>
    <w:p w14:paraId="15415116">
      <w:pPr>
        <w:pStyle w:val="208"/>
        <w:spacing w:beforeAutospacing="0" w:afterAutospacing="0" w:line="0" w:lineRule="atLeast"/>
        <w:ind w:firstLine="240"/>
        <w:jc w:val="center"/>
        <w:rPr>
          <w:color w:val="auto"/>
          <w:highlight w:val="none"/>
        </w:rPr>
      </w:pPr>
      <w:r>
        <w:rPr>
          <w:color w:val="auto"/>
          <w:highlight w:val="none"/>
        </w:rPr>
        <w:t> </w:t>
      </w:r>
    </w:p>
    <w:p w14:paraId="27953CDF">
      <w:pPr>
        <w:pStyle w:val="208"/>
        <w:spacing w:beforeAutospacing="0" w:afterAutospacing="0" w:line="0" w:lineRule="atLeast"/>
        <w:ind w:firstLine="240"/>
        <w:jc w:val="center"/>
        <w:rPr>
          <w:color w:val="auto"/>
          <w:highlight w:val="none"/>
        </w:rPr>
      </w:pPr>
      <w:r>
        <w:rPr>
          <w:color w:val="auto"/>
          <w:highlight w:val="none"/>
        </w:rPr>
        <w:t> </w:t>
      </w:r>
    </w:p>
    <w:p w14:paraId="672BDF1F">
      <w:pPr>
        <w:pStyle w:val="208"/>
        <w:spacing w:beforeAutospacing="0" w:afterAutospacing="0" w:line="0" w:lineRule="atLeast"/>
        <w:ind w:firstLine="240"/>
        <w:jc w:val="center"/>
        <w:rPr>
          <w:color w:val="auto"/>
          <w:highlight w:val="none"/>
        </w:rPr>
      </w:pPr>
      <w:r>
        <w:rPr>
          <w:color w:val="auto"/>
          <w:highlight w:val="none"/>
        </w:rPr>
        <w:t> </w:t>
      </w:r>
    </w:p>
    <w:p w14:paraId="4632A452">
      <w:pPr>
        <w:pStyle w:val="208"/>
        <w:spacing w:beforeAutospacing="0" w:afterAutospacing="0" w:line="0" w:lineRule="atLeast"/>
        <w:ind w:firstLine="240"/>
        <w:jc w:val="center"/>
        <w:rPr>
          <w:color w:val="auto"/>
          <w:highlight w:val="none"/>
        </w:rPr>
      </w:pPr>
    </w:p>
    <w:p w14:paraId="72718054">
      <w:pPr>
        <w:pStyle w:val="208"/>
        <w:spacing w:beforeAutospacing="0" w:afterAutospacing="0" w:line="0" w:lineRule="atLeast"/>
        <w:ind w:firstLine="240"/>
        <w:jc w:val="center"/>
        <w:rPr>
          <w:color w:val="auto"/>
          <w:highlight w:val="none"/>
        </w:rPr>
      </w:pPr>
    </w:p>
    <w:p w14:paraId="785FBE4E">
      <w:pPr>
        <w:pStyle w:val="208"/>
        <w:spacing w:beforeAutospacing="0" w:afterAutospacing="0" w:line="0" w:lineRule="atLeast"/>
        <w:ind w:firstLine="240"/>
        <w:jc w:val="center"/>
        <w:rPr>
          <w:color w:val="auto"/>
          <w:highlight w:val="none"/>
        </w:rPr>
      </w:pPr>
    </w:p>
    <w:p w14:paraId="78CAD729">
      <w:pPr>
        <w:pStyle w:val="208"/>
        <w:spacing w:beforeAutospacing="0" w:afterAutospacing="0" w:line="0" w:lineRule="atLeast"/>
        <w:ind w:firstLine="240"/>
        <w:jc w:val="center"/>
        <w:rPr>
          <w:color w:val="auto"/>
          <w:highlight w:val="none"/>
        </w:rPr>
      </w:pPr>
    </w:p>
    <w:p w14:paraId="6FF85E2E">
      <w:pPr>
        <w:pStyle w:val="208"/>
        <w:spacing w:beforeAutospacing="0" w:afterAutospacing="0" w:line="0" w:lineRule="atLeast"/>
        <w:ind w:firstLine="240"/>
        <w:jc w:val="center"/>
        <w:rPr>
          <w:color w:val="auto"/>
          <w:highlight w:val="none"/>
        </w:rPr>
      </w:pPr>
    </w:p>
    <w:p w14:paraId="3CD895EF">
      <w:pPr>
        <w:pStyle w:val="208"/>
        <w:spacing w:beforeAutospacing="0" w:afterAutospacing="0" w:line="0" w:lineRule="atLeast"/>
        <w:ind w:firstLine="240"/>
        <w:jc w:val="center"/>
        <w:rPr>
          <w:color w:val="auto"/>
          <w:highlight w:val="none"/>
        </w:rPr>
      </w:pPr>
      <w:r>
        <w:rPr>
          <w:color w:val="auto"/>
          <w:highlight w:val="none"/>
        </w:rPr>
        <w:t> </w:t>
      </w:r>
    </w:p>
    <w:p w14:paraId="637966BC">
      <w:pPr>
        <w:pStyle w:val="208"/>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lang w:eastAsia="zh-CN"/>
        </w:rPr>
        <w:t>十</w:t>
      </w:r>
      <w:r>
        <w:rPr>
          <w:rFonts w:hint="eastAsia" w:ascii="黑体" w:hAnsi="宋体" w:eastAsia="黑体" w:cs="黑体"/>
          <w:b/>
          <w:color w:val="auto"/>
          <w:sz w:val="32"/>
          <w:szCs w:val="32"/>
          <w:highlight w:val="none"/>
        </w:rPr>
        <w:t>、中小企业声明函（货物）（分包号：**）</w:t>
      </w:r>
    </w:p>
    <w:p w14:paraId="242ACD3A">
      <w:pPr>
        <w:spacing w:line="500" w:lineRule="exact"/>
        <w:ind w:firstLine="480"/>
        <w:rPr>
          <w:color w:val="auto"/>
          <w:sz w:val="24"/>
          <w:highlight w:val="none"/>
        </w:rPr>
      </w:pPr>
    </w:p>
    <w:p w14:paraId="1288242F">
      <w:pPr>
        <w:spacing w:line="500" w:lineRule="exact"/>
        <w:ind w:firstLine="480"/>
        <w:rPr>
          <w:color w:val="auto"/>
          <w:szCs w:val="21"/>
          <w:highlight w:val="none"/>
        </w:rPr>
      </w:pPr>
      <w:r>
        <w:rPr>
          <w:rFonts w:hint="eastAsia"/>
          <w:color w:val="auto"/>
          <w:szCs w:val="21"/>
          <w:highlight w:val="none"/>
        </w:rPr>
        <w:t>本公司（联合体）郑重声明，根据《政府采购促进中小企业发展管理办法》(财库〔2020〕46号)的规定，本公司（联合体）参加</w:t>
      </w:r>
      <w:r>
        <w:rPr>
          <w:rFonts w:hint="eastAsia"/>
          <w:color w:val="auto"/>
          <w:szCs w:val="21"/>
          <w:highlight w:val="none"/>
          <w:u w:val="single"/>
        </w:rPr>
        <w:t>（单位名称)</w:t>
      </w:r>
      <w:r>
        <w:rPr>
          <w:rFonts w:hint="eastAsia"/>
          <w:color w:val="auto"/>
          <w:szCs w:val="21"/>
          <w:highlight w:val="none"/>
        </w:rPr>
        <w:t>采购编号为</w:t>
      </w:r>
      <w:r>
        <w:rPr>
          <w:rFonts w:hint="eastAsia"/>
          <w:color w:val="auto"/>
          <w:szCs w:val="21"/>
          <w:highlight w:val="none"/>
          <w:u w:val="single"/>
        </w:rPr>
        <w:t xml:space="preserve">             </w:t>
      </w:r>
      <w:r>
        <w:rPr>
          <w:rFonts w:hint="eastAsia"/>
          <w:color w:val="auto"/>
          <w:szCs w:val="21"/>
          <w:highlight w:val="none"/>
        </w:rPr>
        <w:t>的</w:t>
      </w:r>
      <w:r>
        <w:rPr>
          <w:rFonts w:hint="eastAsia"/>
          <w:color w:val="auto"/>
          <w:szCs w:val="21"/>
          <w:highlight w:val="none"/>
          <w:u w:val="single"/>
        </w:rPr>
        <w:t xml:space="preserve">（项目名称）       </w:t>
      </w:r>
      <w:r>
        <w:rPr>
          <w:rFonts w:hint="eastAsia"/>
          <w:color w:val="auto"/>
          <w:szCs w:val="21"/>
          <w:highlight w:val="none"/>
        </w:rPr>
        <w:t>的采购活动，提供的货物全部由符合政策要求的中小企业制造。相关企业（含联合体中的中小企业、签订分包意向协议的中小企业）的具体情况如下：</w:t>
      </w:r>
    </w:p>
    <w:p w14:paraId="48D76B64">
      <w:pPr>
        <w:pStyle w:val="208"/>
        <w:spacing w:beforeAutospacing="0" w:afterAutospacing="0" w:line="360" w:lineRule="auto"/>
        <w:ind w:firstLine="360"/>
        <w:jc w:val="both"/>
        <w:rPr>
          <w:color w:val="auto"/>
          <w:sz w:val="21"/>
          <w:szCs w:val="21"/>
          <w:highlight w:val="none"/>
        </w:rPr>
      </w:pPr>
      <w:r>
        <w:rPr>
          <w:rFonts w:hint="eastAsia"/>
          <w:color w:val="auto"/>
          <w:sz w:val="21"/>
          <w:szCs w:val="21"/>
          <w:highlight w:val="none"/>
        </w:rPr>
        <w:t>1.</w:t>
      </w:r>
      <w:r>
        <w:rPr>
          <w:rFonts w:hint="eastAsia"/>
          <w:color w:val="auto"/>
          <w:sz w:val="21"/>
          <w:szCs w:val="21"/>
          <w:highlight w:val="none"/>
          <w:u w:val="single"/>
        </w:rPr>
        <w:t>（标的名称）</w:t>
      </w:r>
      <w:r>
        <w:rPr>
          <w:rFonts w:hint="eastAsia"/>
          <w:i/>
          <w:color w:val="auto"/>
          <w:sz w:val="21"/>
          <w:szCs w:val="21"/>
          <w:highlight w:val="none"/>
        </w:rPr>
        <w:t>，</w:t>
      </w:r>
      <w:r>
        <w:rPr>
          <w:rFonts w:hint="eastAsia"/>
          <w:color w:val="auto"/>
          <w:sz w:val="21"/>
          <w:szCs w:val="21"/>
          <w:highlight w:val="none"/>
        </w:rPr>
        <w:t>属于</w:t>
      </w:r>
      <w:r>
        <w:rPr>
          <w:rFonts w:hint="eastAsia"/>
          <w:color w:val="auto"/>
          <w:sz w:val="21"/>
          <w:szCs w:val="21"/>
          <w:highlight w:val="none"/>
          <w:u w:val="single"/>
        </w:rPr>
        <w:t>(采购文件中明确的所属行业)</w:t>
      </w:r>
      <w:r>
        <w:rPr>
          <w:rFonts w:hint="eastAsia"/>
          <w:color w:val="auto"/>
          <w:sz w:val="21"/>
          <w:szCs w:val="21"/>
          <w:highlight w:val="none"/>
        </w:rPr>
        <w:t>行业；制造商为</w:t>
      </w:r>
      <w:r>
        <w:rPr>
          <w:rFonts w:hint="eastAsia"/>
          <w:color w:val="auto"/>
          <w:sz w:val="21"/>
          <w:szCs w:val="21"/>
          <w:highlight w:val="none"/>
          <w:u w:val="single"/>
        </w:rPr>
        <w:t>（企业名称）</w:t>
      </w:r>
      <w:r>
        <w:rPr>
          <w:rFonts w:hint="eastAsia"/>
          <w:color w:val="auto"/>
          <w:sz w:val="21"/>
          <w:szCs w:val="21"/>
          <w:highlight w:val="none"/>
        </w:rPr>
        <w:t>，从业人员</w:t>
      </w:r>
      <w:r>
        <w:rPr>
          <w:rFonts w:hint="eastAsia"/>
          <w:color w:val="auto"/>
          <w:sz w:val="21"/>
          <w:szCs w:val="21"/>
          <w:highlight w:val="none"/>
          <w:u w:val="single"/>
        </w:rPr>
        <w:t xml:space="preserve">      </w:t>
      </w:r>
      <w:r>
        <w:rPr>
          <w:rFonts w:hint="eastAsia"/>
          <w:color w:val="auto"/>
          <w:sz w:val="21"/>
          <w:szCs w:val="21"/>
          <w:highlight w:val="none"/>
        </w:rPr>
        <w:t>人，营业收入为</w:t>
      </w:r>
      <w:r>
        <w:rPr>
          <w:rFonts w:hint="eastAsia"/>
          <w:color w:val="auto"/>
          <w:sz w:val="21"/>
          <w:szCs w:val="21"/>
          <w:highlight w:val="none"/>
          <w:u w:val="single"/>
        </w:rPr>
        <w:t xml:space="preserve">     </w:t>
      </w:r>
      <w:r>
        <w:rPr>
          <w:rFonts w:hint="eastAsia"/>
          <w:color w:val="auto"/>
          <w:sz w:val="21"/>
          <w:szCs w:val="21"/>
          <w:highlight w:val="none"/>
        </w:rPr>
        <w:t>万元，资产总额为</w:t>
      </w:r>
      <w:r>
        <w:rPr>
          <w:rFonts w:hint="eastAsia"/>
          <w:color w:val="auto"/>
          <w:sz w:val="21"/>
          <w:szCs w:val="21"/>
          <w:highlight w:val="none"/>
          <w:u w:val="single"/>
        </w:rPr>
        <w:t xml:space="preserve">      </w:t>
      </w:r>
      <w:r>
        <w:rPr>
          <w:rFonts w:hint="eastAsia"/>
          <w:color w:val="auto"/>
          <w:sz w:val="21"/>
          <w:szCs w:val="21"/>
          <w:highlight w:val="none"/>
        </w:rPr>
        <w:t>万元，属于</w:t>
      </w:r>
      <w:r>
        <w:rPr>
          <w:rFonts w:hint="eastAsia"/>
          <w:color w:val="auto"/>
          <w:sz w:val="21"/>
          <w:szCs w:val="21"/>
          <w:highlight w:val="none"/>
          <w:u w:val="single"/>
        </w:rPr>
        <w:t>（中型企业、小型企业、微型企业）；</w:t>
      </w:r>
    </w:p>
    <w:p w14:paraId="2BF1E3FD">
      <w:pPr>
        <w:pStyle w:val="208"/>
        <w:spacing w:beforeAutospacing="0" w:afterAutospacing="0" w:line="360" w:lineRule="auto"/>
        <w:ind w:firstLine="360"/>
        <w:jc w:val="both"/>
        <w:rPr>
          <w:color w:val="auto"/>
          <w:sz w:val="21"/>
          <w:szCs w:val="21"/>
          <w:highlight w:val="none"/>
        </w:rPr>
      </w:pPr>
      <w:r>
        <w:rPr>
          <w:rFonts w:hint="eastAsia"/>
          <w:color w:val="auto"/>
          <w:sz w:val="21"/>
          <w:szCs w:val="21"/>
          <w:highlight w:val="none"/>
        </w:rPr>
        <w:t>2.</w:t>
      </w:r>
      <w:r>
        <w:rPr>
          <w:rFonts w:hint="eastAsia"/>
          <w:color w:val="auto"/>
          <w:sz w:val="21"/>
          <w:szCs w:val="21"/>
          <w:highlight w:val="none"/>
          <w:u w:val="single"/>
        </w:rPr>
        <w:t>（标的名称）</w:t>
      </w:r>
      <w:r>
        <w:rPr>
          <w:rFonts w:hint="eastAsia"/>
          <w:i/>
          <w:color w:val="auto"/>
          <w:sz w:val="21"/>
          <w:szCs w:val="21"/>
          <w:highlight w:val="none"/>
        </w:rPr>
        <w:t>，</w:t>
      </w:r>
      <w:r>
        <w:rPr>
          <w:rFonts w:hint="eastAsia"/>
          <w:color w:val="auto"/>
          <w:sz w:val="21"/>
          <w:szCs w:val="21"/>
          <w:highlight w:val="none"/>
        </w:rPr>
        <w:t>属于</w:t>
      </w:r>
      <w:r>
        <w:rPr>
          <w:rFonts w:hint="eastAsia"/>
          <w:color w:val="auto"/>
          <w:sz w:val="21"/>
          <w:szCs w:val="21"/>
          <w:highlight w:val="none"/>
          <w:u w:val="single"/>
        </w:rPr>
        <w:t>(采购文件中明确的所属行业)</w:t>
      </w:r>
      <w:r>
        <w:rPr>
          <w:rFonts w:hint="eastAsia"/>
          <w:color w:val="auto"/>
          <w:sz w:val="21"/>
          <w:szCs w:val="21"/>
          <w:highlight w:val="none"/>
        </w:rPr>
        <w:t>行业；制造商为</w:t>
      </w:r>
      <w:r>
        <w:rPr>
          <w:rFonts w:hint="eastAsia"/>
          <w:color w:val="auto"/>
          <w:sz w:val="21"/>
          <w:szCs w:val="21"/>
          <w:highlight w:val="none"/>
          <w:u w:val="single"/>
        </w:rPr>
        <w:t>（企业名称）</w:t>
      </w:r>
      <w:r>
        <w:rPr>
          <w:rFonts w:hint="eastAsia"/>
          <w:color w:val="auto"/>
          <w:sz w:val="21"/>
          <w:szCs w:val="21"/>
          <w:highlight w:val="none"/>
        </w:rPr>
        <w:t>，从业人员</w:t>
      </w:r>
      <w:r>
        <w:rPr>
          <w:rFonts w:hint="eastAsia"/>
          <w:color w:val="auto"/>
          <w:sz w:val="21"/>
          <w:szCs w:val="21"/>
          <w:highlight w:val="none"/>
          <w:u w:val="single"/>
        </w:rPr>
        <w:t xml:space="preserve">      </w:t>
      </w:r>
      <w:r>
        <w:rPr>
          <w:rFonts w:hint="eastAsia"/>
          <w:color w:val="auto"/>
          <w:sz w:val="21"/>
          <w:szCs w:val="21"/>
          <w:highlight w:val="none"/>
        </w:rPr>
        <w:t>人，营业收入为</w:t>
      </w:r>
      <w:r>
        <w:rPr>
          <w:rFonts w:hint="eastAsia"/>
          <w:color w:val="auto"/>
          <w:sz w:val="21"/>
          <w:szCs w:val="21"/>
          <w:highlight w:val="none"/>
          <w:u w:val="single"/>
        </w:rPr>
        <w:t xml:space="preserve">     </w:t>
      </w:r>
      <w:r>
        <w:rPr>
          <w:rFonts w:hint="eastAsia"/>
          <w:color w:val="auto"/>
          <w:sz w:val="21"/>
          <w:szCs w:val="21"/>
          <w:highlight w:val="none"/>
        </w:rPr>
        <w:t>万元，资产总额为</w:t>
      </w:r>
      <w:r>
        <w:rPr>
          <w:rFonts w:hint="eastAsia"/>
          <w:color w:val="auto"/>
          <w:sz w:val="21"/>
          <w:szCs w:val="21"/>
          <w:highlight w:val="none"/>
          <w:u w:val="single"/>
        </w:rPr>
        <w:t xml:space="preserve">      </w:t>
      </w:r>
      <w:r>
        <w:rPr>
          <w:rFonts w:hint="eastAsia"/>
          <w:color w:val="auto"/>
          <w:sz w:val="21"/>
          <w:szCs w:val="21"/>
          <w:highlight w:val="none"/>
        </w:rPr>
        <w:t>万元，属于</w:t>
      </w:r>
      <w:r>
        <w:rPr>
          <w:rFonts w:hint="eastAsia"/>
          <w:color w:val="auto"/>
          <w:sz w:val="21"/>
          <w:szCs w:val="21"/>
          <w:highlight w:val="none"/>
          <w:u w:val="single"/>
        </w:rPr>
        <w:t>（中型企业、小型企业、微型企业）；</w:t>
      </w:r>
    </w:p>
    <w:p w14:paraId="4CD2B358">
      <w:pPr>
        <w:pStyle w:val="208"/>
        <w:spacing w:beforeAutospacing="0" w:afterAutospacing="0" w:line="360" w:lineRule="auto"/>
        <w:ind w:firstLine="360"/>
        <w:jc w:val="both"/>
        <w:rPr>
          <w:color w:val="auto"/>
          <w:sz w:val="21"/>
          <w:szCs w:val="21"/>
          <w:highlight w:val="none"/>
        </w:rPr>
      </w:pPr>
      <w:r>
        <w:rPr>
          <w:rFonts w:hint="eastAsia"/>
          <w:color w:val="auto"/>
          <w:sz w:val="21"/>
          <w:szCs w:val="21"/>
          <w:highlight w:val="none"/>
        </w:rPr>
        <w:t>……</w:t>
      </w:r>
    </w:p>
    <w:p w14:paraId="19DA8EE1">
      <w:pPr>
        <w:pStyle w:val="208"/>
        <w:spacing w:beforeAutospacing="0" w:afterAutospacing="0" w:line="360" w:lineRule="auto"/>
        <w:ind w:firstLine="360"/>
        <w:jc w:val="both"/>
        <w:rPr>
          <w:color w:val="auto"/>
          <w:sz w:val="21"/>
          <w:szCs w:val="21"/>
          <w:highlight w:val="none"/>
        </w:rPr>
      </w:pPr>
      <w:r>
        <w:rPr>
          <w:rFonts w:hint="eastAsia"/>
          <w:color w:val="auto"/>
          <w:sz w:val="21"/>
          <w:szCs w:val="21"/>
          <w:highlight w:val="none"/>
        </w:rPr>
        <w:t>以上企业，不属于大企业的分支机构，不存在控股股东为大企业的情形，也不存在与大企业的负责人为同一人的情形。</w:t>
      </w:r>
    </w:p>
    <w:p w14:paraId="37FDE4A6">
      <w:pPr>
        <w:pStyle w:val="208"/>
        <w:spacing w:beforeAutospacing="0" w:afterAutospacing="0" w:line="360" w:lineRule="auto"/>
        <w:ind w:firstLine="360"/>
        <w:jc w:val="both"/>
        <w:rPr>
          <w:color w:val="auto"/>
          <w:sz w:val="21"/>
          <w:szCs w:val="21"/>
          <w:highlight w:val="none"/>
        </w:rPr>
      </w:pPr>
      <w:r>
        <w:rPr>
          <w:rFonts w:hint="eastAsia"/>
          <w:color w:val="auto"/>
          <w:sz w:val="21"/>
          <w:szCs w:val="21"/>
          <w:highlight w:val="none"/>
        </w:rPr>
        <w:t>本企业对上述声明内容的真实性负责。如有虚假，将依法承担相应责任</w:t>
      </w:r>
    </w:p>
    <w:p w14:paraId="304FAA2C">
      <w:pPr>
        <w:pStyle w:val="208"/>
        <w:spacing w:beforeAutospacing="0" w:afterAutospacing="0" w:line="360" w:lineRule="auto"/>
        <w:ind w:right="720"/>
        <w:jc w:val="both"/>
        <w:rPr>
          <w:color w:val="auto"/>
          <w:sz w:val="21"/>
          <w:szCs w:val="21"/>
          <w:highlight w:val="none"/>
        </w:rPr>
      </w:pPr>
      <w:r>
        <w:rPr>
          <w:color w:val="auto"/>
          <w:sz w:val="21"/>
          <w:szCs w:val="21"/>
          <w:highlight w:val="none"/>
        </w:rPr>
        <w:t> </w:t>
      </w:r>
    </w:p>
    <w:p w14:paraId="458D7502">
      <w:pPr>
        <w:pStyle w:val="208"/>
        <w:spacing w:beforeAutospacing="0" w:afterAutospacing="0" w:line="360" w:lineRule="auto"/>
        <w:ind w:right="180" w:firstLine="360"/>
        <w:jc w:val="right"/>
        <w:rPr>
          <w:color w:val="auto"/>
          <w:sz w:val="21"/>
          <w:szCs w:val="21"/>
          <w:highlight w:val="none"/>
        </w:rPr>
      </w:pPr>
      <w:r>
        <w:rPr>
          <w:rFonts w:hint="eastAsia"/>
          <w:color w:val="auto"/>
          <w:sz w:val="21"/>
          <w:szCs w:val="21"/>
          <w:highlight w:val="none"/>
        </w:rPr>
        <w:t>企业名称（加盖CA电子公章）：</w:t>
      </w:r>
    </w:p>
    <w:p w14:paraId="41757DBC">
      <w:pPr>
        <w:pStyle w:val="208"/>
        <w:spacing w:beforeAutospacing="0" w:afterAutospacing="0" w:line="360" w:lineRule="auto"/>
        <w:ind w:right="480" w:firstLine="5400"/>
        <w:jc w:val="both"/>
        <w:rPr>
          <w:color w:val="auto"/>
          <w:sz w:val="21"/>
          <w:szCs w:val="21"/>
          <w:highlight w:val="none"/>
        </w:rPr>
      </w:pPr>
      <w:r>
        <w:rPr>
          <w:rFonts w:hint="eastAsia"/>
          <w:color w:val="auto"/>
          <w:sz w:val="21"/>
          <w:szCs w:val="21"/>
          <w:highlight w:val="none"/>
        </w:rPr>
        <w:t>日  期：</w:t>
      </w:r>
    </w:p>
    <w:p w14:paraId="3E499D6D">
      <w:pPr>
        <w:pStyle w:val="208"/>
        <w:spacing w:beforeAutospacing="0" w:afterAutospacing="0" w:line="360" w:lineRule="auto"/>
        <w:ind w:firstLine="360"/>
        <w:jc w:val="both"/>
        <w:rPr>
          <w:color w:val="auto"/>
          <w:sz w:val="21"/>
          <w:szCs w:val="21"/>
          <w:highlight w:val="none"/>
        </w:rPr>
      </w:pPr>
      <w:r>
        <w:rPr>
          <w:color w:val="auto"/>
          <w:sz w:val="21"/>
          <w:szCs w:val="21"/>
          <w:highlight w:val="none"/>
        </w:rPr>
        <w:t> </w:t>
      </w:r>
    </w:p>
    <w:p w14:paraId="66B09545">
      <w:pPr>
        <w:pStyle w:val="208"/>
        <w:spacing w:beforeAutospacing="0" w:afterAutospacing="0" w:line="360" w:lineRule="auto"/>
        <w:ind w:firstLine="480"/>
        <w:jc w:val="both"/>
        <w:rPr>
          <w:color w:val="auto"/>
          <w:sz w:val="21"/>
          <w:szCs w:val="21"/>
          <w:highlight w:val="none"/>
        </w:rPr>
      </w:pPr>
      <w:r>
        <w:rPr>
          <w:rFonts w:hint="eastAsia"/>
          <w:color w:val="auto"/>
          <w:sz w:val="21"/>
          <w:szCs w:val="21"/>
          <w:highlight w:val="none"/>
        </w:rPr>
        <w:t>备注1：从业人员、营业收入、资产总额填报上一年度数据，无上一年度数据的新成立企业可不填报。</w:t>
      </w:r>
    </w:p>
    <w:p w14:paraId="4EAFB06C">
      <w:pPr>
        <w:pStyle w:val="208"/>
        <w:spacing w:beforeAutospacing="0" w:afterAutospacing="0" w:line="360" w:lineRule="auto"/>
        <w:ind w:firstLine="480"/>
        <w:jc w:val="both"/>
        <w:rPr>
          <w:color w:val="auto"/>
          <w:sz w:val="21"/>
          <w:szCs w:val="21"/>
          <w:highlight w:val="none"/>
        </w:rPr>
      </w:pPr>
      <w:r>
        <w:rPr>
          <w:rFonts w:hint="eastAsia"/>
          <w:color w:val="auto"/>
          <w:sz w:val="21"/>
          <w:szCs w:val="21"/>
          <w:highlight w:val="none"/>
        </w:rPr>
        <w:t>备注2：供应商如不提供此声明函，价格将不做相应扣除（如项目全面面向中小企业，则资格审查不通过）。</w:t>
      </w:r>
    </w:p>
    <w:p w14:paraId="03132DA4">
      <w:pPr>
        <w:pStyle w:val="208"/>
        <w:spacing w:beforeAutospacing="0" w:afterAutospacing="0" w:line="0" w:lineRule="atLeast"/>
        <w:jc w:val="center"/>
        <w:rPr>
          <w:rFonts w:hint="eastAsia" w:ascii="黑体" w:hAnsi="宋体" w:eastAsia="黑体" w:cs="黑体"/>
          <w:b/>
          <w:color w:val="auto"/>
          <w:sz w:val="21"/>
          <w:szCs w:val="21"/>
          <w:highlight w:val="none"/>
        </w:rPr>
      </w:pPr>
    </w:p>
    <w:p w14:paraId="5F3B244B">
      <w:pPr>
        <w:pStyle w:val="208"/>
        <w:spacing w:beforeAutospacing="0" w:afterAutospacing="0" w:line="0" w:lineRule="atLeast"/>
        <w:jc w:val="center"/>
        <w:rPr>
          <w:rFonts w:hint="eastAsia" w:ascii="黑体" w:hAnsi="宋体" w:eastAsia="黑体" w:cs="黑体"/>
          <w:b/>
          <w:color w:val="auto"/>
          <w:sz w:val="32"/>
          <w:szCs w:val="32"/>
          <w:highlight w:val="none"/>
        </w:rPr>
      </w:pPr>
    </w:p>
    <w:p w14:paraId="21042180">
      <w:pPr>
        <w:pStyle w:val="208"/>
        <w:spacing w:beforeAutospacing="0" w:afterAutospacing="0" w:line="0" w:lineRule="atLeast"/>
        <w:jc w:val="center"/>
        <w:rPr>
          <w:rFonts w:hint="eastAsia" w:ascii="黑体" w:hAnsi="宋体" w:eastAsia="黑体" w:cs="黑体"/>
          <w:b/>
          <w:color w:val="auto"/>
          <w:sz w:val="32"/>
          <w:szCs w:val="32"/>
          <w:highlight w:val="none"/>
        </w:rPr>
      </w:pPr>
    </w:p>
    <w:p w14:paraId="4488B9C5">
      <w:pPr>
        <w:pStyle w:val="208"/>
        <w:spacing w:beforeAutospacing="0" w:afterAutospacing="0" w:line="0" w:lineRule="atLeast"/>
        <w:jc w:val="center"/>
        <w:rPr>
          <w:rFonts w:hint="eastAsia" w:ascii="黑体" w:hAnsi="宋体" w:eastAsia="黑体" w:cs="黑体"/>
          <w:b/>
          <w:color w:val="auto"/>
          <w:sz w:val="32"/>
          <w:szCs w:val="32"/>
          <w:highlight w:val="none"/>
        </w:rPr>
      </w:pPr>
    </w:p>
    <w:p w14:paraId="5BA3A838">
      <w:pPr>
        <w:pStyle w:val="208"/>
        <w:spacing w:beforeAutospacing="0" w:afterAutospacing="0" w:line="0" w:lineRule="atLeast"/>
        <w:jc w:val="center"/>
        <w:rPr>
          <w:rFonts w:hint="eastAsia" w:ascii="黑体" w:hAnsi="宋体" w:eastAsia="黑体" w:cs="黑体"/>
          <w:b/>
          <w:color w:val="auto"/>
          <w:sz w:val="32"/>
          <w:szCs w:val="32"/>
          <w:highlight w:val="none"/>
        </w:rPr>
      </w:pPr>
    </w:p>
    <w:p w14:paraId="0CE088EB">
      <w:pPr>
        <w:pStyle w:val="208"/>
        <w:spacing w:beforeAutospacing="0" w:afterAutospacing="0" w:line="0" w:lineRule="atLeast"/>
        <w:jc w:val="center"/>
        <w:rPr>
          <w:rFonts w:hint="eastAsia" w:ascii="黑体" w:hAnsi="宋体" w:eastAsia="黑体" w:cs="黑体"/>
          <w:b/>
          <w:color w:val="auto"/>
          <w:sz w:val="32"/>
          <w:szCs w:val="32"/>
          <w:highlight w:val="none"/>
        </w:rPr>
      </w:pPr>
    </w:p>
    <w:p w14:paraId="17CC7A9C">
      <w:pPr>
        <w:pStyle w:val="208"/>
        <w:spacing w:beforeAutospacing="0" w:afterAutospacing="0" w:line="0" w:lineRule="atLeast"/>
        <w:jc w:val="center"/>
        <w:rPr>
          <w:rFonts w:hint="eastAsia" w:ascii="黑体" w:hAnsi="宋体" w:eastAsia="黑体" w:cs="黑体"/>
          <w:b/>
          <w:color w:val="auto"/>
          <w:sz w:val="32"/>
          <w:szCs w:val="32"/>
          <w:highlight w:val="none"/>
        </w:rPr>
      </w:pPr>
    </w:p>
    <w:p w14:paraId="746BCB76">
      <w:pPr>
        <w:pStyle w:val="208"/>
        <w:spacing w:beforeAutospacing="0" w:afterAutospacing="0" w:line="0" w:lineRule="atLeast"/>
        <w:jc w:val="center"/>
        <w:rPr>
          <w:rFonts w:hint="eastAsia" w:ascii="黑体" w:hAnsi="宋体" w:eastAsia="黑体" w:cs="黑体"/>
          <w:b/>
          <w:color w:val="auto"/>
          <w:sz w:val="32"/>
          <w:szCs w:val="32"/>
          <w:highlight w:val="none"/>
        </w:rPr>
      </w:pPr>
    </w:p>
    <w:p w14:paraId="24054EFE">
      <w:pPr>
        <w:pStyle w:val="208"/>
        <w:spacing w:beforeAutospacing="0" w:afterAutospacing="0" w:line="0" w:lineRule="atLeast"/>
        <w:jc w:val="both"/>
        <w:rPr>
          <w:rFonts w:hint="eastAsia" w:ascii="黑体" w:hAnsi="宋体" w:eastAsia="黑体" w:cs="黑体"/>
          <w:b/>
          <w:color w:val="auto"/>
          <w:sz w:val="32"/>
          <w:szCs w:val="32"/>
          <w:highlight w:val="none"/>
        </w:rPr>
      </w:pPr>
    </w:p>
    <w:p w14:paraId="1446B9B2">
      <w:pPr>
        <w:pStyle w:val="208"/>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 十</w:t>
      </w:r>
      <w:r>
        <w:rPr>
          <w:rFonts w:hint="eastAsia" w:ascii="黑体" w:hAnsi="宋体" w:eastAsia="黑体" w:cs="黑体"/>
          <w:b/>
          <w:color w:val="auto"/>
          <w:sz w:val="32"/>
          <w:szCs w:val="32"/>
          <w:highlight w:val="none"/>
          <w:lang w:eastAsia="zh-CN"/>
        </w:rPr>
        <w:t>一</w:t>
      </w:r>
      <w:r>
        <w:rPr>
          <w:rFonts w:hint="eastAsia" w:ascii="黑体" w:hAnsi="宋体" w:eastAsia="黑体" w:cs="黑体"/>
          <w:b/>
          <w:color w:val="auto"/>
          <w:sz w:val="32"/>
          <w:szCs w:val="32"/>
          <w:highlight w:val="none"/>
        </w:rPr>
        <w:t>、残疾人福利性单位声明函（分包号：**）</w:t>
      </w:r>
    </w:p>
    <w:p w14:paraId="1B113BAE">
      <w:pPr>
        <w:pStyle w:val="208"/>
        <w:spacing w:beforeAutospacing="0" w:afterAutospacing="0" w:line="360" w:lineRule="auto"/>
        <w:ind w:firstLine="480"/>
        <w:jc w:val="both"/>
        <w:rPr>
          <w:color w:val="auto"/>
          <w:sz w:val="21"/>
          <w:szCs w:val="21"/>
          <w:highlight w:val="none"/>
        </w:rPr>
      </w:pPr>
      <w:r>
        <w:rPr>
          <w:rFonts w:hint="eastAsia" w:ascii="宋体" w:hAnsi="宋体" w:cs="宋体"/>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项目（分包号：**）采购活动提供本单位制造的货物，或者提供其他残疾人福利性单位制造的货物（不包括使用非残疾人福利性单位注册商标的货物）。</w:t>
      </w:r>
    </w:p>
    <w:p w14:paraId="40A9C44F">
      <w:pPr>
        <w:pStyle w:val="208"/>
        <w:spacing w:beforeAutospacing="0" w:afterAutospacing="0" w:line="360" w:lineRule="auto"/>
        <w:ind w:firstLine="480"/>
        <w:jc w:val="both"/>
        <w:rPr>
          <w:color w:val="auto"/>
          <w:sz w:val="21"/>
          <w:szCs w:val="21"/>
          <w:highlight w:val="none"/>
        </w:rPr>
      </w:pPr>
      <w:r>
        <w:rPr>
          <w:rFonts w:hint="eastAsia" w:ascii="宋体" w:hAnsi="宋体" w:cs="宋体"/>
          <w:color w:val="auto"/>
          <w:sz w:val="21"/>
          <w:szCs w:val="21"/>
          <w:highlight w:val="none"/>
        </w:rPr>
        <w:t>本单位对上述声明的真实性负责。如有虚假，将依法承担相应责任。</w:t>
      </w:r>
    </w:p>
    <w:p w14:paraId="664DAA06">
      <w:pPr>
        <w:pStyle w:val="208"/>
        <w:spacing w:beforeAutospacing="0" w:afterAutospacing="0" w:line="360" w:lineRule="auto"/>
        <w:ind w:firstLine="480"/>
        <w:jc w:val="both"/>
        <w:rPr>
          <w:color w:val="auto"/>
          <w:sz w:val="21"/>
          <w:szCs w:val="21"/>
          <w:highlight w:val="none"/>
        </w:rPr>
      </w:pPr>
      <w:r>
        <w:rPr>
          <w:color w:val="auto"/>
          <w:sz w:val="21"/>
          <w:szCs w:val="21"/>
          <w:highlight w:val="none"/>
        </w:rPr>
        <w:t> </w:t>
      </w:r>
    </w:p>
    <w:p w14:paraId="0F50D5FA">
      <w:pPr>
        <w:pStyle w:val="208"/>
        <w:spacing w:beforeAutospacing="0" w:afterAutospacing="0" w:line="360" w:lineRule="auto"/>
        <w:ind w:firstLine="480"/>
        <w:jc w:val="both"/>
        <w:rPr>
          <w:color w:val="auto"/>
          <w:sz w:val="21"/>
          <w:szCs w:val="21"/>
          <w:highlight w:val="none"/>
        </w:rPr>
      </w:pPr>
      <w:r>
        <w:rPr>
          <w:rFonts w:hint="eastAsia" w:ascii="宋体" w:hAnsi="宋体" w:cs="宋体"/>
          <w:color w:val="auto"/>
          <w:sz w:val="21"/>
          <w:szCs w:val="21"/>
          <w:highlight w:val="none"/>
        </w:rPr>
        <w:t>备注：1、供应商如不提供此声明函，价格将不做相应扣除（如项目全面面向中小企业，则资格审查不通过）。2、中标供应商为残疾人福利单位的，此声明函将随中标结果同时公告，接受社会监督</w:t>
      </w:r>
    </w:p>
    <w:p w14:paraId="7C54B81D">
      <w:pPr>
        <w:pStyle w:val="208"/>
        <w:spacing w:beforeAutospacing="0" w:afterAutospacing="0" w:line="360" w:lineRule="auto"/>
        <w:ind w:firstLine="624"/>
        <w:jc w:val="both"/>
        <w:rPr>
          <w:color w:val="auto"/>
          <w:sz w:val="21"/>
          <w:szCs w:val="21"/>
          <w:highlight w:val="none"/>
        </w:rPr>
      </w:pPr>
      <w:r>
        <w:rPr>
          <w:color w:val="auto"/>
          <w:sz w:val="21"/>
          <w:szCs w:val="21"/>
          <w:highlight w:val="none"/>
        </w:rPr>
        <w:t> </w:t>
      </w:r>
    </w:p>
    <w:p w14:paraId="5A991689">
      <w:pPr>
        <w:pStyle w:val="208"/>
        <w:tabs>
          <w:tab w:val="left" w:pos="4864"/>
        </w:tabs>
        <w:spacing w:beforeAutospacing="0" w:afterAutospacing="0" w:line="360" w:lineRule="auto"/>
        <w:ind w:right="1560" w:firstLine="624"/>
        <w:jc w:val="center"/>
        <w:rPr>
          <w:color w:val="auto"/>
          <w:sz w:val="21"/>
          <w:szCs w:val="21"/>
          <w:highlight w:val="none"/>
        </w:rPr>
      </w:pPr>
      <w:r>
        <w:rPr>
          <w:rFonts w:ascii="仿宋_GB2312" w:eastAsia="仿宋_GB2312" w:cs="仿宋_GB2312"/>
          <w:color w:val="auto"/>
          <w:sz w:val="21"/>
          <w:szCs w:val="21"/>
          <w:highlight w:val="none"/>
        </w:rPr>
        <w:t xml:space="preserve">             </w:t>
      </w:r>
      <w:r>
        <w:rPr>
          <w:rFonts w:hint="eastAsia" w:ascii="宋体" w:hAnsi="宋体" w:cs="宋体"/>
          <w:color w:val="auto"/>
          <w:sz w:val="21"/>
          <w:szCs w:val="21"/>
          <w:highlight w:val="none"/>
        </w:rPr>
        <w:t>          供应商全称（加盖CA电子公章）：</w:t>
      </w:r>
    </w:p>
    <w:p w14:paraId="54F66843">
      <w:pPr>
        <w:pStyle w:val="208"/>
        <w:tabs>
          <w:tab w:val="left" w:pos="4864"/>
        </w:tabs>
        <w:spacing w:beforeAutospacing="0" w:afterAutospacing="0" w:line="360" w:lineRule="auto"/>
        <w:ind w:right="1560" w:firstLine="480"/>
        <w:jc w:val="center"/>
        <w:rPr>
          <w:color w:val="auto"/>
          <w:sz w:val="21"/>
          <w:szCs w:val="21"/>
          <w:highlight w:val="none"/>
        </w:rPr>
      </w:pPr>
      <w:r>
        <w:rPr>
          <w:rFonts w:hint="eastAsia" w:ascii="宋体" w:hAnsi="宋体" w:cs="宋体"/>
          <w:color w:val="auto"/>
          <w:sz w:val="21"/>
          <w:szCs w:val="21"/>
          <w:highlight w:val="none"/>
        </w:rPr>
        <w:t>        日  期：</w:t>
      </w:r>
    </w:p>
    <w:p w14:paraId="10D3EF53">
      <w:pPr>
        <w:pStyle w:val="208"/>
        <w:spacing w:beforeAutospacing="0" w:afterAutospacing="0" w:line="360" w:lineRule="auto"/>
        <w:jc w:val="center"/>
        <w:rPr>
          <w:color w:val="auto"/>
          <w:sz w:val="21"/>
          <w:szCs w:val="21"/>
          <w:highlight w:val="none"/>
        </w:rPr>
      </w:pPr>
      <w:r>
        <w:rPr>
          <w:color w:val="auto"/>
          <w:sz w:val="21"/>
          <w:szCs w:val="21"/>
          <w:highlight w:val="none"/>
        </w:rPr>
        <w:t> </w:t>
      </w:r>
    </w:p>
    <w:p w14:paraId="67EA309E">
      <w:pPr>
        <w:pStyle w:val="208"/>
        <w:spacing w:beforeAutospacing="0" w:afterAutospacing="0" w:line="0" w:lineRule="atLeast"/>
        <w:jc w:val="center"/>
        <w:rPr>
          <w:color w:val="auto"/>
          <w:highlight w:val="none"/>
        </w:rPr>
      </w:pPr>
      <w:r>
        <w:rPr>
          <w:color w:val="auto"/>
          <w:highlight w:val="none"/>
        </w:rPr>
        <w:t> </w:t>
      </w:r>
    </w:p>
    <w:p w14:paraId="297B9297">
      <w:pPr>
        <w:pStyle w:val="208"/>
        <w:spacing w:beforeAutospacing="0" w:afterAutospacing="0" w:line="0" w:lineRule="atLeast"/>
        <w:jc w:val="center"/>
        <w:rPr>
          <w:color w:val="auto"/>
          <w:highlight w:val="none"/>
        </w:rPr>
      </w:pPr>
      <w:r>
        <w:rPr>
          <w:color w:val="auto"/>
          <w:highlight w:val="none"/>
        </w:rPr>
        <w:t> </w:t>
      </w:r>
    </w:p>
    <w:p w14:paraId="65CB7482">
      <w:pPr>
        <w:pStyle w:val="208"/>
        <w:spacing w:beforeAutospacing="0" w:afterAutospacing="0" w:line="0" w:lineRule="atLeast"/>
        <w:jc w:val="center"/>
        <w:rPr>
          <w:color w:val="auto"/>
          <w:highlight w:val="none"/>
        </w:rPr>
      </w:pPr>
      <w:r>
        <w:rPr>
          <w:color w:val="auto"/>
          <w:highlight w:val="none"/>
        </w:rPr>
        <w:t> </w:t>
      </w:r>
    </w:p>
    <w:p w14:paraId="1A6636EF">
      <w:pPr>
        <w:pStyle w:val="208"/>
        <w:spacing w:beforeAutospacing="0" w:afterAutospacing="0" w:line="0" w:lineRule="atLeast"/>
        <w:jc w:val="center"/>
        <w:rPr>
          <w:color w:val="auto"/>
          <w:highlight w:val="none"/>
        </w:rPr>
      </w:pPr>
      <w:r>
        <w:rPr>
          <w:color w:val="auto"/>
          <w:highlight w:val="none"/>
        </w:rPr>
        <w:t> </w:t>
      </w:r>
    </w:p>
    <w:p w14:paraId="728F36C7">
      <w:pPr>
        <w:pStyle w:val="208"/>
        <w:spacing w:beforeAutospacing="0" w:afterAutospacing="0" w:line="0" w:lineRule="atLeast"/>
        <w:jc w:val="center"/>
        <w:rPr>
          <w:color w:val="auto"/>
          <w:highlight w:val="none"/>
        </w:rPr>
      </w:pPr>
      <w:r>
        <w:rPr>
          <w:color w:val="auto"/>
          <w:highlight w:val="none"/>
        </w:rPr>
        <w:t> </w:t>
      </w:r>
    </w:p>
    <w:p w14:paraId="060FEB61">
      <w:pPr>
        <w:pStyle w:val="208"/>
        <w:spacing w:beforeAutospacing="0" w:afterAutospacing="0" w:line="0" w:lineRule="atLeast"/>
        <w:jc w:val="center"/>
        <w:rPr>
          <w:color w:val="auto"/>
          <w:highlight w:val="none"/>
        </w:rPr>
      </w:pPr>
      <w:r>
        <w:rPr>
          <w:color w:val="auto"/>
          <w:highlight w:val="none"/>
        </w:rPr>
        <w:t> </w:t>
      </w:r>
    </w:p>
    <w:p w14:paraId="5D66F03D">
      <w:pPr>
        <w:pStyle w:val="208"/>
        <w:spacing w:beforeAutospacing="0" w:afterAutospacing="0" w:line="0" w:lineRule="atLeast"/>
        <w:jc w:val="center"/>
        <w:rPr>
          <w:color w:val="auto"/>
          <w:highlight w:val="none"/>
        </w:rPr>
      </w:pPr>
      <w:r>
        <w:rPr>
          <w:color w:val="auto"/>
          <w:highlight w:val="none"/>
        </w:rPr>
        <w:t> </w:t>
      </w:r>
    </w:p>
    <w:p w14:paraId="66318DB9">
      <w:pPr>
        <w:pStyle w:val="208"/>
        <w:spacing w:beforeAutospacing="0" w:afterAutospacing="0" w:line="0" w:lineRule="atLeast"/>
        <w:jc w:val="center"/>
        <w:rPr>
          <w:color w:val="auto"/>
          <w:highlight w:val="none"/>
        </w:rPr>
      </w:pPr>
      <w:r>
        <w:rPr>
          <w:color w:val="auto"/>
          <w:highlight w:val="none"/>
        </w:rPr>
        <w:t> </w:t>
      </w:r>
    </w:p>
    <w:p w14:paraId="48BCA464">
      <w:pPr>
        <w:pStyle w:val="208"/>
        <w:spacing w:beforeAutospacing="0" w:afterAutospacing="0" w:line="0" w:lineRule="atLeast"/>
        <w:jc w:val="center"/>
        <w:rPr>
          <w:color w:val="auto"/>
          <w:highlight w:val="none"/>
        </w:rPr>
      </w:pPr>
    </w:p>
    <w:p w14:paraId="7D1DC261">
      <w:pPr>
        <w:pStyle w:val="208"/>
        <w:spacing w:beforeAutospacing="0" w:afterAutospacing="0" w:line="0" w:lineRule="atLeast"/>
        <w:jc w:val="center"/>
        <w:rPr>
          <w:color w:val="auto"/>
          <w:highlight w:val="none"/>
        </w:rPr>
      </w:pPr>
    </w:p>
    <w:p w14:paraId="17B7CB3C">
      <w:pPr>
        <w:pStyle w:val="208"/>
        <w:spacing w:beforeAutospacing="0" w:afterAutospacing="0" w:line="0" w:lineRule="atLeast"/>
        <w:jc w:val="center"/>
        <w:rPr>
          <w:color w:val="auto"/>
          <w:highlight w:val="none"/>
        </w:rPr>
      </w:pPr>
    </w:p>
    <w:p w14:paraId="783505E9">
      <w:pPr>
        <w:pStyle w:val="208"/>
        <w:spacing w:beforeAutospacing="0" w:afterAutospacing="0" w:line="0" w:lineRule="atLeast"/>
        <w:jc w:val="center"/>
        <w:rPr>
          <w:color w:val="auto"/>
          <w:highlight w:val="none"/>
        </w:rPr>
      </w:pPr>
    </w:p>
    <w:p w14:paraId="7A136E28">
      <w:pPr>
        <w:pStyle w:val="208"/>
        <w:spacing w:beforeAutospacing="0" w:afterAutospacing="0" w:line="0" w:lineRule="atLeast"/>
        <w:jc w:val="center"/>
        <w:rPr>
          <w:color w:val="auto"/>
          <w:highlight w:val="none"/>
        </w:rPr>
      </w:pPr>
    </w:p>
    <w:p w14:paraId="72BC8E55">
      <w:pPr>
        <w:pStyle w:val="208"/>
        <w:spacing w:beforeAutospacing="0" w:afterAutospacing="0" w:line="0" w:lineRule="atLeast"/>
        <w:jc w:val="center"/>
        <w:rPr>
          <w:color w:val="auto"/>
          <w:highlight w:val="none"/>
        </w:rPr>
      </w:pPr>
    </w:p>
    <w:p w14:paraId="437977B6">
      <w:pPr>
        <w:pStyle w:val="208"/>
        <w:spacing w:beforeAutospacing="0" w:afterAutospacing="0" w:line="0" w:lineRule="atLeast"/>
        <w:jc w:val="center"/>
        <w:rPr>
          <w:color w:val="auto"/>
          <w:highlight w:val="none"/>
        </w:rPr>
      </w:pPr>
    </w:p>
    <w:p w14:paraId="4097007F">
      <w:pPr>
        <w:pStyle w:val="208"/>
        <w:spacing w:beforeAutospacing="0" w:afterAutospacing="0" w:line="0" w:lineRule="atLeast"/>
        <w:jc w:val="center"/>
        <w:rPr>
          <w:color w:val="auto"/>
          <w:highlight w:val="none"/>
        </w:rPr>
      </w:pPr>
    </w:p>
    <w:p w14:paraId="2F4A0F94">
      <w:pPr>
        <w:pStyle w:val="208"/>
        <w:spacing w:beforeAutospacing="0" w:afterAutospacing="0" w:line="0" w:lineRule="atLeast"/>
        <w:jc w:val="center"/>
        <w:rPr>
          <w:color w:val="auto"/>
          <w:highlight w:val="none"/>
        </w:rPr>
      </w:pPr>
    </w:p>
    <w:p w14:paraId="2F62C9F8">
      <w:pPr>
        <w:pStyle w:val="208"/>
        <w:spacing w:beforeAutospacing="0" w:afterAutospacing="0" w:line="0" w:lineRule="atLeast"/>
        <w:jc w:val="center"/>
        <w:rPr>
          <w:color w:val="auto"/>
          <w:highlight w:val="none"/>
        </w:rPr>
      </w:pPr>
    </w:p>
    <w:p w14:paraId="0912EEBE">
      <w:pPr>
        <w:pStyle w:val="208"/>
        <w:spacing w:beforeAutospacing="0" w:afterAutospacing="0" w:line="0" w:lineRule="atLeast"/>
        <w:jc w:val="center"/>
        <w:rPr>
          <w:color w:val="auto"/>
          <w:highlight w:val="none"/>
        </w:rPr>
      </w:pPr>
    </w:p>
    <w:p w14:paraId="65C9CD6B">
      <w:pPr>
        <w:pStyle w:val="208"/>
        <w:spacing w:beforeAutospacing="0" w:afterAutospacing="0" w:line="0" w:lineRule="atLeast"/>
        <w:jc w:val="center"/>
        <w:rPr>
          <w:color w:val="auto"/>
          <w:highlight w:val="none"/>
        </w:rPr>
      </w:pPr>
    </w:p>
    <w:p w14:paraId="1D9E3BF4">
      <w:pPr>
        <w:pStyle w:val="208"/>
        <w:spacing w:beforeAutospacing="0" w:afterAutospacing="0" w:line="0" w:lineRule="atLeast"/>
        <w:jc w:val="center"/>
        <w:rPr>
          <w:color w:val="auto"/>
          <w:highlight w:val="none"/>
        </w:rPr>
      </w:pPr>
    </w:p>
    <w:p w14:paraId="66E8EB08">
      <w:pPr>
        <w:pStyle w:val="208"/>
        <w:spacing w:beforeAutospacing="0" w:afterAutospacing="0" w:line="0" w:lineRule="atLeast"/>
        <w:jc w:val="center"/>
        <w:rPr>
          <w:color w:val="auto"/>
          <w:highlight w:val="none"/>
        </w:rPr>
      </w:pPr>
    </w:p>
    <w:p w14:paraId="71ABC000">
      <w:pPr>
        <w:pStyle w:val="208"/>
        <w:spacing w:beforeAutospacing="0" w:afterAutospacing="0" w:line="0" w:lineRule="atLeast"/>
        <w:jc w:val="both"/>
        <w:rPr>
          <w:color w:val="auto"/>
          <w:highlight w:val="none"/>
        </w:rPr>
      </w:pPr>
      <w:r>
        <w:rPr>
          <w:color w:val="auto"/>
          <w:highlight w:val="none"/>
        </w:rPr>
        <w:t> </w:t>
      </w:r>
    </w:p>
    <w:p w14:paraId="4FA74C38">
      <w:pPr>
        <w:pStyle w:val="208"/>
        <w:spacing w:beforeAutospacing="0" w:afterAutospacing="0" w:line="0" w:lineRule="atLeast"/>
        <w:jc w:val="both"/>
        <w:rPr>
          <w:color w:val="auto"/>
          <w:highlight w:val="none"/>
        </w:rPr>
      </w:pPr>
    </w:p>
    <w:p w14:paraId="66A29187">
      <w:pPr>
        <w:pStyle w:val="208"/>
        <w:spacing w:beforeAutospacing="0" w:afterAutospacing="0" w:line="0" w:lineRule="atLeast"/>
        <w:jc w:val="both"/>
        <w:rPr>
          <w:color w:val="auto"/>
          <w:highlight w:val="none"/>
        </w:rPr>
      </w:pPr>
    </w:p>
    <w:p w14:paraId="1178BF10">
      <w:pPr>
        <w:pStyle w:val="208"/>
        <w:spacing w:beforeAutospacing="0" w:afterAutospacing="0" w:line="0" w:lineRule="atLeast"/>
        <w:jc w:val="both"/>
        <w:rPr>
          <w:color w:val="auto"/>
          <w:highlight w:val="none"/>
        </w:rPr>
      </w:pPr>
    </w:p>
    <w:p w14:paraId="3EB0F3D8">
      <w:pPr>
        <w:pStyle w:val="208"/>
        <w:spacing w:beforeAutospacing="0" w:afterAutospacing="0" w:line="0" w:lineRule="atLeast"/>
        <w:jc w:val="both"/>
        <w:rPr>
          <w:color w:val="auto"/>
          <w:highlight w:val="none"/>
        </w:rPr>
      </w:pPr>
    </w:p>
    <w:p w14:paraId="19CF8239">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b/>
          <w:bCs/>
          <w:color w:val="auto"/>
          <w:highlight w:val="none"/>
        </w:rPr>
      </w:pPr>
      <w:r>
        <w:rPr>
          <w:rFonts w:ascii="黑体" w:hAnsi="宋体" w:eastAsia="黑体" w:cs="黑体"/>
          <w:b/>
          <w:bCs/>
          <w:color w:val="auto"/>
          <w:sz w:val="32"/>
          <w:szCs w:val="32"/>
          <w:highlight w:val="none"/>
        </w:rPr>
        <w:t>十</w:t>
      </w:r>
      <w:r>
        <w:rPr>
          <w:rFonts w:hint="eastAsia" w:ascii="黑体" w:hAnsi="宋体" w:eastAsia="黑体" w:cs="黑体"/>
          <w:b/>
          <w:bCs/>
          <w:color w:val="auto"/>
          <w:sz w:val="32"/>
          <w:szCs w:val="32"/>
          <w:highlight w:val="none"/>
          <w:lang w:eastAsia="zh-CN"/>
        </w:rPr>
        <w:t>二</w:t>
      </w:r>
      <w:r>
        <w:rPr>
          <w:rFonts w:ascii="黑体" w:hAnsi="宋体" w:eastAsia="黑体" w:cs="黑体"/>
          <w:b/>
          <w:bCs/>
          <w:color w:val="auto"/>
          <w:sz w:val="32"/>
          <w:szCs w:val="32"/>
          <w:highlight w:val="none"/>
        </w:rPr>
        <w:t>、关于符合本国产品标准的声明函（采购包号：**）</w:t>
      </w:r>
    </w:p>
    <w:p w14:paraId="704101BB">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b/>
          <w:bCs/>
          <w:color w:val="auto"/>
          <w:sz w:val="21"/>
          <w:szCs w:val="21"/>
          <w:highlight w:val="none"/>
        </w:rPr>
      </w:pPr>
      <w:r>
        <w:rPr>
          <w:rFonts w:ascii="宋体" w:hAnsi="宋体" w:eastAsia="宋体" w:cs="宋体"/>
          <w:b/>
          <w:bCs/>
          <w:color w:val="auto"/>
          <w:sz w:val="21"/>
          <w:szCs w:val="21"/>
          <w:highlight w:val="none"/>
        </w:rPr>
        <w:t>本公司（单位）郑重声明，根据《国务院办公厅关于在政府采购中实施本国产品标准及相关政策的通知》（国办发〔2025〕34号）的规定，本公司（单位）提供的以下产品属于本国产品。具体情况如下：</w:t>
      </w:r>
    </w:p>
    <w:p w14:paraId="689AEA20">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sz w:val="21"/>
          <w:szCs w:val="21"/>
          <w:highlight w:val="none"/>
        </w:rPr>
      </w:pPr>
      <w:r>
        <w:rPr>
          <w:rFonts w:ascii="宋体" w:hAnsi="宋体" w:eastAsia="宋体" w:cs="宋体"/>
          <w:b/>
          <w:bCs/>
          <w:color w:val="auto"/>
          <w:sz w:val="21"/>
          <w:szCs w:val="21"/>
          <w:highlight w:val="none"/>
          <w:shd w:val="clear" w:fill="FFFFFF"/>
        </w:rPr>
        <w:t>1.</w:t>
      </w:r>
      <w:r>
        <w:rPr>
          <w:rFonts w:ascii="宋体" w:hAnsi="宋体" w:eastAsia="宋体" w:cs="宋体"/>
          <w:b/>
          <w:bCs/>
          <w:color w:val="auto"/>
          <w:sz w:val="21"/>
          <w:szCs w:val="21"/>
          <w:highlight w:val="none"/>
          <w:u w:val="single"/>
          <w:shd w:val="clear" w:fill="FFFFFF"/>
        </w:rPr>
        <w:t>（产品名称1）</w:t>
      </w:r>
      <w:r>
        <w:rPr>
          <w:rFonts w:ascii="宋体" w:hAnsi="宋体" w:eastAsia="宋体" w:cs="宋体"/>
          <w:b/>
          <w:bCs/>
          <w:color w:val="auto"/>
          <w:sz w:val="21"/>
          <w:szCs w:val="21"/>
          <w:highlight w:val="none"/>
          <w:shd w:val="clear" w:fill="FFFFFF"/>
          <w:vertAlign w:val="superscript"/>
        </w:rPr>
        <w:t>1</w:t>
      </w:r>
      <w:r>
        <w:rPr>
          <w:rFonts w:ascii="宋体" w:hAnsi="宋体" w:eastAsia="宋体" w:cs="宋体"/>
          <w:b/>
          <w:bCs/>
          <w:color w:val="auto"/>
          <w:sz w:val="21"/>
          <w:szCs w:val="21"/>
          <w:highlight w:val="none"/>
          <w:shd w:val="clear" w:fill="FFFFFF"/>
        </w:rPr>
        <w:t>，生产厂为</w:t>
      </w:r>
      <w:r>
        <w:rPr>
          <w:rFonts w:ascii="宋体" w:hAnsi="宋体" w:eastAsia="宋体" w:cs="宋体"/>
          <w:b/>
          <w:bCs/>
          <w:color w:val="auto"/>
          <w:sz w:val="21"/>
          <w:szCs w:val="21"/>
          <w:highlight w:val="none"/>
          <w:u w:val="single"/>
          <w:shd w:val="clear" w:fill="FFFFFF"/>
        </w:rPr>
        <w:t>（厂名）</w:t>
      </w:r>
      <w:r>
        <w:rPr>
          <w:rFonts w:ascii="宋体" w:hAnsi="宋体" w:eastAsia="宋体" w:cs="宋体"/>
          <w:b/>
          <w:bCs/>
          <w:color w:val="auto"/>
          <w:sz w:val="21"/>
          <w:szCs w:val="21"/>
          <w:highlight w:val="none"/>
          <w:shd w:val="clear" w:fill="FFFFFF"/>
          <w:vertAlign w:val="superscript"/>
        </w:rPr>
        <w:t>2</w:t>
      </w:r>
      <w:r>
        <w:rPr>
          <w:rFonts w:ascii="宋体" w:hAnsi="宋体" w:eastAsia="宋体" w:cs="宋体"/>
          <w:b/>
          <w:bCs/>
          <w:color w:val="auto"/>
          <w:sz w:val="21"/>
          <w:szCs w:val="21"/>
          <w:highlight w:val="none"/>
          <w:shd w:val="clear" w:fill="FFFFFF"/>
        </w:rPr>
        <w:t>，厂址为</w:t>
      </w:r>
      <w:r>
        <w:rPr>
          <w:rFonts w:ascii="宋体" w:hAnsi="宋体" w:eastAsia="宋体" w:cs="宋体"/>
          <w:b/>
          <w:bCs/>
          <w:color w:val="auto"/>
          <w:sz w:val="21"/>
          <w:szCs w:val="21"/>
          <w:highlight w:val="none"/>
          <w:u w:val="single"/>
          <w:shd w:val="clear" w:fill="FFFFFF"/>
        </w:rPr>
        <w:t>（生产厂址）</w:t>
      </w:r>
      <w:r>
        <w:rPr>
          <w:rFonts w:ascii="宋体" w:hAnsi="宋体" w:eastAsia="宋体" w:cs="宋体"/>
          <w:b/>
          <w:bCs/>
          <w:color w:val="auto"/>
          <w:sz w:val="21"/>
          <w:szCs w:val="21"/>
          <w:highlight w:val="none"/>
          <w:shd w:val="clear" w:fill="FFFFFF"/>
        </w:rPr>
        <w:t>。</w:t>
      </w:r>
      <w:r>
        <w:rPr>
          <w:rFonts w:ascii="宋体" w:hAnsi="宋体" w:eastAsia="宋体" w:cs="宋体"/>
          <w:b/>
          <w:bCs/>
          <w:strike/>
          <w:dstrike w:val="0"/>
          <w:color w:val="auto"/>
          <w:sz w:val="21"/>
          <w:szCs w:val="21"/>
          <w:highlight w:val="none"/>
          <w:u w:val="single"/>
          <w:shd w:val="clear" w:fill="FFFFFF"/>
        </w:rPr>
        <w:t> （产品名称1）</w:t>
      </w:r>
      <w:r>
        <w:rPr>
          <w:rFonts w:ascii="宋体" w:hAnsi="宋体" w:eastAsia="宋体" w:cs="宋体"/>
          <w:b/>
          <w:bCs/>
          <w:color w:val="auto"/>
          <w:sz w:val="21"/>
          <w:szCs w:val="21"/>
          <w:highlight w:val="none"/>
          <w:u w:val="single"/>
          <w:shd w:val="clear" w:fill="FFFFFF"/>
        </w:rPr>
        <w:t> </w:t>
      </w:r>
      <w:r>
        <w:rPr>
          <w:rFonts w:ascii="宋体" w:hAnsi="宋体" w:eastAsia="宋体" w:cs="宋体"/>
          <w:b/>
          <w:bCs/>
          <w:color w:val="auto"/>
          <w:sz w:val="21"/>
          <w:szCs w:val="21"/>
          <w:highlight w:val="none"/>
          <w:shd w:val="clear" w:fill="FFFFFF"/>
        </w:rPr>
        <w:t>的中国境内生产的组件成本占比≥</w:t>
      </w:r>
      <w:r>
        <w:rPr>
          <w:rFonts w:ascii="宋体" w:hAnsi="宋体" w:eastAsia="宋体" w:cs="宋体"/>
          <w:b/>
          <w:bCs/>
          <w:strike/>
          <w:dstrike w:val="0"/>
          <w:color w:val="auto"/>
          <w:sz w:val="21"/>
          <w:szCs w:val="21"/>
          <w:highlight w:val="none"/>
          <w:u w:val="single"/>
          <w:shd w:val="clear" w:fill="FFFFFF"/>
        </w:rPr>
        <w:t>（规定比例）</w:t>
      </w:r>
      <w:r>
        <w:rPr>
          <w:rFonts w:ascii="宋体" w:hAnsi="宋体" w:eastAsia="宋体" w:cs="宋体"/>
          <w:b/>
          <w:bCs/>
          <w:strike/>
          <w:dstrike w:val="0"/>
          <w:color w:val="auto"/>
          <w:sz w:val="21"/>
          <w:szCs w:val="21"/>
          <w:highlight w:val="none"/>
          <w:shd w:val="clear" w:fill="FFFFFF"/>
          <w:vertAlign w:val="superscript"/>
        </w:rPr>
        <w:t>3</w:t>
      </w:r>
      <w:r>
        <w:rPr>
          <w:rFonts w:ascii="宋体" w:hAnsi="宋体" w:eastAsia="宋体" w:cs="宋体"/>
          <w:b/>
          <w:bCs/>
          <w:color w:val="auto"/>
          <w:sz w:val="21"/>
          <w:szCs w:val="21"/>
          <w:highlight w:val="none"/>
          <w:shd w:val="clear" w:fill="FFFFFF"/>
        </w:rPr>
        <w:t>。</w:t>
      </w:r>
      <w:r>
        <w:rPr>
          <w:rFonts w:ascii="宋体" w:hAnsi="宋体" w:eastAsia="宋体" w:cs="宋体"/>
          <w:b/>
          <w:bCs/>
          <w:strike/>
          <w:dstrike w:val="0"/>
          <w:color w:val="auto"/>
          <w:sz w:val="21"/>
          <w:szCs w:val="21"/>
          <w:highlight w:val="none"/>
          <w:u w:val="single"/>
          <w:shd w:val="clear" w:fill="FFFFFF"/>
        </w:rPr>
        <w:t>（产品名称1）</w:t>
      </w:r>
      <w:r>
        <w:rPr>
          <w:rFonts w:ascii="宋体" w:hAnsi="宋体" w:eastAsia="宋体" w:cs="宋体"/>
          <w:b/>
          <w:bCs/>
          <w:color w:val="auto"/>
          <w:sz w:val="21"/>
          <w:szCs w:val="21"/>
          <w:highlight w:val="none"/>
          <w:shd w:val="clear" w:fill="FFFFFF"/>
        </w:rPr>
        <w:t>的</w:t>
      </w:r>
      <w:r>
        <w:rPr>
          <w:rFonts w:ascii="宋体" w:hAnsi="宋体" w:eastAsia="宋体" w:cs="宋体"/>
          <w:b/>
          <w:bCs/>
          <w:strike/>
          <w:dstrike w:val="0"/>
          <w:color w:val="auto"/>
          <w:sz w:val="21"/>
          <w:szCs w:val="21"/>
          <w:highlight w:val="none"/>
          <w:u w:val="single"/>
          <w:shd w:val="clear" w:fill="FFFFFF"/>
        </w:rPr>
        <w:t>（关键组件）</w:t>
      </w:r>
      <w:r>
        <w:rPr>
          <w:rFonts w:ascii="宋体" w:hAnsi="宋体" w:eastAsia="宋体" w:cs="宋体"/>
          <w:b/>
          <w:bCs/>
          <w:strike/>
          <w:dstrike w:val="0"/>
          <w:color w:val="auto"/>
          <w:sz w:val="21"/>
          <w:szCs w:val="21"/>
          <w:highlight w:val="none"/>
          <w:shd w:val="clear" w:fill="FFFFFF"/>
          <w:vertAlign w:val="superscript"/>
        </w:rPr>
        <w:t>4</w:t>
      </w:r>
      <w:r>
        <w:rPr>
          <w:rFonts w:ascii="宋体" w:hAnsi="宋体" w:eastAsia="宋体" w:cs="宋体"/>
          <w:b/>
          <w:bCs/>
          <w:color w:val="auto"/>
          <w:sz w:val="21"/>
          <w:szCs w:val="21"/>
          <w:highlight w:val="none"/>
          <w:shd w:val="clear" w:fill="FFFFFF"/>
        </w:rPr>
        <w:t>在中国境内生产。</w:t>
      </w:r>
      <w:r>
        <w:rPr>
          <w:rFonts w:ascii="宋体" w:hAnsi="宋体" w:eastAsia="宋体" w:cs="宋体"/>
          <w:b/>
          <w:bCs/>
          <w:strike/>
          <w:dstrike w:val="0"/>
          <w:color w:val="auto"/>
          <w:sz w:val="21"/>
          <w:szCs w:val="21"/>
          <w:highlight w:val="none"/>
          <w:u w:val="single"/>
          <w:shd w:val="clear" w:fill="FFFFFF"/>
        </w:rPr>
        <w:t>（产品名称1）</w:t>
      </w:r>
      <w:r>
        <w:rPr>
          <w:rFonts w:ascii="宋体" w:hAnsi="宋体" w:eastAsia="宋体" w:cs="宋体"/>
          <w:b/>
          <w:bCs/>
          <w:color w:val="auto"/>
          <w:sz w:val="21"/>
          <w:szCs w:val="21"/>
          <w:highlight w:val="none"/>
          <w:shd w:val="clear" w:fill="FFFFFF"/>
        </w:rPr>
        <w:t>的</w:t>
      </w:r>
      <w:r>
        <w:rPr>
          <w:rFonts w:ascii="宋体" w:hAnsi="宋体" w:eastAsia="宋体" w:cs="宋体"/>
          <w:b/>
          <w:bCs/>
          <w:strike/>
          <w:dstrike w:val="0"/>
          <w:color w:val="auto"/>
          <w:sz w:val="21"/>
          <w:szCs w:val="21"/>
          <w:highlight w:val="none"/>
          <w:u w:val="single"/>
          <w:shd w:val="clear" w:fill="FFFFFF"/>
        </w:rPr>
        <w:t>（关键工序）</w:t>
      </w:r>
      <w:r>
        <w:rPr>
          <w:rFonts w:ascii="宋体" w:hAnsi="宋体" w:eastAsia="宋体" w:cs="宋体"/>
          <w:b/>
          <w:bCs/>
          <w:strike/>
          <w:dstrike w:val="0"/>
          <w:color w:val="auto"/>
          <w:sz w:val="21"/>
          <w:szCs w:val="21"/>
          <w:highlight w:val="none"/>
          <w:shd w:val="clear" w:fill="FFFFFF"/>
          <w:vertAlign w:val="superscript"/>
        </w:rPr>
        <w:t>5</w:t>
      </w:r>
      <w:r>
        <w:rPr>
          <w:rFonts w:ascii="宋体" w:hAnsi="宋体" w:eastAsia="宋体" w:cs="宋体"/>
          <w:b/>
          <w:bCs/>
          <w:color w:val="auto"/>
          <w:sz w:val="21"/>
          <w:szCs w:val="21"/>
          <w:highlight w:val="none"/>
          <w:shd w:val="clear" w:fill="FFFFFF"/>
        </w:rPr>
        <w:t>在中国境内完成。</w:t>
      </w:r>
    </w:p>
    <w:p w14:paraId="5B5C2578">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sz w:val="21"/>
          <w:szCs w:val="21"/>
          <w:highlight w:val="none"/>
        </w:rPr>
      </w:pPr>
      <w:r>
        <w:rPr>
          <w:rFonts w:ascii="宋体" w:hAnsi="宋体" w:eastAsia="宋体" w:cs="宋体"/>
          <w:b/>
          <w:bCs/>
          <w:color w:val="auto"/>
          <w:sz w:val="21"/>
          <w:szCs w:val="21"/>
          <w:highlight w:val="none"/>
          <w:shd w:val="clear" w:fill="FFFFFF"/>
        </w:rPr>
        <w:t>2.</w:t>
      </w:r>
      <w:r>
        <w:rPr>
          <w:rFonts w:ascii="宋体" w:hAnsi="宋体" w:eastAsia="宋体" w:cs="宋体"/>
          <w:b/>
          <w:bCs/>
          <w:color w:val="auto"/>
          <w:sz w:val="21"/>
          <w:szCs w:val="21"/>
          <w:highlight w:val="none"/>
          <w:u w:val="single"/>
          <w:shd w:val="clear" w:fill="FFFFFF"/>
        </w:rPr>
        <w:t>（产品名称2）</w:t>
      </w:r>
      <w:r>
        <w:rPr>
          <w:rFonts w:ascii="宋体" w:hAnsi="宋体" w:eastAsia="宋体" w:cs="宋体"/>
          <w:b/>
          <w:bCs/>
          <w:color w:val="auto"/>
          <w:sz w:val="21"/>
          <w:szCs w:val="21"/>
          <w:highlight w:val="none"/>
          <w:shd w:val="clear" w:fill="FFFFFF"/>
        </w:rPr>
        <w:t>，生产厂为</w:t>
      </w:r>
      <w:r>
        <w:rPr>
          <w:rFonts w:ascii="宋体" w:hAnsi="宋体" w:eastAsia="宋体" w:cs="宋体"/>
          <w:b/>
          <w:bCs/>
          <w:color w:val="auto"/>
          <w:sz w:val="21"/>
          <w:szCs w:val="21"/>
          <w:highlight w:val="none"/>
          <w:u w:val="single"/>
          <w:shd w:val="clear" w:fill="FFFFFF"/>
        </w:rPr>
        <w:t>（厂名）</w:t>
      </w:r>
      <w:r>
        <w:rPr>
          <w:rFonts w:ascii="宋体" w:hAnsi="宋体" w:eastAsia="宋体" w:cs="宋体"/>
          <w:b/>
          <w:bCs/>
          <w:color w:val="auto"/>
          <w:sz w:val="21"/>
          <w:szCs w:val="21"/>
          <w:highlight w:val="none"/>
          <w:shd w:val="clear" w:fill="FFFFFF"/>
        </w:rPr>
        <w:t>，厂址为</w:t>
      </w:r>
      <w:r>
        <w:rPr>
          <w:rFonts w:ascii="宋体" w:hAnsi="宋体" w:eastAsia="宋体" w:cs="宋体"/>
          <w:b/>
          <w:bCs/>
          <w:color w:val="auto"/>
          <w:sz w:val="21"/>
          <w:szCs w:val="21"/>
          <w:highlight w:val="none"/>
          <w:u w:val="single"/>
          <w:shd w:val="clear" w:fill="FFFFFF"/>
        </w:rPr>
        <w:t>（生产厂址）</w:t>
      </w:r>
      <w:r>
        <w:rPr>
          <w:rFonts w:ascii="宋体" w:hAnsi="宋体" w:eastAsia="宋体" w:cs="宋体"/>
          <w:b/>
          <w:bCs/>
          <w:color w:val="auto"/>
          <w:sz w:val="21"/>
          <w:szCs w:val="21"/>
          <w:highlight w:val="none"/>
          <w:shd w:val="clear" w:fill="FFFFFF"/>
        </w:rPr>
        <w:t>。</w:t>
      </w:r>
      <w:r>
        <w:rPr>
          <w:rFonts w:ascii="宋体" w:hAnsi="宋体" w:eastAsia="宋体" w:cs="宋体"/>
          <w:b/>
          <w:bCs/>
          <w:strike/>
          <w:dstrike w:val="0"/>
          <w:color w:val="auto"/>
          <w:sz w:val="21"/>
          <w:szCs w:val="21"/>
          <w:highlight w:val="none"/>
          <w:u w:val="single"/>
          <w:shd w:val="clear" w:fill="FFFFFF"/>
        </w:rPr>
        <w:t>（产品名称2）</w:t>
      </w:r>
      <w:r>
        <w:rPr>
          <w:rFonts w:ascii="宋体" w:hAnsi="宋体" w:eastAsia="宋体" w:cs="宋体"/>
          <w:b/>
          <w:bCs/>
          <w:color w:val="auto"/>
          <w:sz w:val="21"/>
          <w:szCs w:val="21"/>
          <w:highlight w:val="none"/>
          <w:shd w:val="clear" w:fill="FFFFFF"/>
        </w:rPr>
        <w:t>的中国境内生产的组件成本占比≥</w:t>
      </w:r>
      <w:r>
        <w:rPr>
          <w:rFonts w:ascii="宋体" w:hAnsi="宋体" w:eastAsia="宋体" w:cs="宋体"/>
          <w:b/>
          <w:bCs/>
          <w:strike/>
          <w:dstrike w:val="0"/>
          <w:color w:val="auto"/>
          <w:sz w:val="21"/>
          <w:szCs w:val="21"/>
          <w:highlight w:val="none"/>
          <w:u w:val="single"/>
          <w:shd w:val="clear" w:fill="FFFFFF"/>
        </w:rPr>
        <w:t>（规定比例）</w:t>
      </w:r>
      <w:r>
        <w:rPr>
          <w:rFonts w:ascii="宋体" w:hAnsi="宋体" w:eastAsia="宋体" w:cs="宋体"/>
          <w:b/>
          <w:bCs/>
          <w:color w:val="auto"/>
          <w:sz w:val="21"/>
          <w:szCs w:val="21"/>
          <w:highlight w:val="none"/>
          <w:shd w:val="clear" w:fill="FFFFFF"/>
        </w:rPr>
        <w:t>。</w:t>
      </w:r>
      <w:r>
        <w:rPr>
          <w:rFonts w:ascii="宋体" w:hAnsi="宋体" w:eastAsia="宋体" w:cs="宋体"/>
          <w:b/>
          <w:bCs/>
          <w:strike/>
          <w:dstrike w:val="0"/>
          <w:color w:val="auto"/>
          <w:sz w:val="21"/>
          <w:szCs w:val="21"/>
          <w:highlight w:val="none"/>
          <w:u w:val="single"/>
          <w:shd w:val="clear" w:fill="FFFFFF"/>
        </w:rPr>
        <w:t>（产品名称2）</w:t>
      </w:r>
      <w:r>
        <w:rPr>
          <w:rFonts w:ascii="宋体" w:hAnsi="宋体" w:eastAsia="宋体" w:cs="宋体"/>
          <w:b/>
          <w:bCs/>
          <w:color w:val="auto"/>
          <w:sz w:val="21"/>
          <w:szCs w:val="21"/>
          <w:highlight w:val="none"/>
          <w:shd w:val="clear" w:fill="FFFFFF"/>
        </w:rPr>
        <w:t>的</w:t>
      </w:r>
      <w:r>
        <w:rPr>
          <w:rFonts w:ascii="宋体" w:hAnsi="宋体" w:eastAsia="宋体" w:cs="宋体"/>
          <w:b/>
          <w:bCs/>
          <w:strike/>
          <w:dstrike w:val="0"/>
          <w:color w:val="auto"/>
          <w:sz w:val="21"/>
          <w:szCs w:val="21"/>
          <w:highlight w:val="none"/>
          <w:u w:val="single"/>
          <w:shd w:val="clear" w:fill="FFFFFF"/>
        </w:rPr>
        <w:t>（关键组件）</w:t>
      </w:r>
      <w:r>
        <w:rPr>
          <w:rFonts w:ascii="宋体" w:hAnsi="宋体" w:eastAsia="宋体" w:cs="宋体"/>
          <w:b/>
          <w:bCs/>
          <w:color w:val="auto"/>
          <w:sz w:val="21"/>
          <w:szCs w:val="21"/>
          <w:highlight w:val="none"/>
          <w:shd w:val="clear" w:fill="FFFFFF"/>
        </w:rPr>
        <w:t>在中国境内生产。</w:t>
      </w:r>
      <w:r>
        <w:rPr>
          <w:rFonts w:ascii="宋体" w:hAnsi="宋体" w:eastAsia="宋体" w:cs="宋体"/>
          <w:b/>
          <w:bCs/>
          <w:strike/>
          <w:dstrike w:val="0"/>
          <w:color w:val="auto"/>
          <w:sz w:val="21"/>
          <w:szCs w:val="21"/>
          <w:highlight w:val="none"/>
          <w:u w:val="single"/>
          <w:shd w:val="clear" w:fill="FFFFFF"/>
        </w:rPr>
        <w:t>（产品名称1）</w:t>
      </w:r>
      <w:r>
        <w:rPr>
          <w:rFonts w:ascii="宋体" w:hAnsi="宋体" w:eastAsia="宋体" w:cs="宋体"/>
          <w:b/>
          <w:bCs/>
          <w:color w:val="auto"/>
          <w:sz w:val="21"/>
          <w:szCs w:val="21"/>
          <w:highlight w:val="none"/>
          <w:shd w:val="clear" w:fill="FFFFFF"/>
        </w:rPr>
        <w:t>的</w:t>
      </w:r>
      <w:r>
        <w:rPr>
          <w:rFonts w:ascii="宋体" w:hAnsi="宋体" w:eastAsia="宋体" w:cs="宋体"/>
          <w:b/>
          <w:bCs/>
          <w:strike/>
          <w:dstrike w:val="0"/>
          <w:color w:val="auto"/>
          <w:sz w:val="21"/>
          <w:szCs w:val="21"/>
          <w:highlight w:val="none"/>
          <w:u w:val="single"/>
          <w:shd w:val="clear" w:fill="FFFFFF"/>
        </w:rPr>
        <w:t>（关键工序）</w:t>
      </w:r>
      <w:r>
        <w:rPr>
          <w:rFonts w:ascii="宋体" w:hAnsi="宋体" w:eastAsia="宋体" w:cs="宋体"/>
          <w:b/>
          <w:bCs/>
          <w:color w:val="auto"/>
          <w:sz w:val="21"/>
          <w:szCs w:val="21"/>
          <w:highlight w:val="none"/>
          <w:shd w:val="clear" w:fill="FFFFFF"/>
        </w:rPr>
        <w:t>在中国境内完成。</w:t>
      </w:r>
    </w:p>
    <w:p w14:paraId="1AF86075">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sz w:val="21"/>
          <w:szCs w:val="21"/>
          <w:highlight w:val="none"/>
        </w:rPr>
      </w:pPr>
      <w:r>
        <w:rPr>
          <w:rFonts w:ascii="宋体" w:hAnsi="宋体" w:eastAsia="宋体" w:cs="宋体"/>
          <w:b/>
          <w:bCs/>
          <w:color w:val="auto"/>
          <w:sz w:val="21"/>
          <w:szCs w:val="21"/>
          <w:highlight w:val="none"/>
          <w:shd w:val="clear" w:fill="FFFFFF"/>
        </w:rPr>
        <w:t>……</w:t>
      </w:r>
    </w:p>
    <w:p w14:paraId="2A966301">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sz w:val="21"/>
          <w:szCs w:val="21"/>
          <w:highlight w:val="none"/>
        </w:rPr>
      </w:pPr>
      <w:r>
        <w:rPr>
          <w:rFonts w:ascii="宋体" w:hAnsi="宋体" w:eastAsia="宋体" w:cs="宋体"/>
          <w:b/>
          <w:bCs/>
          <w:color w:val="auto"/>
          <w:sz w:val="21"/>
          <w:szCs w:val="21"/>
          <w:highlight w:val="none"/>
          <w:shd w:val="clear" w:fill="FFFFFF"/>
        </w:rPr>
        <w:t>本公司（单位）对上述声明内容的真实性负责。如有虚假，愿承担相应法律责任。</w:t>
      </w:r>
    </w:p>
    <w:p w14:paraId="135C8483">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1"/>
          <w:szCs w:val="21"/>
          <w:highlight w:val="none"/>
        </w:rPr>
      </w:pPr>
      <w:r>
        <w:rPr>
          <w:rFonts w:ascii="宋体" w:hAnsi="宋体" w:eastAsia="宋体" w:cs="宋体"/>
          <w:b/>
          <w:bCs/>
          <w:color w:val="auto"/>
          <w:sz w:val="21"/>
          <w:szCs w:val="21"/>
          <w:highlight w:val="none"/>
        </w:rPr>
        <w:t> </w:t>
      </w:r>
    </w:p>
    <w:p w14:paraId="4358DDBD">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both"/>
        <w:rPr>
          <w:b/>
          <w:bCs/>
          <w:color w:val="auto"/>
          <w:sz w:val="21"/>
          <w:szCs w:val="21"/>
          <w:highlight w:val="none"/>
        </w:rPr>
      </w:pPr>
      <w:r>
        <w:rPr>
          <w:rFonts w:ascii="宋体" w:hAnsi="宋体" w:eastAsia="宋体" w:cs="宋体"/>
          <w:b/>
          <w:bCs/>
          <w:color w:val="auto"/>
          <w:sz w:val="21"/>
          <w:szCs w:val="21"/>
          <w:highlight w:val="none"/>
          <w:shd w:val="clear" w:fill="FFFFFF"/>
        </w:rPr>
        <w:t>公司（单位）名称（盖章）：　</w:t>
      </w:r>
    </w:p>
    <w:p w14:paraId="640850ED">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b/>
          <w:bCs/>
          <w:color w:val="auto"/>
          <w:sz w:val="21"/>
          <w:szCs w:val="21"/>
          <w:highlight w:val="none"/>
        </w:rPr>
      </w:pPr>
      <w:r>
        <w:rPr>
          <w:rFonts w:ascii="宋体" w:hAnsi="宋体" w:eastAsia="宋体" w:cs="宋体"/>
          <w:b/>
          <w:bCs/>
          <w:color w:val="auto"/>
          <w:sz w:val="21"/>
          <w:szCs w:val="21"/>
          <w:highlight w:val="none"/>
          <w:shd w:val="clear" w:fill="FFFFFF"/>
        </w:rPr>
        <w:t>                            日期：　   年　  月　  日</w:t>
      </w:r>
    </w:p>
    <w:p w14:paraId="299E19BC">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1"/>
          <w:szCs w:val="21"/>
          <w:highlight w:val="none"/>
        </w:rPr>
      </w:pPr>
      <w:r>
        <w:rPr>
          <w:rFonts w:ascii="宋体" w:hAnsi="宋体" w:eastAsia="宋体" w:cs="宋体"/>
          <w:b/>
          <w:bCs/>
          <w:color w:val="auto"/>
          <w:sz w:val="21"/>
          <w:szCs w:val="21"/>
          <w:highlight w:val="none"/>
          <w:shd w:val="clear" w:fill="FFFFFF"/>
        </w:rPr>
        <w:t>__________________</w:t>
      </w:r>
    </w:p>
    <w:p w14:paraId="32BD1DBF">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1"/>
          <w:szCs w:val="21"/>
          <w:highlight w:val="none"/>
        </w:rPr>
      </w:pPr>
      <w:r>
        <w:rPr>
          <w:rFonts w:ascii="宋体" w:hAnsi="宋体" w:eastAsia="宋体" w:cs="宋体"/>
          <w:b/>
          <w:bCs/>
          <w:color w:val="auto"/>
          <w:sz w:val="21"/>
          <w:szCs w:val="21"/>
          <w:highlight w:val="none"/>
          <w:shd w:val="clear" w:fill="FFFFFF"/>
        </w:rPr>
        <w:t>1.产品如有型号，请在“产品名称”栏一并填写。</w:t>
      </w:r>
    </w:p>
    <w:p w14:paraId="4EEBF379">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1"/>
          <w:szCs w:val="21"/>
          <w:highlight w:val="none"/>
        </w:rPr>
      </w:pPr>
      <w:r>
        <w:rPr>
          <w:rFonts w:ascii="宋体" w:hAnsi="宋体" w:eastAsia="宋体" w:cs="宋体"/>
          <w:b/>
          <w:bCs/>
          <w:color w:val="auto"/>
          <w:sz w:val="21"/>
          <w:szCs w:val="21"/>
          <w:highlight w:val="none"/>
          <w:shd w:val="clear" w:fill="FFFFFF"/>
        </w:rPr>
        <w:t>2.生产厂名与厂址应与生产厂营业执照载明的相关信息保持一致。</w:t>
      </w:r>
    </w:p>
    <w:p w14:paraId="75EC5C74">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1"/>
          <w:szCs w:val="21"/>
          <w:highlight w:val="none"/>
        </w:rPr>
      </w:pPr>
      <w:r>
        <w:rPr>
          <w:rFonts w:ascii="宋体" w:hAnsi="宋体" w:eastAsia="宋体" w:cs="宋体"/>
          <w:b/>
          <w:bCs/>
          <w:color w:val="auto"/>
          <w:sz w:val="21"/>
          <w:szCs w:val="21"/>
          <w:highlight w:val="none"/>
          <w:shd w:val="clear" w:fill="FFFFFF"/>
        </w:rPr>
        <w:t>3.该产品的中国境内生产的组件成本占比相关要求实施前，“规定比例”栏可不填，下同。</w:t>
      </w:r>
    </w:p>
    <w:p w14:paraId="121DA6EA">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1"/>
          <w:szCs w:val="21"/>
          <w:highlight w:val="none"/>
        </w:rPr>
      </w:pPr>
      <w:r>
        <w:rPr>
          <w:rFonts w:ascii="宋体" w:hAnsi="宋体" w:eastAsia="宋体" w:cs="宋体"/>
          <w:b/>
          <w:bCs/>
          <w:color w:val="auto"/>
          <w:sz w:val="21"/>
          <w:szCs w:val="21"/>
          <w:highlight w:val="none"/>
          <w:shd w:val="clear" w:fill="FFFFFF"/>
        </w:rPr>
        <w:t>4.该产品的关键组件要求实施前，“关键组件”栏可不填，下同。</w:t>
      </w:r>
    </w:p>
    <w:p w14:paraId="09F5610F">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1"/>
          <w:szCs w:val="21"/>
          <w:highlight w:val="none"/>
        </w:rPr>
      </w:pPr>
      <w:r>
        <w:rPr>
          <w:rFonts w:ascii="宋体" w:hAnsi="宋体" w:eastAsia="宋体" w:cs="宋体"/>
          <w:b/>
          <w:bCs/>
          <w:color w:val="auto"/>
          <w:sz w:val="21"/>
          <w:szCs w:val="21"/>
          <w:highlight w:val="none"/>
          <w:shd w:val="clear" w:fill="FFFFFF"/>
        </w:rPr>
        <w:t>5.该产品的关键工序要求实施前，“关键工序”栏可不填，下同。</w:t>
      </w:r>
    </w:p>
    <w:p w14:paraId="4115A806">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auto"/>
          <w:sz w:val="21"/>
          <w:szCs w:val="21"/>
          <w:highlight w:val="none"/>
          <w:shd w:val="clear" w:fill="FFFFFF"/>
        </w:rPr>
      </w:pPr>
      <w:r>
        <w:rPr>
          <w:rFonts w:ascii="宋体" w:hAnsi="宋体" w:eastAsia="宋体" w:cs="宋体"/>
          <w:b/>
          <w:bCs/>
          <w:color w:val="auto"/>
          <w:sz w:val="21"/>
          <w:szCs w:val="21"/>
          <w:highlight w:val="none"/>
          <w:shd w:val="clear" w:fill="FFFFFF"/>
        </w:rPr>
        <w:t>6.用</w:t>
      </w:r>
      <w:r>
        <w:rPr>
          <w:rFonts w:hint="eastAsia" w:ascii="宋体" w:hAnsi="宋体" w:eastAsia="宋体" w:cs="宋体"/>
          <w:b/>
          <w:bCs/>
          <w:color w:val="auto"/>
          <w:sz w:val="21"/>
          <w:szCs w:val="21"/>
          <w:highlight w:val="none"/>
          <w:shd w:val="clear" w:fill="FFFFFF"/>
          <w:lang w:val="en-US" w:eastAsia="zh-CN"/>
        </w:rPr>
        <w:t>横</w:t>
      </w:r>
      <w:r>
        <w:rPr>
          <w:rFonts w:ascii="宋体" w:hAnsi="宋体" w:eastAsia="宋体" w:cs="宋体"/>
          <w:b/>
          <w:bCs/>
          <w:color w:val="auto"/>
          <w:sz w:val="21"/>
          <w:szCs w:val="21"/>
          <w:highlight w:val="none"/>
          <w:shd w:val="clear" w:fill="FFFFFF"/>
        </w:rPr>
        <w:t>线划除的地方无需填写。</w:t>
      </w:r>
    </w:p>
    <w:p w14:paraId="7093BFF6">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1"/>
          <w:szCs w:val="21"/>
          <w:highlight w:val="none"/>
          <w:shd w:val="clear" w:fill="FFFFFF"/>
          <w:lang w:val="en-US" w:eastAsia="zh-CN"/>
        </w:rPr>
        <w:t>备注：</w:t>
      </w:r>
      <w:r>
        <w:rPr>
          <w:rFonts w:hint="eastAsia" w:ascii="宋体" w:hAnsi="宋体" w:eastAsia="宋体" w:cs="宋体"/>
          <w:b/>
          <w:bCs/>
          <w:color w:val="auto"/>
          <w:kern w:val="0"/>
          <w:sz w:val="21"/>
          <w:szCs w:val="21"/>
          <w:highlight w:val="none"/>
          <w:lang w:val="en-US" w:eastAsia="zh-CN" w:bidi="ar-SA"/>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kern w:val="0"/>
          <w:sz w:val="21"/>
          <w:szCs w:val="21"/>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6DF16BF3">
      <w:pPr>
        <w:jc w:val="both"/>
        <w:rPr>
          <w:rFonts w:hint="eastAsia" w:asciiTheme="minorEastAsia" w:hAnsiTheme="minorEastAsia" w:eastAsiaTheme="minorEastAsia" w:cstheme="minorEastAsia"/>
          <w:b/>
          <w:color w:val="auto"/>
          <w:sz w:val="24"/>
          <w:szCs w:val="24"/>
          <w:highlight w:val="none"/>
        </w:rPr>
      </w:pPr>
    </w:p>
    <w:p w14:paraId="66ADD49C">
      <w:pPr>
        <w:spacing w:line="241" w:lineRule="auto"/>
        <w:rPr>
          <w:rFonts w:ascii="Arial"/>
          <w:color w:val="auto"/>
          <w:sz w:val="21"/>
          <w:highlight w:val="none"/>
        </w:rPr>
      </w:pPr>
    </w:p>
    <w:p w14:paraId="4FFCD169">
      <w:pPr>
        <w:spacing w:line="241" w:lineRule="auto"/>
        <w:rPr>
          <w:rFonts w:ascii="Arial"/>
          <w:color w:val="auto"/>
          <w:sz w:val="21"/>
          <w:highlight w:val="none"/>
        </w:rPr>
      </w:pPr>
    </w:p>
    <w:p w14:paraId="7F6D3755">
      <w:pPr>
        <w:pStyle w:val="29"/>
        <w:spacing w:beforeAutospacing="0" w:afterAutospacing="0" w:line="0" w:lineRule="atLeast"/>
        <w:jc w:val="center"/>
        <w:rPr>
          <w:color w:val="auto"/>
          <w:highlight w:val="none"/>
        </w:rPr>
      </w:pPr>
      <w:r>
        <w:rPr>
          <w:color w:val="auto"/>
          <w:highlight w:val="none"/>
        </w:rPr>
        <w:t> </w:t>
      </w:r>
    </w:p>
    <w:p w14:paraId="351E09FA">
      <w:pPr>
        <w:pStyle w:val="29"/>
        <w:spacing w:beforeAutospacing="0" w:afterAutospacing="0" w:line="0" w:lineRule="atLeast"/>
        <w:jc w:val="center"/>
        <w:rPr>
          <w:color w:val="auto"/>
          <w:highlight w:val="none"/>
        </w:rPr>
      </w:pPr>
    </w:p>
    <w:p w14:paraId="736F2348">
      <w:pPr>
        <w:pStyle w:val="29"/>
        <w:spacing w:beforeAutospacing="0" w:afterAutospacing="0" w:line="0" w:lineRule="atLeast"/>
        <w:jc w:val="center"/>
        <w:rPr>
          <w:color w:val="auto"/>
          <w:highlight w:val="none"/>
        </w:rPr>
      </w:pPr>
    </w:p>
    <w:p w14:paraId="57819F76">
      <w:pPr>
        <w:jc w:val="center"/>
        <w:rPr>
          <w:rFonts w:hint="eastAsia" w:asciiTheme="minorEastAsia" w:hAnsiTheme="minorEastAsia" w:eastAsiaTheme="minorEastAsia" w:cstheme="minorEastAsia"/>
          <w:b/>
          <w:color w:val="auto"/>
          <w:sz w:val="24"/>
          <w:szCs w:val="24"/>
          <w:highlight w:val="none"/>
        </w:rPr>
      </w:pPr>
    </w:p>
    <w:p w14:paraId="7E203E67">
      <w:pPr>
        <w:spacing w:line="241" w:lineRule="auto"/>
        <w:rPr>
          <w:rFonts w:ascii="Arial"/>
          <w:color w:val="auto"/>
          <w:sz w:val="21"/>
          <w:highlight w:val="none"/>
        </w:rPr>
      </w:pPr>
    </w:p>
    <w:p w14:paraId="56755733">
      <w:pPr>
        <w:pStyle w:val="39"/>
        <w:rPr>
          <w:rFonts w:ascii="Arial"/>
          <w:color w:val="auto"/>
          <w:sz w:val="21"/>
          <w:highlight w:val="none"/>
        </w:rPr>
      </w:pPr>
    </w:p>
    <w:p w14:paraId="4FAA6AA0">
      <w:pPr>
        <w:rPr>
          <w:rFonts w:ascii="Arial"/>
          <w:color w:val="auto"/>
          <w:sz w:val="21"/>
          <w:highlight w:val="none"/>
        </w:rPr>
      </w:pPr>
    </w:p>
    <w:p w14:paraId="22CA86CC">
      <w:pPr>
        <w:pStyle w:val="39"/>
        <w:rPr>
          <w:rFonts w:ascii="Arial"/>
          <w:color w:val="auto"/>
          <w:sz w:val="21"/>
          <w:highlight w:val="none"/>
        </w:rPr>
      </w:pPr>
    </w:p>
    <w:p w14:paraId="3C6783E3">
      <w:pPr>
        <w:rPr>
          <w:rFonts w:ascii="Arial"/>
          <w:color w:val="auto"/>
          <w:sz w:val="21"/>
          <w:highlight w:val="none"/>
        </w:rPr>
      </w:pPr>
    </w:p>
    <w:p w14:paraId="48CBB93E">
      <w:pPr>
        <w:rPr>
          <w:rFonts w:ascii="Arial"/>
          <w:color w:val="auto"/>
          <w:sz w:val="21"/>
          <w:highlight w:val="none"/>
        </w:rPr>
      </w:pPr>
    </w:p>
    <w:p w14:paraId="6055839A">
      <w:pPr>
        <w:rPr>
          <w:rFonts w:ascii="Arial"/>
          <w:color w:val="auto"/>
          <w:sz w:val="21"/>
          <w:highlight w:val="none"/>
        </w:rPr>
      </w:pPr>
    </w:p>
    <w:p w14:paraId="20784A62">
      <w:pPr>
        <w:rPr>
          <w:rFonts w:ascii="Arial"/>
          <w:color w:val="auto"/>
          <w:sz w:val="21"/>
          <w:highlight w:val="none"/>
        </w:rPr>
      </w:pPr>
    </w:p>
    <w:p w14:paraId="53CA283B">
      <w:pPr>
        <w:rPr>
          <w:rFonts w:ascii="Arial"/>
          <w:color w:val="auto"/>
          <w:sz w:val="21"/>
          <w:highlight w:val="none"/>
        </w:rPr>
      </w:pPr>
    </w:p>
    <w:p w14:paraId="18B4E8D0">
      <w:pPr>
        <w:rPr>
          <w:rFonts w:ascii="Arial"/>
          <w:color w:val="auto"/>
          <w:sz w:val="21"/>
          <w:highlight w:val="none"/>
        </w:rPr>
      </w:pPr>
    </w:p>
    <w:p w14:paraId="5228B202">
      <w:pPr>
        <w:rPr>
          <w:rFonts w:ascii="Arial"/>
          <w:color w:val="auto"/>
          <w:sz w:val="21"/>
          <w:highlight w:val="none"/>
        </w:rPr>
      </w:pPr>
    </w:p>
    <w:p w14:paraId="637BE67C">
      <w:pPr>
        <w:rPr>
          <w:rFonts w:ascii="Arial"/>
          <w:color w:val="auto"/>
          <w:sz w:val="21"/>
          <w:highlight w:val="none"/>
        </w:rPr>
      </w:pPr>
    </w:p>
    <w:p w14:paraId="3299405D">
      <w:pPr>
        <w:rPr>
          <w:rFonts w:ascii="Arial"/>
          <w:color w:val="auto"/>
          <w:sz w:val="21"/>
          <w:highlight w:val="none"/>
        </w:rPr>
      </w:pPr>
    </w:p>
    <w:p w14:paraId="4FDE0324">
      <w:pPr>
        <w:pStyle w:val="29"/>
        <w:spacing w:beforeAutospacing="0" w:afterAutospacing="0" w:line="0" w:lineRule="atLeast"/>
        <w:jc w:val="both"/>
        <w:rPr>
          <w:color w:val="auto"/>
          <w:highlight w:val="none"/>
        </w:rPr>
      </w:pPr>
    </w:p>
    <w:p w14:paraId="31B5B504">
      <w:pPr>
        <w:pStyle w:val="208"/>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三</w:t>
      </w:r>
      <w:r>
        <w:rPr>
          <w:rFonts w:hint="eastAsia" w:ascii="黑体" w:hAnsi="宋体" w:eastAsia="黑体" w:cs="黑体"/>
          <w:b/>
          <w:color w:val="auto"/>
          <w:sz w:val="32"/>
          <w:szCs w:val="32"/>
          <w:highlight w:val="none"/>
        </w:rPr>
        <w:t>、</w:t>
      </w:r>
      <w:bookmarkStart w:id="224" w:name="OLE_LINK22"/>
      <w:r>
        <w:rPr>
          <w:rFonts w:hint="eastAsia" w:ascii="黑体" w:hAnsi="宋体" w:eastAsia="黑体" w:cs="黑体"/>
          <w:b/>
          <w:color w:val="auto"/>
          <w:sz w:val="32"/>
          <w:szCs w:val="32"/>
          <w:highlight w:val="none"/>
        </w:rPr>
        <w:t>投标分项报价表（分包号：***）</w:t>
      </w:r>
    </w:p>
    <w:tbl>
      <w:tblPr>
        <w:tblStyle w:val="31"/>
        <w:tblW w:w="8517" w:type="dxa"/>
        <w:tblCellSpacing w:w="0" w:type="dxa"/>
        <w:tblInd w:w="10" w:type="dxa"/>
        <w:tblLayout w:type="fixed"/>
        <w:tblCellMar>
          <w:top w:w="0" w:type="dxa"/>
          <w:left w:w="108" w:type="dxa"/>
          <w:bottom w:w="0" w:type="dxa"/>
          <w:right w:w="108" w:type="dxa"/>
        </w:tblCellMar>
      </w:tblPr>
      <w:tblGrid>
        <w:gridCol w:w="546"/>
        <w:gridCol w:w="996"/>
        <w:gridCol w:w="905"/>
        <w:gridCol w:w="1298"/>
        <w:gridCol w:w="746"/>
        <w:gridCol w:w="918"/>
        <w:gridCol w:w="696"/>
        <w:gridCol w:w="1261"/>
        <w:gridCol w:w="1151"/>
      </w:tblGrid>
      <w:tr w14:paraId="111111E6">
        <w:tblPrEx>
          <w:tblCellMar>
            <w:top w:w="0" w:type="dxa"/>
            <w:left w:w="108" w:type="dxa"/>
            <w:bottom w:w="0" w:type="dxa"/>
            <w:right w:w="108" w:type="dxa"/>
          </w:tblCellMar>
        </w:tblPrEx>
        <w:trPr>
          <w:trHeight w:val="54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74467">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序号</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DA5A0">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1</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BAF5D">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2</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447CF">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3</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8F11B">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4</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2E092">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5</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2B1C6">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6</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3D3B7">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7</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60587">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8</w:t>
            </w:r>
          </w:p>
        </w:tc>
      </w:tr>
      <w:tr w14:paraId="27ADE9B5">
        <w:tblPrEx>
          <w:tblCellMar>
            <w:top w:w="0" w:type="dxa"/>
            <w:left w:w="108" w:type="dxa"/>
            <w:bottom w:w="0" w:type="dxa"/>
            <w:right w:w="108" w:type="dxa"/>
          </w:tblCellMar>
        </w:tblPrEx>
        <w:trPr>
          <w:trHeight w:val="29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A9D06">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1</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2DE02">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产品</w:t>
            </w:r>
          </w:p>
          <w:p w14:paraId="7310186B">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名称</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01957">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品牌</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7E7FE">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型号</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CAADB">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产地</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EDEF5">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交付期</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44502">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数量</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65604">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分项单价</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65ECE">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分项总价</w:t>
            </w:r>
          </w:p>
        </w:tc>
      </w:tr>
      <w:tr w14:paraId="01FD240C">
        <w:tblPrEx>
          <w:tblCellMar>
            <w:top w:w="0" w:type="dxa"/>
            <w:left w:w="108" w:type="dxa"/>
            <w:bottom w:w="0" w:type="dxa"/>
            <w:right w:w="108" w:type="dxa"/>
          </w:tblCellMar>
        </w:tblPrEx>
        <w:trPr>
          <w:trHeight w:val="696"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7B5EF">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2</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DAC03">
            <w:pPr>
              <w:pStyle w:val="29"/>
              <w:spacing w:beforeAutospacing="0" w:afterAutospacing="0" w:line="0" w:lineRule="atLeast"/>
              <w:jc w:val="both"/>
              <w:rPr>
                <w:color w:val="auto"/>
                <w:highlight w:val="none"/>
              </w:rPr>
            </w:pPr>
            <w:r>
              <w:rPr>
                <w:color w:val="auto"/>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FF62C">
            <w:pPr>
              <w:pStyle w:val="29"/>
              <w:spacing w:beforeAutospacing="0" w:afterAutospacing="0" w:line="0" w:lineRule="atLeast"/>
              <w:jc w:val="both"/>
              <w:rPr>
                <w:color w:val="auto"/>
                <w:highlight w:val="none"/>
              </w:rPr>
            </w:pPr>
            <w:r>
              <w:rPr>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B32F3">
            <w:pPr>
              <w:pStyle w:val="29"/>
              <w:spacing w:beforeAutospacing="0" w:afterAutospacing="0" w:line="0" w:lineRule="atLeast"/>
              <w:jc w:val="both"/>
              <w:rPr>
                <w:color w:val="auto"/>
                <w:highlight w:val="none"/>
              </w:rPr>
            </w:pPr>
            <w:r>
              <w:rPr>
                <w:color w:val="auto"/>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FCDBB">
            <w:pPr>
              <w:pStyle w:val="29"/>
              <w:spacing w:beforeAutospacing="0" w:afterAutospacing="0" w:line="0" w:lineRule="atLeast"/>
              <w:jc w:val="both"/>
              <w:rPr>
                <w:color w:val="auto"/>
                <w:highlight w:val="none"/>
              </w:rPr>
            </w:pPr>
            <w:r>
              <w:rPr>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F9479">
            <w:pPr>
              <w:pStyle w:val="29"/>
              <w:spacing w:beforeAutospacing="0" w:afterAutospacing="0" w:line="0" w:lineRule="atLeast"/>
              <w:jc w:val="both"/>
              <w:rPr>
                <w:color w:val="auto"/>
                <w:highlight w:val="none"/>
              </w:rPr>
            </w:pPr>
            <w:r>
              <w:rPr>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5DCC6">
            <w:pPr>
              <w:pStyle w:val="29"/>
              <w:spacing w:beforeAutospacing="0" w:afterAutospacing="0" w:line="0" w:lineRule="atLeast"/>
              <w:jc w:val="both"/>
              <w:rPr>
                <w:color w:val="auto"/>
                <w:highlight w:val="none"/>
              </w:rPr>
            </w:pPr>
            <w:r>
              <w:rPr>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82109">
            <w:pPr>
              <w:pStyle w:val="29"/>
              <w:spacing w:beforeAutospacing="0" w:afterAutospacing="0" w:line="0" w:lineRule="atLeast"/>
              <w:jc w:val="both"/>
              <w:rPr>
                <w:color w:val="auto"/>
                <w:highlight w:val="none"/>
              </w:rPr>
            </w:pPr>
            <w:r>
              <w:rPr>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F3784">
            <w:pPr>
              <w:pStyle w:val="29"/>
              <w:spacing w:beforeAutospacing="0" w:afterAutospacing="0" w:line="0" w:lineRule="atLeast"/>
              <w:jc w:val="both"/>
              <w:rPr>
                <w:color w:val="auto"/>
                <w:highlight w:val="none"/>
              </w:rPr>
            </w:pPr>
            <w:r>
              <w:rPr>
                <w:color w:val="auto"/>
                <w:highlight w:val="none"/>
              </w:rPr>
              <w:t> </w:t>
            </w:r>
          </w:p>
        </w:tc>
      </w:tr>
      <w:tr w14:paraId="071C518E">
        <w:tblPrEx>
          <w:tblCellMar>
            <w:top w:w="0" w:type="dxa"/>
            <w:left w:w="108" w:type="dxa"/>
            <w:bottom w:w="0" w:type="dxa"/>
            <w:right w:w="108" w:type="dxa"/>
          </w:tblCellMar>
        </w:tblPrEx>
        <w:trPr>
          <w:trHeight w:val="72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D69BE">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3</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35B05">
            <w:pPr>
              <w:pStyle w:val="29"/>
              <w:spacing w:beforeAutospacing="0" w:afterAutospacing="0" w:line="0" w:lineRule="atLeast"/>
              <w:jc w:val="both"/>
              <w:rPr>
                <w:color w:val="auto"/>
                <w:highlight w:val="none"/>
              </w:rPr>
            </w:pPr>
            <w:r>
              <w:rPr>
                <w:color w:val="auto"/>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2AD3E">
            <w:pPr>
              <w:pStyle w:val="29"/>
              <w:spacing w:beforeAutospacing="0" w:afterAutospacing="0" w:line="0" w:lineRule="atLeast"/>
              <w:jc w:val="both"/>
              <w:rPr>
                <w:color w:val="auto"/>
                <w:highlight w:val="none"/>
              </w:rPr>
            </w:pPr>
            <w:r>
              <w:rPr>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711E5">
            <w:pPr>
              <w:pStyle w:val="29"/>
              <w:spacing w:beforeAutospacing="0" w:afterAutospacing="0" w:line="0" w:lineRule="atLeast"/>
              <w:jc w:val="both"/>
              <w:rPr>
                <w:color w:val="auto"/>
                <w:highlight w:val="none"/>
              </w:rPr>
            </w:pPr>
            <w:r>
              <w:rPr>
                <w:color w:val="auto"/>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A0F08">
            <w:pPr>
              <w:pStyle w:val="29"/>
              <w:spacing w:beforeAutospacing="0" w:afterAutospacing="0" w:line="0" w:lineRule="atLeast"/>
              <w:jc w:val="both"/>
              <w:rPr>
                <w:color w:val="auto"/>
                <w:highlight w:val="none"/>
              </w:rPr>
            </w:pPr>
            <w:r>
              <w:rPr>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C0DBB">
            <w:pPr>
              <w:pStyle w:val="29"/>
              <w:spacing w:beforeAutospacing="0" w:afterAutospacing="0" w:line="0" w:lineRule="atLeast"/>
              <w:jc w:val="both"/>
              <w:rPr>
                <w:color w:val="auto"/>
                <w:highlight w:val="none"/>
              </w:rPr>
            </w:pPr>
            <w:r>
              <w:rPr>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49232">
            <w:pPr>
              <w:pStyle w:val="29"/>
              <w:spacing w:beforeAutospacing="0" w:afterAutospacing="0" w:line="0" w:lineRule="atLeast"/>
              <w:jc w:val="both"/>
              <w:rPr>
                <w:color w:val="auto"/>
                <w:highlight w:val="none"/>
              </w:rPr>
            </w:pPr>
            <w:r>
              <w:rPr>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9D9D5">
            <w:pPr>
              <w:pStyle w:val="29"/>
              <w:spacing w:beforeAutospacing="0" w:afterAutospacing="0" w:line="0" w:lineRule="atLeast"/>
              <w:jc w:val="both"/>
              <w:rPr>
                <w:color w:val="auto"/>
                <w:highlight w:val="none"/>
              </w:rPr>
            </w:pPr>
            <w:r>
              <w:rPr>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EE585">
            <w:pPr>
              <w:pStyle w:val="29"/>
              <w:spacing w:beforeAutospacing="0" w:afterAutospacing="0" w:line="0" w:lineRule="atLeast"/>
              <w:jc w:val="both"/>
              <w:rPr>
                <w:color w:val="auto"/>
                <w:highlight w:val="none"/>
              </w:rPr>
            </w:pPr>
            <w:r>
              <w:rPr>
                <w:color w:val="auto"/>
                <w:highlight w:val="none"/>
              </w:rPr>
              <w:t> </w:t>
            </w:r>
          </w:p>
        </w:tc>
      </w:tr>
      <w:tr w14:paraId="2968EF01">
        <w:tblPrEx>
          <w:tblCellMar>
            <w:top w:w="0" w:type="dxa"/>
            <w:left w:w="108" w:type="dxa"/>
            <w:bottom w:w="0" w:type="dxa"/>
            <w:right w:w="108" w:type="dxa"/>
          </w:tblCellMar>
        </w:tblPrEx>
        <w:trPr>
          <w:trHeight w:val="64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67915">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4</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2627C">
            <w:pPr>
              <w:pStyle w:val="29"/>
              <w:spacing w:beforeAutospacing="0" w:afterAutospacing="0" w:line="0" w:lineRule="atLeast"/>
              <w:jc w:val="both"/>
              <w:rPr>
                <w:color w:val="auto"/>
                <w:highlight w:val="none"/>
              </w:rPr>
            </w:pPr>
            <w:r>
              <w:rPr>
                <w:color w:val="auto"/>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CA845">
            <w:pPr>
              <w:pStyle w:val="29"/>
              <w:spacing w:beforeAutospacing="0" w:afterAutospacing="0" w:line="0" w:lineRule="atLeast"/>
              <w:jc w:val="both"/>
              <w:rPr>
                <w:color w:val="auto"/>
                <w:highlight w:val="none"/>
              </w:rPr>
            </w:pPr>
            <w:r>
              <w:rPr>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F4084">
            <w:pPr>
              <w:pStyle w:val="29"/>
              <w:spacing w:beforeAutospacing="0" w:afterAutospacing="0" w:line="0" w:lineRule="atLeast"/>
              <w:jc w:val="both"/>
              <w:rPr>
                <w:color w:val="auto"/>
                <w:highlight w:val="none"/>
              </w:rPr>
            </w:pPr>
            <w:r>
              <w:rPr>
                <w:color w:val="auto"/>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5AE3C">
            <w:pPr>
              <w:pStyle w:val="29"/>
              <w:spacing w:beforeAutospacing="0" w:afterAutospacing="0" w:line="0" w:lineRule="atLeast"/>
              <w:jc w:val="both"/>
              <w:rPr>
                <w:color w:val="auto"/>
                <w:highlight w:val="none"/>
              </w:rPr>
            </w:pPr>
            <w:r>
              <w:rPr>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884DD">
            <w:pPr>
              <w:pStyle w:val="29"/>
              <w:spacing w:beforeAutospacing="0" w:afterAutospacing="0" w:line="0" w:lineRule="atLeast"/>
              <w:jc w:val="both"/>
              <w:rPr>
                <w:color w:val="auto"/>
                <w:highlight w:val="none"/>
              </w:rPr>
            </w:pPr>
            <w:r>
              <w:rPr>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F4F4B">
            <w:pPr>
              <w:pStyle w:val="29"/>
              <w:spacing w:beforeAutospacing="0" w:afterAutospacing="0" w:line="0" w:lineRule="atLeast"/>
              <w:jc w:val="both"/>
              <w:rPr>
                <w:color w:val="auto"/>
                <w:highlight w:val="none"/>
              </w:rPr>
            </w:pPr>
            <w:r>
              <w:rPr>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74397">
            <w:pPr>
              <w:pStyle w:val="29"/>
              <w:spacing w:beforeAutospacing="0" w:afterAutospacing="0" w:line="0" w:lineRule="atLeast"/>
              <w:jc w:val="both"/>
              <w:rPr>
                <w:color w:val="auto"/>
                <w:highlight w:val="none"/>
              </w:rPr>
            </w:pPr>
            <w:r>
              <w:rPr>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4DA03">
            <w:pPr>
              <w:pStyle w:val="29"/>
              <w:spacing w:beforeAutospacing="0" w:afterAutospacing="0" w:line="0" w:lineRule="atLeast"/>
              <w:jc w:val="both"/>
              <w:rPr>
                <w:color w:val="auto"/>
                <w:highlight w:val="none"/>
              </w:rPr>
            </w:pPr>
            <w:r>
              <w:rPr>
                <w:color w:val="auto"/>
                <w:highlight w:val="none"/>
              </w:rPr>
              <w:t> </w:t>
            </w:r>
          </w:p>
        </w:tc>
      </w:tr>
      <w:tr w14:paraId="34C7AB60">
        <w:tblPrEx>
          <w:tblCellMar>
            <w:top w:w="0" w:type="dxa"/>
            <w:left w:w="108" w:type="dxa"/>
            <w:bottom w:w="0" w:type="dxa"/>
            <w:right w:w="108" w:type="dxa"/>
          </w:tblCellMar>
        </w:tblPrEx>
        <w:trPr>
          <w:trHeight w:val="58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792CC">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A5352">
            <w:pPr>
              <w:pStyle w:val="29"/>
              <w:spacing w:beforeAutospacing="0" w:afterAutospacing="0" w:line="0" w:lineRule="atLeast"/>
              <w:jc w:val="both"/>
              <w:rPr>
                <w:color w:val="auto"/>
                <w:highlight w:val="none"/>
              </w:rPr>
            </w:pPr>
            <w:r>
              <w:rPr>
                <w:rFonts w:hint="eastAsia" w:ascii="宋体" w:hAnsi="宋体" w:eastAsia="宋体" w:cs="宋体"/>
                <w:color w:val="auto"/>
                <w:highlight w:val="none"/>
              </w:rPr>
              <w:t>……</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F286E">
            <w:pPr>
              <w:pStyle w:val="29"/>
              <w:spacing w:beforeAutospacing="0" w:afterAutospacing="0" w:line="0" w:lineRule="atLeast"/>
              <w:jc w:val="both"/>
              <w:rPr>
                <w:color w:val="auto"/>
                <w:highlight w:val="none"/>
              </w:rPr>
            </w:pPr>
            <w:r>
              <w:rPr>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F4AF5">
            <w:pPr>
              <w:pStyle w:val="29"/>
              <w:spacing w:beforeAutospacing="0" w:afterAutospacing="0" w:line="0" w:lineRule="atLeast"/>
              <w:jc w:val="both"/>
              <w:rPr>
                <w:color w:val="auto"/>
                <w:highlight w:val="none"/>
              </w:rPr>
            </w:pPr>
            <w:r>
              <w:rPr>
                <w:color w:val="auto"/>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4D5E8">
            <w:pPr>
              <w:pStyle w:val="29"/>
              <w:spacing w:beforeAutospacing="0" w:afterAutospacing="0" w:line="0" w:lineRule="atLeast"/>
              <w:jc w:val="both"/>
              <w:rPr>
                <w:color w:val="auto"/>
                <w:highlight w:val="none"/>
              </w:rPr>
            </w:pPr>
            <w:r>
              <w:rPr>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D1383">
            <w:pPr>
              <w:pStyle w:val="29"/>
              <w:spacing w:beforeAutospacing="0" w:afterAutospacing="0" w:line="0" w:lineRule="atLeast"/>
              <w:jc w:val="both"/>
              <w:rPr>
                <w:color w:val="auto"/>
                <w:highlight w:val="none"/>
              </w:rPr>
            </w:pPr>
            <w:r>
              <w:rPr>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F4A3F">
            <w:pPr>
              <w:pStyle w:val="29"/>
              <w:spacing w:beforeAutospacing="0" w:afterAutospacing="0" w:line="0" w:lineRule="atLeast"/>
              <w:jc w:val="both"/>
              <w:rPr>
                <w:color w:val="auto"/>
                <w:highlight w:val="none"/>
              </w:rPr>
            </w:pPr>
            <w:r>
              <w:rPr>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ED945">
            <w:pPr>
              <w:pStyle w:val="29"/>
              <w:spacing w:beforeAutospacing="0" w:afterAutospacing="0" w:line="0" w:lineRule="atLeast"/>
              <w:jc w:val="both"/>
              <w:rPr>
                <w:color w:val="auto"/>
                <w:highlight w:val="none"/>
              </w:rPr>
            </w:pPr>
            <w:r>
              <w:rPr>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46ECB">
            <w:pPr>
              <w:pStyle w:val="29"/>
              <w:spacing w:beforeAutospacing="0" w:afterAutospacing="0" w:line="0" w:lineRule="atLeast"/>
              <w:jc w:val="both"/>
              <w:rPr>
                <w:color w:val="auto"/>
                <w:highlight w:val="none"/>
              </w:rPr>
            </w:pPr>
            <w:r>
              <w:rPr>
                <w:color w:val="auto"/>
                <w:highlight w:val="none"/>
              </w:rPr>
              <w:t> </w:t>
            </w:r>
          </w:p>
        </w:tc>
      </w:tr>
      <w:tr w14:paraId="676F4F51">
        <w:tblPrEx>
          <w:tblCellMar>
            <w:top w:w="0" w:type="dxa"/>
            <w:left w:w="108" w:type="dxa"/>
            <w:bottom w:w="0" w:type="dxa"/>
            <w:right w:w="108" w:type="dxa"/>
          </w:tblCellMar>
        </w:tblPrEx>
        <w:trPr>
          <w:trHeight w:val="1030" w:hRule="atLeast"/>
          <w:tblCellSpacing w:w="0" w:type="dxa"/>
        </w:trPr>
        <w:tc>
          <w:tcPr>
            <w:tcW w:w="7366"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4B46DEF">
            <w:pPr>
              <w:pStyle w:val="29"/>
              <w:spacing w:beforeAutospacing="0" w:afterAutospacing="0"/>
              <w:jc w:val="center"/>
              <w:rPr>
                <w:color w:val="auto"/>
                <w:highlight w:val="none"/>
              </w:rPr>
            </w:pPr>
            <w:r>
              <w:rPr>
                <w:rFonts w:hint="eastAsia" w:ascii="宋体" w:hAnsi="宋体" w:eastAsia="宋体" w:cs="宋体"/>
                <w:color w:val="auto"/>
                <w:highlight w:val="none"/>
              </w:rPr>
              <w:t>投标总报价（人民币：元）</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760E1">
            <w:pPr>
              <w:pStyle w:val="29"/>
              <w:spacing w:beforeAutospacing="0" w:afterAutospacing="0"/>
              <w:jc w:val="both"/>
              <w:rPr>
                <w:color w:val="auto"/>
                <w:highlight w:val="none"/>
              </w:rPr>
            </w:pPr>
            <w:r>
              <w:rPr>
                <w:color w:val="auto"/>
                <w:highlight w:val="none"/>
              </w:rPr>
              <w:t> </w:t>
            </w:r>
          </w:p>
        </w:tc>
      </w:tr>
      <w:tr w14:paraId="5307F2CB">
        <w:tblPrEx>
          <w:tblCellMar>
            <w:top w:w="0" w:type="dxa"/>
            <w:left w:w="108" w:type="dxa"/>
            <w:bottom w:w="0" w:type="dxa"/>
            <w:right w:w="108" w:type="dxa"/>
          </w:tblCellMar>
        </w:tblPrEx>
        <w:trPr>
          <w:trHeight w:val="1030" w:hRule="atLeast"/>
          <w:tblCellSpacing w:w="0" w:type="dxa"/>
        </w:trPr>
        <w:tc>
          <w:tcPr>
            <w:tcW w:w="851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1E80873">
            <w:pPr>
              <w:pStyle w:val="29"/>
              <w:spacing w:beforeAutospacing="0" w:afterAutospacing="0"/>
              <w:jc w:val="both"/>
              <w:rPr>
                <w:color w:val="auto"/>
                <w:highlight w:val="none"/>
              </w:rPr>
            </w:pPr>
            <w:r>
              <w:rPr>
                <w:rFonts w:hint="eastAsia" w:asciiTheme="minorEastAsia" w:hAnsiTheme="minorEastAsia" w:eastAsiaTheme="minorEastAsia" w:cstheme="minorEastAsia"/>
                <w:color w:val="auto"/>
                <w:sz w:val="24"/>
                <w:szCs w:val="24"/>
                <w:highlight w:val="none"/>
              </w:rPr>
              <w:t>本采购包中提供的符合本国产品标准的产品成本之和占该采购包提供的全部产品成本之和的比例为</w:t>
            </w:r>
            <w:r>
              <w:rPr>
                <w:rFonts w:hint="eastAsia" w:eastAsia="宋体"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w:t>
            </w:r>
          </w:p>
        </w:tc>
      </w:tr>
    </w:tbl>
    <w:p w14:paraId="7E459CCD">
      <w:pPr>
        <w:pStyle w:val="208"/>
        <w:spacing w:beforeAutospacing="0" w:afterAutospacing="0"/>
        <w:jc w:val="both"/>
        <w:rPr>
          <w:rFonts w:hint="eastAsia" w:ascii="宋体" w:hAnsi="宋体" w:cs="宋体"/>
          <w:color w:val="auto"/>
          <w:sz w:val="21"/>
          <w:szCs w:val="21"/>
          <w:highlight w:val="none"/>
        </w:rPr>
      </w:pPr>
    </w:p>
    <w:p w14:paraId="3F65F300">
      <w:pPr>
        <w:pStyle w:val="208"/>
        <w:spacing w:beforeAutospacing="0" w:afterAutospacing="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6A54B85A">
      <w:pPr>
        <w:pStyle w:val="208"/>
        <w:spacing w:beforeAutospacing="0" w:afterAutospacing="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 “投标分项报价表”中“投标总报价”数额应当与“开标一览表”中“投标总报价”数额一致。</w:t>
      </w:r>
    </w:p>
    <w:p w14:paraId="22E5A445">
      <w:pPr>
        <w:pStyle w:val="208"/>
        <w:spacing w:beforeAutospacing="0" w:afterAutospacing="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3.本采购包中含有多种产品时，供应商未填写本采购包中提供的符合本国产品标准的产品成本之和占该采购包提供的全部产品成本之和的比例数值的，或比例数值未达到80%的，将不享受本国产品价格评审优惠。</w:t>
      </w:r>
    </w:p>
    <w:bookmarkEnd w:id="224"/>
    <w:p w14:paraId="14D860A0">
      <w:pPr>
        <w:pStyle w:val="208"/>
        <w:spacing w:beforeAutospacing="0" w:afterAutospacing="0"/>
        <w:jc w:val="both"/>
        <w:rPr>
          <w:color w:val="auto"/>
          <w:highlight w:val="none"/>
        </w:rPr>
      </w:pPr>
    </w:p>
    <w:p w14:paraId="64B55E2F">
      <w:pPr>
        <w:pStyle w:val="208"/>
        <w:spacing w:beforeAutospacing="0" w:afterAutospacing="0"/>
        <w:jc w:val="both"/>
        <w:rPr>
          <w:color w:val="auto"/>
          <w:highlight w:val="none"/>
        </w:rPr>
      </w:pPr>
    </w:p>
    <w:p w14:paraId="23F6A88C">
      <w:pPr>
        <w:pStyle w:val="208"/>
        <w:spacing w:beforeAutospacing="0" w:afterAutospacing="0"/>
        <w:jc w:val="both"/>
        <w:rPr>
          <w:color w:val="auto"/>
          <w:highlight w:val="none"/>
        </w:rPr>
      </w:pPr>
      <w:r>
        <w:rPr>
          <w:color w:val="auto"/>
          <w:highlight w:val="none"/>
        </w:rPr>
        <w:t> </w:t>
      </w:r>
    </w:p>
    <w:p w14:paraId="441386D8">
      <w:pPr>
        <w:pStyle w:val="208"/>
        <w:spacing w:beforeAutospacing="0" w:afterAutospacing="0"/>
        <w:jc w:val="both"/>
        <w:rPr>
          <w:color w:val="auto"/>
          <w:highlight w:val="none"/>
        </w:rPr>
      </w:pPr>
      <w:r>
        <w:rPr>
          <w:color w:val="auto"/>
          <w:highlight w:val="none"/>
        </w:rPr>
        <w:t> </w:t>
      </w:r>
    </w:p>
    <w:p w14:paraId="6939C5D6">
      <w:pPr>
        <w:pStyle w:val="208"/>
        <w:spacing w:beforeAutospacing="0" w:afterAutospacing="0"/>
        <w:jc w:val="both"/>
        <w:rPr>
          <w:color w:val="auto"/>
          <w:highlight w:val="none"/>
        </w:rPr>
      </w:pPr>
      <w:r>
        <w:rPr>
          <w:color w:val="auto"/>
          <w:highlight w:val="none"/>
        </w:rPr>
        <w:t> </w:t>
      </w:r>
    </w:p>
    <w:p w14:paraId="2738539B">
      <w:pPr>
        <w:pStyle w:val="208"/>
        <w:spacing w:beforeAutospacing="0" w:afterAutospacing="0"/>
        <w:jc w:val="both"/>
        <w:rPr>
          <w:color w:val="auto"/>
          <w:highlight w:val="none"/>
        </w:rPr>
      </w:pPr>
    </w:p>
    <w:p w14:paraId="45D6E83B">
      <w:pPr>
        <w:pStyle w:val="208"/>
        <w:spacing w:beforeAutospacing="0" w:afterAutospacing="0"/>
        <w:jc w:val="both"/>
        <w:rPr>
          <w:color w:val="auto"/>
          <w:highlight w:val="none"/>
        </w:rPr>
      </w:pPr>
    </w:p>
    <w:p w14:paraId="2AA70B7E">
      <w:pPr>
        <w:pStyle w:val="208"/>
        <w:spacing w:beforeAutospacing="0" w:afterAutospacing="0"/>
        <w:jc w:val="both"/>
        <w:rPr>
          <w:color w:val="auto"/>
          <w:highlight w:val="none"/>
        </w:rPr>
      </w:pPr>
    </w:p>
    <w:p w14:paraId="40FAD66F">
      <w:pPr>
        <w:pStyle w:val="208"/>
        <w:spacing w:beforeAutospacing="0" w:afterAutospacing="0"/>
        <w:jc w:val="both"/>
        <w:rPr>
          <w:color w:val="auto"/>
          <w:highlight w:val="none"/>
        </w:rPr>
      </w:pPr>
    </w:p>
    <w:p w14:paraId="06A5D3DD">
      <w:pPr>
        <w:pStyle w:val="208"/>
        <w:spacing w:beforeAutospacing="0" w:afterAutospacing="0"/>
        <w:jc w:val="both"/>
        <w:rPr>
          <w:color w:val="auto"/>
          <w:highlight w:val="none"/>
        </w:rPr>
      </w:pPr>
    </w:p>
    <w:p w14:paraId="73063EF2">
      <w:pPr>
        <w:pStyle w:val="208"/>
        <w:spacing w:beforeAutospacing="0" w:afterAutospacing="0"/>
        <w:jc w:val="both"/>
        <w:rPr>
          <w:color w:val="auto"/>
          <w:highlight w:val="none"/>
        </w:rPr>
      </w:pPr>
    </w:p>
    <w:p w14:paraId="324FA44A">
      <w:pPr>
        <w:pStyle w:val="208"/>
        <w:spacing w:beforeAutospacing="0" w:afterAutospacing="0"/>
        <w:jc w:val="both"/>
        <w:rPr>
          <w:color w:val="auto"/>
          <w:highlight w:val="none"/>
        </w:rPr>
      </w:pPr>
    </w:p>
    <w:p w14:paraId="235F5143">
      <w:pPr>
        <w:pStyle w:val="208"/>
        <w:spacing w:beforeAutospacing="0" w:afterAutospacing="0"/>
        <w:jc w:val="both"/>
        <w:rPr>
          <w:color w:val="auto"/>
          <w:highlight w:val="none"/>
        </w:rPr>
      </w:pPr>
    </w:p>
    <w:p w14:paraId="19873793">
      <w:pPr>
        <w:pStyle w:val="208"/>
        <w:spacing w:beforeAutospacing="0" w:afterAutospacing="0"/>
        <w:jc w:val="both"/>
        <w:rPr>
          <w:color w:val="auto"/>
          <w:highlight w:val="none"/>
        </w:rPr>
      </w:pPr>
    </w:p>
    <w:p w14:paraId="42B643FE">
      <w:pPr>
        <w:pStyle w:val="208"/>
        <w:spacing w:beforeAutospacing="0" w:afterAutospacing="0"/>
        <w:jc w:val="both"/>
        <w:rPr>
          <w:color w:val="auto"/>
          <w:highlight w:val="none"/>
        </w:rPr>
      </w:pPr>
    </w:p>
    <w:p w14:paraId="02641DDE">
      <w:pPr>
        <w:pStyle w:val="208"/>
        <w:spacing w:beforeAutospacing="0" w:afterAutospacing="0"/>
        <w:jc w:val="both"/>
        <w:rPr>
          <w:color w:val="auto"/>
          <w:highlight w:val="none"/>
        </w:rPr>
      </w:pPr>
      <w:r>
        <w:rPr>
          <w:color w:val="auto"/>
          <w:highlight w:val="none"/>
        </w:rPr>
        <w:t> </w:t>
      </w:r>
    </w:p>
    <w:p w14:paraId="2B87F8EA">
      <w:pPr>
        <w:pStyle w:val="208"/>
        <w:spacing w:beforeAutospacing="0" w:afterAutospacing="0"/>
        <w:jc w:val="both"/>
        <w:rPr>
          <w:color w:val="auto"/>
          <w:highlight w:val="none"/>
        </w:rPr>
      </w:pPr>
    </w:p>
    <w:p w14:paraId="7F36ABA8">
      <w:pPr>
        <w:pStyle w:val="208"/>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四</w:t>
      </w:r>
      <w:r>
        <w:rPr>
          <w:rFonts w:hint="eastAsia" w:ascii="黑体" w:hAnsi="宋体" w:eastAsia="黑体" w:cs="黑体"/>
          <w:b/>
          <w:color w:val="auto"/>
          <w:sz w:val="32"/>
          <w:szCs w:val="32"/>
          <w:highlight w:val="none"/>
        </w:rPr>
        <w:t>、</w:t>
      </w:r>
      <w:bookmarkStart w:id="225" w:name="OLE_LINK25"/>
      <w:r>
        <w:rPr>
          <w:rFonts w:hint="eastAsia" w:ascii="黑体" w:hAnsi="宋体" w:eastAsia="黑体" w:cs="黑体"/>
          <w:b/>
          <w:color w:val="auto"/>
          <w:sz w:val="32"/>
          <w:szCs w:val="32"/>
          <w:highlight w:val="none"/>
        </w:rPr>
        <w:t>技术要求响应及偏离表（分包号：**）</w:t>
      </w:r>
    </w:p>
    <w:tbl>
      <w:tblPr>
        <w:tblStyle w:val="31"/>
        <w:tblW w:w="8520" w:type="dxa"/>
        <w:jc w:val="center"/>
        <w:tblCellSpacing w:w="0" w:type="dxa"/>
        <w:tblLayout w:type="fixed"/>
        <w:tblCellMar>
          <w:top w:w="0" w:type="dxa"/>
          <w:left w:w="108" w:type="dxa"/>
          <w:bottom w:w="0" w:type="dxa"/>
          <w:right w:w="108" w:type="dxa"/>
        </w:tblCellMar>
      </w:tblPr>
      <w:tblGrid>
        <w:gridCol w:w="538"/>
        <w:gridCol w:w="3026"/>
        <w:gridCol w:w="2608"/>
        <w:gridCol w:w="1247"/>
        <w:gridCol w:w="1101"/>
      </w:tblGrid>
      <w:tr w14:paraId="1DFADCFE">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273754F7">
            <w:pPr>
              <w:pStyle w:val="208"/>
              <w:spacing w:beforeAutospacing="0" w:afterAutospacing="0"/>
              <w:jc w:val="center"/>
              <w:rPr>
                <w:color w:val="auto"/>
                <w:sz w:val="21"/>
                <w:szCs w:val="21"/>
                <w:highlight w:val="none"/>
              </w:rPr>
            </w:pPr>
            <w:r>
              <w:rPr>
                <w:rFonts w:hint="eastAsia" w:ascii="宋体" w:hAnsi="宋体" w:cs="宋体"/>
                <w:color w:val="auto"/>
                <w:sz w:val="21"/>
                <w:szCs w:val="21"/>
                <w:highlight w:val="none"/>
              </w:rPr>
              <w:t>序号</w:t>
            </w:r>
          </w:p>
        </w:tc>
        <w:tc>
          <w:tcPr>
            <w:tcW w:w="3026" w:type="dxa"/>
            <w:tcBorders>
              <w:top w:val="single" w:color="000000" w:sz="4" w:space="0"/>
              <w:left w:val="single" w:color="000000" w:sz="4" w:space="0"/>
              <w:bottom w:val="single" w:color="000000" w:sz="4" w:space="0"/>
              <w:right w:val="single" w:color="000000" w:sz="4" w:space="0"/>
            </w:tcBorders>
            <w:vAlign w:val="center"/>
          </w:tcPr>
          <w:p w14:paraId="291D14DC">
            <w:pPr>
              <w:pStyle w:val="208"/>
              <w:spacing w:beforeAutospacing="0" w:afterAutospacing="0"/>
              <w:jc w:val="center"/>
              <w:rPr>
                <w:color w:val="auto"/>
                <w:sz w:val="21"/>
                <w:szCs w:val="21"/>
                <w:highlight w:val="none"/>
              </w:rPr>
            </w:pPr>
            <w:r>
              <w:rPr>
                <w:rFonts w:hint="eastAsia" w:ascii="宋体" w:hAnsi="宋体" w:cs="宋体"/>
                <w:color w:val="auto"/>
                <w:sz w:val="21"/>
                <w:szCs w:val="21"/>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59855F6F">
            <w:pPr>
              <w:pStyle w:val="208"/>
              <w:spacing w:beforeAutospacing="0" w:afterAutospacing="0"/>
              <w:jc w:val="center"/>
              <w:rPr>
                <w:color w:val="auto"/>
                <w:sz w:val="21"/>
                <w:szCs w:val="21"/>
                <w:highlight w:val="none"/>
              </w:rPr>
            </w:pPr>
            <w:r>
              <w:rPr>
                <w:rFonts w:hint="eastAsia" w:ascii="宋体" w:hAnsi="宋体" w:cs="宋体"/>
                <w:color w:val="auto"/>
                <w:sz w:val="21"/>
                <w:szCs w:val="21"/>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06C3F389">
            <w:pPr>
              <w:pStyle w:val="208"/>
              <w:spacing w:beforeAutospacing="0" w:afterAutospacing="0"/>
              <w:jc w:val="center"/>
              <w:rPr>
                <w:color w:val="auto"/>
                <w:sz w:val="21"/>
                <w:szCs w:val="21"/>
                <w:highlight w:val="none"/>
              </w:rPr>
            </w:pPr>
            <w:r>
              <w:rPr>
                <w:rFonts w:hint="eastAsia" w:ascii="宋体" w:hAnsi="宋体" w:cs="宋体"/>
                <w:color w:val="auto"/>
                <w:sz w:val="21"/>
                <w:szCs w:val="21"/>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7CE68164">
            <w:pPr>
              <w:pStyle w:val="208"/>
              <w:spacing w:beforeAutospacing="0" w:afterAutospacing="0"/>
              <w:jc w:val="center"/>
              <w:rPr>
                <w:color w:val="auto"/>
                <w:sz w:val="21"/>
                <w:szCs w:val="21"/>
                <w:highlight w:val="none"/>
              </w:rPr>
            </w:pPr>
            <w:r>
              <w:rPr>
                <w:rFonts w:hint="eastAsia" w:ascii="宋体" w:hAnsi="宋体" w:cs="宋体"/>
                <w:color w:val="auto"/>
                <w:sz w:val="21"/>
                <w:szCs w:val="21"/>
                <w:highlight w:val="none"/>
              </w:rPr>
              <w:t>证明</w:t>
            </w:r>
          </w:p>
          <w:p w14:paraId="07B65464">
            <w:pPr>
              <w:pStyle w:val="208"/>
              <w:spacing w:beforeAutospacing="0" w:afterAutospacing="0"/>
              <w:jc w:val="center"/>
              <w:rPr>
                <w:color w:val="auto"/>
                <w:sz w:val="21"/>
                <w:szCs w:val="21"/>
                <w:highlight w:val="none"/>
              </w:rPr>
            </w:pPr>
            <w:r>
              <w:rPr>
                <w:rFonts w:hint="eastAsia" w:ascii="宋体" w:hAnsi="宋体" w:cs="宋体"/>
                <w:color w:val="auto"/>
                <w:sz w:val="21"/>
                <w:szCs w:val="21"/>
                <w:highlight w:val="none"/>
              </w:rPr>
              <w:t>材料</w:t>
            </w:r>
          </w:p>
        </w:tc>
      </w:tr>
      <w:tr w14:paraId="3ED1F204">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4CA21C85">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7754CE54">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BF26505">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C7829D6">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32AA1A7">
            <w:pPr>
              <w:pStyle w:val="208"/>
              <w:spacing w:beforeAutospacing="0" w:afterAutospacing="0"/>
              <w:jc w:val="center"/>
              <w:rPr>
                <w:color w:val="auto"/>
                <w:sz w:val="21"/>
                <w:szCs w:val="21"/>
                <w:highlight w:val="none"/>
              </w:rPr>
            </w:pPr>
            <w:r>
              <w:rPr>
                <w:color w:val="auto"/>
                <w:sz w:val="21"/>
                <w:szCs w:val="21"/>
                <w:highlight w:val="none"/>
              </w:rPr>
              <w:t> </w:t>
            </w:r>
          </w:p>
        </w:tc>
      </w:tr>
      <w:tr w14:paraId="0B16458D">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445B9118">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F638ADB">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6CF6F27">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2DECBC01">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8067E12">
            <w:pPr>
              <w:pStyle w:val="208"/>
              <w:spacing w:beforeAutospacing="0" w:afterAutospacing="0"/>
              <w:jc w:val="center"/>
              <w:rPr>
                <w:color w:val="auto"/>
                <w:sz w:val="21"/>
                <w:szCs w:val="21"/>
                <w:highlight w:val="none"/>
              </w:rPr>
            </w:pPr>
            <w:r>
              <w:rPr>
                <w:color w:val="auto"/>
                <w:sz w:val="21"/>
                <w:szCs w:val="21"/>
                <w:highlight w:val="none"/>
              </w:rPr>
              <w:t> </w:t>
            </w:r>
          </w:p>
        </w:tc>
      </w:tr>
      <w:tr w14:paraId="6B4202D9">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05D05116">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2F4FD65">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E656280">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B41D193">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47B337B">
            <w:pPr>
              <w:pStyle w:val="208"/>
              <w:spacing w:beforeAutospacing="0" w:afterAutospacing="0"/>
              <w:jc w:val="center"/>
              <w:rPr>
                <w:color w:val="auto"/>
                <w:sz w:val="21"/>
                <w:szCs w:val="21"/>
                <w:highlight w:val="none"/>
              </w:rPr>
            </w:pPr>
            <w:r>
              <w:rPr>
                <w:color w:val="auto"/>
                <w:sz w:val="21"/>
                <w:szCs w:val="21"/>
                <w:highlight w:val="none"/>
              </w:rPr>
              <w:t> </w:t>
            </w:r>
          </w:p>
        </w:tc>
      </w:tr>
      <w:tr w14:paraId="76D8A3E7">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28FD144F">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9891AE4">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CD0D5A8">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109BA55">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B408312">
            <w:pPr>
              <w:pStyle w:val="208"/>
              <w:spacing w:beforeAutospacing="0" w:afterAutospacing="0"/>
              <w:jc w:val="center"/>
              <w:rPr>
                <w:color w:val="auto"/>
                <w:sz w:val="21"/>
                <w:szCs w:val="21"/>
                <w:highlight w:val="none"/>
              </w:rPr>
            </w:pPr>
            <w:r>
              <w:rPr>
                <w:color w:val="auto"/>
                <w:sz w:val="21"/>
                <w:szCs w:val="21"/>
                <w:highlight w:val="none"/>
              </w:rPr>
              <w:t> </w:t>
            </w:r>
          </w:p>
        </w:tc>
      </w:tr>
      <w:tr w14:paraId="28D2C728">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274E3270">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719B6F53">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E48FF26">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A4E78F2">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269A7D2">
            <w:pPr>
              <w:pStyle w:val="208"/>
              <w:spacing w:beforeAutospacing="0" w:afterAutospacing="0"/>
              <w:jc w:val="center"/>
              <w:rPr>
                <w:color w:val="auto"/>
                <w:sz w:val="21"/>
                <w:szCs w:val="21"/>
                <w:highlight w:val="none"/>
              </w:rPr>
            </w:pPr>
            <w:r>
              <w:rPr>
                <w:color w:val="auto"/>
                <w:sz w:val="21"/>
                <w:szCs w:val="21"/>
                <w:highlight w:val="none"/>
              </w:rPr>
              <w:t> </w:t>
            </w:r>
          </w:p>
        </w:tc>
      </w:tr>
      <w:tr w14:paraId="0A3112BF">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47349D19">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DF939A6">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0428FFA">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2DE9AFAD">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375B69F">
            <w:pPr>
              <w:pStyle w:val="208"/>
              <w:spacing w:beforeAutospacing="0" w:afterAutospacing="0"/>
              <w:jc w:val="center"/>
              <w:rPr>
                <w:color w:val="auto"/>
                <w:sz w:val="21"/>
                <w:szCs w:val="21"/>
                <w:highlight w:val="none"/>
              </w:rPr>
            </w:pPr>
            <w:r>
              <w:rPr>
                <w:color w:val="auto"/>
                <w:sz w:val="21"/>
                <w:szCs w:val="21"/>
                <w:highlight w:val="none"/>
              </w:rPr>
              <w:t> </w:t>
            </w:r>
          </w:p>
        </w:tc>
      </w:tr>
      <w:tr w14:paraId="11A087FE">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4F98D922">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859F377">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E8EAB46">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200C9B2">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5F45A8A">
            <w:pPr>
              <w:pStyle w:val="208"/>
              <w:spacing w:beforeAutospacing="0" w:afterAutospacing="0"/>
              <w:jc w:val="center"/>
              <w:rPr>
                <w:color w:val="auto"/>
                <w:sz w:val="21"/>
                <w:szCs w:val="21"/>
                <w:highlight w:val="none"/>
              </w:rPr>
            </w:pPr>
            <w:r>
              <w:rPr>
                <w:color w:val="auto"/>
                <w:sz w:val="21"/>
                <w:szCs w:val="21"/>
                <w:highlight w:val="none"/>
              </w:rPr>
              <w:t> </w:t>
            </w:r>
          </w:p>
        </w:tc>
      </w:tr>
      <w:tr w14:paraId="33615F7E">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1FC0E002">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90CD954">
            <w:pPr>
              <w:pStyle w:val="208"/>
              <w:spacing w:beforeAutospacing="0" w:afterAutospacing="0"/>
              <w:jc w:val="center"/>
              <w:rPr>
                <w:color w:val="auto"/>
                <w:sz w:val="21"/>
                <w:szCs w:val="21"/>
                <w:highlight w:val="none"/>
              </w:rPr>
            </w:pPr>
            <w:r>
              <w:rPr>
                <w:rFonts w:hint="eastAsia" w:ascii="宋体" w:hAnsi="宋体" w:cs="宋体"/>
                <w:color w:val="auto"/>
                <w:sz w:val="21"/>
                <w:szCs w:val="21"/>
                <w:highlight w:val="none"/>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14862505">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E45CFF5">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F7A6E87">
            <w:pPr>
              <w:pStyle w:val="208"/>
              <w:spacing w:beforeAutospacing="0" w:afterAutospacing="0"/>
              <w:jc w:val="center"/>
              <w:rPr>
                <w:color w:val="auto"/>
                <w:sz w:val="21"/>
                <w:szCs w:val="21"/>
                <w:highlight w:val="none"/>
              </w:rPr>
            </w:pPr>
            <w:r>
              <w:rPr>
                <w:color w:val="auto"/>
                <w:sz w:val="21"/>
                <w:szCs w:val="21"/>
                <w:highlight w:val="none"/>
              </w:rPr>
              <w:t> </w:t>
            </w:r>
          </w:p>
        </w:tc>
      </w:tr>
    </w:tbl>
    <w:p w14:paraId="6CB75A88">
      <w:pPr>
        <w:pStyle w:val="208"/>
        <w:spacing w:beforeAutospacing="0" w:afterAutospacing="0"/>
        <w:jc w:val="both"/>
        <w:rPr>
          <w:color w:val="auto"/>
          <w:highlight w:val="none"/>
        </w:rPr>
      </w:pPr>
      <w:r>
        <w:rPr>
          <w:rFonts w:hint="eastAsia" w:ascii="宋体" w:hAnsi="宋体" w:cs="宋体"/>
          <w:color w:val="auto"/>
          <w:sz w:val="21"/>
          <w:szCs w:val="21"/>
          <w:highlight w:val="none"/>
        </w:rPr>
        <w:t>注： 行数不够，可自行添加。</w:t>
      </w:r>
    </w:p>
    <w:bookmarkEnd w:id="225"/>
    <w:p w14:paraId="7C855ABE">
      <w:pPr>
        <w:pStyle w:val="208"/>
        <w:spacing w:beforeAutospacing="0" w:afterAutospacing="0"/>
        <w:jc w:val="center"/>
        <w:rPr>
          <w:color w:val="auto"/>
          <w:highlight w:val="none"/>
        </w:rPr>
      </w:pPr>
      <w:r>
        <w:rPr>
          <w:color w:val="auto"/>
          <w:highlight w:val="none"/>
        </w:rPr>
        <w:t> </w:t>
      </w:r>
    </w:p>
    <w:p w14:paraId="2AA430C2">
      <w:pPr>
        <w:pStyle w:val="208"/>
        <w:spacing w:beforeAutospacing="0" w:afterAutospacing="0"/>
        <w:jc w:val="center"/>
        <w:rPr>
          <w:color w:val="auto"/>
          <w:highlight w:val="none"/>
        </w:rPr>
      </w:pPr>
      <w:r>
        <w:rPr>
          <w:color w:val="auto"/>
          <w:highlight w:val="none"/>
        </w:rPr>
        <w:t> </w:t>
      </w:r>
    </w:p>
    <w:p w14:paraId="72A9F45F">
      <w:pPr>
        <w:pStyle w:val="208"/>
        <w:spacing w:beforeAutospacing="0" w:afterAutospacing="0"/>
        <w:jc w:val="center"/>
        <w:rPr>
          <w:color w:val="auto"/>
          <w:highlight w:val="none"/>
        </w:rPr>
      </w:pPr>
      <w:r>
        <w:rPr>
          <w:color w:val="auto"/>
          <w:highlight w:val="none"/>
        </w:rPr>
        <w:t> </w:t>
      </w:r>
    </w:p>
    <w:p w14:paraId="21C82B9C">
      <w:pPr>
        <w:pStyle w:val="208"/>
        <w:spacing w:beforeAutospacing="0" w:afterAutospacing="0"/>
        <w:jc w:val="center"/>
        <w:rPr>
          <w:color w:val="auto"/>
          <w:highlight w:val="none"/>
        </w:rPr>
      </w:pPr>
      <w:r>
        <w:rPr>
          <w:color w:val="auto"/>
          <w:highlight w:val="none"/>
        </w:rPr>
        <w:t> </w:t>
      </w:r>
    </w:p>
    <w:p w14:paraId="25D659EE">
      <w:pPr>
        <w:pStyle w:val="208"/>
        <w:spacing w:beforeAutospacing="0" w:afterAutospacing="0"/>
        <w:jc w:val="both"/>
        <w:rPr>
          <w:color w:val="auto"/>
          <w:highlight w:val="none"/>
        </w:rPr>
      </w:pPr>
      <w:r>
        <w:rPr>
          <w:color w:val="auto"/>
          <w:highlight w:val="none"/>
        </w:rPr>
        <w:t> </w:t>
      </w:r>
    </w:p>
    <w:p w14:paraId="3A89359A">
      <w:pPr>
        <w:pStyle w:val="208"/>
        <w:spacing w:beforeAutospacing="0" w:afterAutospacing="0"/>
        <w:jc w:val="both"/>
        <w:rPr>
          <w:color w:val="auto"/>
          <w:highlight w:val="none"/>
        </w:rPr>
      </w:pPr>
      <w:r>
        <w:rPr>
          <w:color w:val="auto"/>
          <w:highlight w:val="none"/>
        </w:rPr>
        <w:t> </w:t>
      </w:r>
    </w:p>
    <w:p w14:paraId="5D3A3FBB">
      <w:pPr>
        <w:pStyle w:val="208"/>
        <w:spacing w:beforeAutospacing="0" w:afterAutospacing="0"/>
        <w:jc w:val="both"/>
        <w:rPr>
          <w:color w:val="auto"/>
          <w:highlight w:val="none"/>
        </w:rPr>
      </w:pPr>
      <w:r>
        <w:rPr>
          <w:color w:val="auto"/>
          <w:highlight w:val="none"/>
        </w:rPr>
        <w:t> </w:t>
      </w:r>
    </w:p>
    <w:p w14:paraId="0B0A8B3D">
      <w:pPr>
        <w:pStyle w:val="208"/>
        <w:spacing w:beforeAutospacing="0" w:afterAutospacing="0"/>
        <w:jc w:val="both"/>
        <w:rPr>
          <w:color w:val="auto"/>
          <w:highlight w:val="none"/>
        </w:rPr>
      </w:pPr>
      <w:r>
        <w:rPr>
          <w:color w:val="auto"/>
          <w:highlight w:val="none"/>
        </w:rPr>
        <w:t> </w:t>
      </w:r>
    </w:p>
    <w:p w14:paraId="60AC751D">
      <w:pPr>
        <w:pStyle w:val="208"/>
        <w:spacing w:beforeAutospacing="0" w:afterAutospacing="0"/>
        <w:jc w:val="both"/>
        <w:rPr>
          <w:color w:val="auto"/>
          <w:highlight w:val="none"/>
        </w:rPr>
      </w:pPr>
      <w:r>
        <w:rPr>
          <w:color w:val="auto"/>
          <w:highlight w:val="none"/>
        </w:rPr>
        <w:t> </w:t>
      </w:r>
    </w:p>
    <w:p w14:paraId="5DFD9E7B">
      <w:pPr>
        <w:pStyle w:val="208"/>
        <w:spacing w:beforeAutospacing="0" w:afterAutospacing="0"/>
        <w:jc w:val="both"/>
        <w:rPr>
          <w:color w:val="auto"/>
          <w:highlight w:val="none"/>
        </w:rPr>
      </w:pPr>
    </w:p>
    <w:p w14:paraId="7E65F4CC">
      <w:pPr>
        <w:pStyle w:val="208"/>
        <w:spacing w:beforeAutospacing="0" w:afterAutospacing="0"/>
        <w:jc w:val="both"/>
        <w:rPr>
          <w:color w:val="auto"/>
          <w:highlight w:val="none"/>
        </w:rPr>
      </w:pPr>
    </w:p>
    <w:p w14:paraId="5D168694">
      <w:pPr>
        <w:pStyle w:val="208"/>
        <w:spacing w:beforeAutospacing="0" w:afterAutospacing="0"/>
        <w:jc w:val="both"/>
        <w:rPr>
          <w:color w:val="auto"/>
          <w:highlight w:val="none"/>
        </w:rPr>
      </w:pPr>
    </w:p>
    <w:p w14:paraId="782AE4B0">
      <w:pPr>
        <w:pStyle w:val="208"/>
        <w:spacing w:beforeAutospacing="0" w:afterAutospacing="0"/>
        <w:jc w:val="both"/>
        <w:rPr>
          <w:color w:val="auto"/>
          <w:highlight w:val="none"/>
        </w:rPr>
      </w:pPr>
    </w:p>
    <w:p w14:paraId="12CDCD1C">
      <w:pPr>
        <w:pStyle w:val="208"/>
        <w:spacing w:beforeAutospacing="0" w:afterAutospacing="0"/>
        <w:jc w:val="both"/>
        <w:rPr>
          <w:color w:val="auto"/>
          <w:highlight w:val="none"/>
        </w:rPr>
      </w:pPr>
    </w:p>
    <w:p w14:paraId="0686BB48">
      <w:pPr>
        <w:pStyle w:val="208"/>
        <w:spacing w:beforeAutospacing="0" w:afterAutospacing="0"/>
        <w:jc w:val="both"/>
        <w:rPr>
          <w:color w:val="auto"/>
          <w:highlight w:val="none"/>
        </w:rPr>
      </w:pPr>
    </w:p>
    <w:p w14:paraId="2DF53A60">
      <w:pPr>
        <w:pStyle w:val="208"/>
        <w:spacing w:beforeAutospacing="0" w:afterAutospacing="0"/>
        <w:jc w:val="both"/>
        <w:rPr>
          <w:color w:val="auto"/>
          <w:highlight w:val="none"/>
        </w:rPr>
      </w:pPr>
    </w:p>
    <w:p w14:paraId="120AB1B4">
      <w:pPr>
        <w:pStyle w:val="208"/>
        <w:spacing w:beforeAutospacing="0" w:afterAutospacing="0"/>
        <w:jc w:val="both"/>
        <w:rPr>
          <w:color w:val="auto"/>
          <w:highlight w:val="none"/>
        </w:rPr>
      </w:pPr>
    </w:p>
    <w:p w14:paraId="26518601">
      <w:pPr>
        <w:pStyle w:val="208"/>
        <w:spacing w:beforeAutospacing="0" w:afterAutospacing="0"/>
        <w:jc w:val="both"/>
        <w:rPr>
          <w:color w:val="auto"/>
          <w:highlight w:val="none"/>
        </w:rPr>
      </w:pPr>
    </w:p>
    <w:p w14:paraId="2829CC23">
      <w:pPr>
        <w:pStyle w:val="208"/>
        <w:spacing w:beforeAutospacing="0" w:afterAutospacing="0"/>
        <w:jc w:val="both"/>
        <w:rPr>
          <w:color w:val="auto"/>
          <w:highlight w:val="none"/>
        </w:rPr>
      </w:pPr>
    </w:p>
    <w:p w14:paraId="2337E59D">
      <w:pPr>
        <w:pStyle w:val="208"/>
        <w:spacing w:beforeAutospacing="0" w:afterAutospacing="0"/>
        <w:jc w:val="both"/>
        <w:rPr>
          <w:color w:val="auto"/>
          <w:highlight w:val="none"/>
        </w:rPr>
      </w:pPr>
    </w:p>
    <w:p w14:paraId="44139B90">
      <w:pPr>
        <w:pStyle w:val="208"/>
        <w:spacing w:beforeAutospacing="0" w:afterAutospacing="0"/>
        <w:jc w:val="both"/>
        <w:rPr>
          <w:color w:val="auto"/>
          <w:highlight w:val="none"/>
        </w:rPr>
      </w:pPr>
    </w:p>
    <w:p w14:paraId="4B098D06">
      <w:pPr>
        <w:pStyle w:val="208"/>
        <w:spacing w:beforeAutospacing="0" w:afterAutospacing="0"/>
        <w:jc w:val="both"/>
        <w:rPr>
          <w:color w:val="auto"/>
          <w:highlight w:val="none"/>
        </w:rPr>
      </w:pPr>
    </w:p>
    <w:p w14:paraId="1FBC57B8">
      <w:pPr>
        <w:pStyle w:val="208"/>
        <w:spacing w:beforeAutospacing="0" w:afterAutospacing="0"/>
        <w:jc w:val="both"/>
        <w:rPr>
          <w:color w:val="auto"/>
          <w:highlight w:val="none"/>
        </w:rPr>
      </w:pPr>
    </w:p>
    <w:p w14:paraId="1A03CE42">
      <w:pPr>
        <w:pStyle w:val="208"/>
        <w:spacing w:beforeAutospacing="0" w:afterAutospacing="0"/>
        <w:jc w:val="both"/>
        <w:rPr>
          <w:color w:val="auto"/>
          <w:highlight w:val="none"/>
        </w:rPr>
      </w:pPr>
      <w:r>
        <w:rPr>
          <w:color w:val="auto"/>
          <w:highlight w:val="none"/>
        </w:rPr>
        <w:t> </w:t>
      </w:r>
    </w:p>
    <w:p w14:paraId="31B84CBF">
      <w:pPr>
        <w:pStyle w:val="208"/>
        <w:spacing w:beforeAutospacing="0" w:afterAutospacing="0"/>
        <w:jc w:val="center"/>
        <w:rPr>
          <w:color w:val="auto"/>
          <w:highlight w:val="none"/>
        </w:rPr>
      </w:pPr>
      <w:bookmarkStart w:id="226" w:name="_Hlt26955054"/>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五</w:t>
      </w:r>
      <w:r>
        <w:rPr>
          <w:rFonts w:hint="eastAsia" w:ascii="黑体" w:hAnsi="宋体" w:eastAsia="黑体" w:cs="黑体"/>
          <w:b/>
          <w:color w:val="auto"/>
          <w:sz w:val="32"/>
          <w:szCs w:val="32"/>
          <w:highlight w:val="none"/>
        </w:rPr>
        <w:t>、</w:t>
      </w:r>
      <w:bookmarkStart w:id="227" w:name="OLE_LINK18"/>
      <w:bookmarkStart w:id="228" w:name="OLE_LINK24"/>
      <w:r>
        <w:rPr>
          <w:rFonts w:hint="eastAsia" w:ascii="黑体" w:hAnsi="宋体" w:eastAsia="黑体" w:cs="黑体"/>
          <w:b/>
          <w:color w:val="auto"/>
          <w:sz w:val="32"/>
          <w:szCs w:val="32"/>
          <w:highlight w:val="none"/>
        </w:rPr>
        <w:t>商务要求响应及偏离表</w:t>
      </w:r>
      <w:bookmarkEnd w:id="227"/>
      <w:r>
        <w:rPr>
          <w:rFonts w:hint="eastAsia" w:ascii="黑体" w:hAnsi="宋体" w:eastAsia="黑体" w:cs="黑体"/>
          <w:b/>
          <w:color w:val="auto"/>
          <w:sz w:val="32"/>
          <w:szCs w:val="32"/>
          <w:highlight w:val="none"/>
        </w:rPr>
        <w:t>（分包号：**）</w:t>
      </w:r>
    </w:p>
    <w:tbl>
      <w:tblPr>
        <w:tblStyle w:val="31"/>
        <w:tblW w:w="8520" w:type="dxa"/>
        <w:tblCellSpacing w:w="0" w:type="dxa"/>
        <w:tblInd w:w="-108" w:type="dxa"/>
        <w:tblLayout w:type="fixed"/>
        <w:tblCellMar>
          <w:top w:w="0" w:type="dxa"/>
          <w:left w:w="108" w:type="dxa"/>
          <w:bottom w:w="0" w:type="dxa"/>
          <w:right w:w="108" w:type="dxa"/>
        </w:tblCellMar>
      </w:tblPr>
      <w:tblGrid>
        <w:gridCol w:w="538"/>
        <w:gridCol w:w="3026"/>
        <w:gridCol w:w="2608"/>
        <w:gridCol w:w="1247"/>
        <w:gridCol w:w="1101"/>
      </w:tblGrid>
      <w:tr w14:paraId="7E6D1FAC">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BC45CA9">
            <w:pPr>
              <w:pStyle w:val="208"/>
              <w:spacing w:beforeAutospacing="0" w:afterAutospacing="0"/>
              <w:jc w:val="center"/>
              <w:rPr>
                <w:color w:val="auto"/>
                <w:sz w:val="21"/>
                <w:szCs w:val="21"/>
                <w:highlight w:val="none"/>
              </w:rPr>
            </w:pPr>
            <w:bookmarkStart w:id="229" w:name="_Hlt24879081"/>
            <w:bookmarkStart w:id="230" w:name="_Hlt26955064"/>
            <w:bookmarkStart w:id="231" w:name="_Hlt26955056"/>
            <w:bookmarkStart w:id="232" w:name="_Hlt26671372"/>
            <w:bookmarkStart w:id="233" w:name="_Hlt26782999"/>
            <w:bookmarkStart w:id="234" w:name="_Hlt26671343"/>
            <w:bookmarkStart w:id="235" w:name="_Hlt26609391"/>
            <w:bookmarkStart w:id="236" w:name="_Hlt26580838"/>
            <w:bookmarkStart w:id="237" w:name="OLE_LINK23"/>
            <w:r>
              <w:rPr>
                <w:rFonts w:hint="eastAsia" w:ascii="宋体" w:hAnsi="宋体" w:cs="宋体"/>
                <w:color w:val="auto"/>
                <w:sz w:val="21"/>
                <w:szCs w:val="21"/>
                <w:highlight w:val="none"/>
              </w:rPr>
              <w:t>序号</w:t>
            </w:r>
          </w:p>
          <w:bookmarkEnd w:id="229"/>
          <w:bookmarkEnd w:id="230"/>
          <w:bookmarkEnd w:id="231"/>
          <w:bookmarkEnd w:id="232"/>
          <w:bookmarkEnd w:id="233"/>
          <w:bookmarkEnd w:id="234"/>
          <w:bookmarkEnd w:id="235"/>
          <w:bookmarkEnd w:id="236"/>
        </w:tc>
        <w:tc>
          <w:tcPr>
            <w:tcW w:w="3026" w:type="dxa"/>
            <w:tcBorders>
              <w:top w:val="single" w:color="000000" w:sz="4" w:space="0"/>
              <w:left w:val="single" w:color="000000" w:sz="4" w:space="0"/>
              <w:bottom w:val="single" w:color="000000" w:sz="4" w:space="0"/>
              <w:right w:val="single" w:color="000000" w:sz="4" w:space="0"/>
            </w:tcBorders>
            <w:vAlign w:val="center"/>
          </w:tcPr>
          <w:p w14:paraId="52C68E80">
            <w:pPr>
              <w:pStyle w:val="208"/>
              <w:spacing w:beforeAutospacing="0" w:afterAutospacing="0"/>
              <w:jc w:val="center"/>
              <w:rPr>
                <w:color w:val="auto"/>
                <w:sz w:val="21"/>
                <w:szCs w:val="21"/>
                <w:highlight w:val="none"/>
              </w:rPr>
            </w:pPr>
            <w:r>
              <w:rPr>
                <w:rFonts w:hint="eastAsia" w:ascii="宋体" w:hAnsi="宋体" w:cs="宋体"/>
                <w:color w:val="auto"/>
                <w:sz w:val="21"/>
                <w:szCs w:val="21"/>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5384D542">
            <w:pPr>
              <w:pStyle w:val="208"/>
              <w:spacing w:beforeAutospacing="0" w:afterAutospacing="0"/>
              <w:jc w:val="center"/>
              <w:rPr>
                <w:color w:val="auto"/>
                <w:sz w:val="21"/>
                <w:szCs w:val="21"/>
                <w:highlight w:val="none"/>
              </w:rPr>
            </w:pPr>
            <w:r>
              <w:rPr>
                <w:rFonts w:hint="eastAsia" w:ascii="宋体" w:hAnsi="宋体" w:cs="宋体"/>
                <w:color w:val="auto"/>
                <w:sz w:val="21"/>
                <w:szCs w:val="21"/>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28F1C325">
            <w:pPr>
              <w:pStyle w:val="208"/>
              <w:spacing w:beforeAutospacing="0" w:afterAutospacing="0"/>
              <w:jc w:val="center"/>
              <w:rPr>
                <w:color w:val="auto"/>
                <w:sz w:val="21"/>
                <w:szCs w:val="21"/>
                <w:highlight w:val="none"/>
              </w:rPr>
            </w:pPr>
            <w:r>
              <w:rPr>
                <w:rFonts w:hint="eastAsia" w:ascii="宋体" w:hAnsi="宋体" w:cs="宋体"/>
                <w:color w:val="auto"/>
                <w:sz w:val="21"/>
                <w:szCs w:val="21"/>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7444C10E">
            <w:pPr>
              <w:pStyle w:val="208"/>
              <w:spacing w:beforeAutospacing="0" w:afterAutospacing="0"/>
              <w:jc w:val="center"/>
              <w:rPr>
                <w:color w:val="auto"/>
                <w:sz w:val="21"/>
                <w:szCs w:val="21"/>
                <w:highlight w:val="none"/>
              </w:rPr>
            </w:pPr>
            <w:r>
              <w:rPr>
                <w:rFonts w:hint="eastAsia" w:ascii="宋体" w:hAnsi="宋体" w:cs="宋体"/>
                <w:color w:val="auto"/>
                <w:sz w:val="21"/>
                <w:szCs w:val="21"/>
                <w:highlight w:val="none"/>
              </w:rPr>
              <w:t>证明</w:t>
            </w:r>
          </w:p>
          <w:p w14:paraId="1DBC053D">
            <w:pPr>
              <w:pStyle w:val="208"/>
              <w:spacing w:beforeAutospacing="0" w:afterAutospacing="0"/>
              <w:jc w:val="center"/>
              <w:rPr>
                <w:color w:val="auto"/>
                <w:sz w:val="21"/>
                <w:szCs w:val="21"/>
                <w:highlight w:val="none"/>
              </w:rPr>
            </w:pPr>
            <w:r>
              <w:rPr>
                <w:rFonts w:hint="eastAsia" w:ascii="宋体" w:hAnsi="宋体" w:cs="宋体"/>
                <w:color w:val="auto"/>
                <w:sz w:val="21"/>
                <w:szCs w:val="21"/>
                <w:highlight w:val="none"/>
              </w:rPr>
              <w:t>材料</w:t>
            </w:r>
          </w:p>
        </w:tc>
      </w:tr>
      <w:tr w14:paraId="4D8F365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6FD278C">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438361B4">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392BBC1B">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8FE02AA">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4CE852D">
            <w:pPr>
              <w:pStyle w:val="208"/>
              <w:spacing w:beforeAutospacing="0" w:afterAutospacing="0"/>
              <w:jc w:val="center"/>
              <w:rPr>
                <w:color w:val="auto"/>
                <w:sz w:val="21"/>
                <w:szCs w:val="21"/>
                <w:highlight w:val="none"/>
              </w:rPr>
            </w:pPr>
            <w:r>
              <w:rPr>
                <w:color w:val="auto"/>
                <w:sz w:val="21"/>
                <w:szCs w:val="21"/>
                <w:highlight w:val="none"/>
              </w:rPr>
              <w:t> </w:t>
            </w:r>
          </w:p>
        </w:tc>
      </w:tr>
      <w:tr w14:paraId="583FCE8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F3F78FC">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783D6FC2">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CA91D88">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2D81600B">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507E8EA">
            <w:pPr>
              <w:pStyle w:val="208"/>
              <w:spacing w:beforeAutospacing="0" w:afterAutospacing="0"/>
              <w:jc w:val="center"/>
              <w:rPr>
                <w:color w:val="auto"/>
                <w:sz w:val="21"/>
                <w:szCs w:val="21"/>
                <w:highlight w:val="none"/>
              </w:rPr>
            </w:pPr>
            <w:r>
              <w:rPr>
                <w:color w:val="auto"/>
                <w:sz w:val="21"/>
                <w:szCs w:val="21"/>
                <w:highlight w:val="none"/>
              </w:rPr>
              <w:t> </w:t>
            </w:r>
          </w:p>
        </w:tc>
      </w:tr>
      <w:tr w14:paraId="22245F7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E77EDD2">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7BDB6B37">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A6FD1A6">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14A2BA5">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EE71022">
            <w:pPr>
              <w:pStyle w:val="208"/>
              <w:spacing w:beforeAutospacing="0" w:afterAutospacing="0"/>
              <w:jc w:val="center"/>
              <w:rPr>
                <w:color w:val="auto"/>
                <w:sz w:val="21"/>
                <w:szCs w:val="21"/>
                <w:highlight w:val="none"/>
              </w:rPr>
            </w:pPr>
            <w:r>
              <w:rPr>
                <w:color w:val="auto"/>
                <w:sz w:val="21"/>
                <w:szCs w:val="21"/>
                <w:highlight w:val="none"/>
              </w:rPr>
              <w:t> </w:t>
            </w:r>
          </w:p>
        </w:tc>
      </w:tr>
      <w:tr w14:paraId="4EB4330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FCF62EB">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35E63E52">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29730B6B">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2426006">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3BD3443">
            <w:pPr>
              <w:pStyle w:val="208"/>
              <w:spacing w:beforeAutospacing="0" w:afterAutospacing="0"/>
              <w:jc w:val="center"/>
              <w:rPr>
                <w:color w:val="auto"/>
                <w:sz w:val="21"/>
                <w:szCs w:val="21"/>
                <w:highlight w:val="none"/>
              </w:rPr>
            </w:pPr>
            <w:r>
              <w:rPr>
                <w:color w:val="auto"/>
                <w:sz w:val="21"/>
                <w:szCs w:val="21"/>
                <w:highlight w:val="none"/>
              </w:rPr>
              <w:t> </w:t>
            </w:r>
          </w:p>
        </w:tc>
      </w:tr>
      <w:tr w14:paraId="5F44EDD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E1388E2">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7B7AB341">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CA0ABFA">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20F2FB0">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0696ECF">
            <w:pPr>
              <w:pStyle w:val="208"/>
              <w:spacing w:beforeAutospacing="0" w:afterAutospacing="0"/>
              <w:jc w:val="center"/>
              <w:rPr>
                <w:color w:val="auto"/>
                <w:sz w:val="21"/>
                <w:szCs w:val="21"/>
                <w:highlight w:val="none"/>
              </w:rPr>
            </w:pPr>
            <w:r>
              <w:rPr>
                <w:color w:val="auto"/>
                <w:sz w:val="21"/>
                <w:szCs w:val="21"/>
                <w:highlight w:val="none"/>
              </w:rPr>
              <w:t> </w:t>
            </w:r>
          </w:p>
        </w:tc>
      </w:tr>
      <w:tr w14:paraId="3D8C7C9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3685AB2">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B3B9C31">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77AD868">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6757B7C">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AD7F44E">
            <w:pPr>
              <w:pStyle w:val="208"/>
              <w:spacing w:beforeAutospacing="0" w:afterAutospacing="0"/>
              <w:jc w:val="center"/>
              <w:rPr>
                <w:color w:val="auto"/>
                <w:sz w:val="21"/>
                <w:szCs w:val="21"/>
                <w:highlight w:val="none"/>
              </w:rPr>
            </w:pPr>
            <w:r>
              <w:rPr>
                <w:color w:val="auto"/>
                <w:sz w:val="21"/>
                <w:szCs w:val="21"/>
                <w:highlight w:val="none"/>
              </w:rPr>
              <w:t> </w:t>
            </w:r>
          </w:p>
        </w:tc>
      </w:tr>
      <w:tr w14:paraId="689B0A6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A11A4CA">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4837E46B">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614FBDD">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AADFCE3">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DBDA3E0">
            <w:pPr>
              <w:pStyle w:val="208"/>
              <w:spacing w:beforeAutospacing="0" w:afterAutospacing="0"/>
              <w:jc w:val="center"/>
              <w:rPr>
                <w:color w:val="auto"/>
                <w:sz w:val="21"/>
                <w:szCs w:val="21"/>
                <w:highlight w:val="none"/>
              </w:rPr>
            </w:pPr>
            <w:r>
              <w:rPr>
                <w:color w:val="auto"/>
                <w:sz w:val="21"/>
                <w:szCs w:val="21"/>
                <w:highlight w:val="none"/>
              </w:rPr>
              <w:t> </w:t>
            </w:r>
          </w:p>
        </w:tc>
      </w:tr>
      <w:tr w14:paraId="43584E4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B0875C3">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EBB3723">
            <w:pPr>
              <w:pStyle w:val="208"/>
              <w:spacing w:beforeAutospacing="0" w:afterAutospacing="0"/>
              <w:jc w:val="center"/>
              <w:rPr>
                <w:color w:val="auto"/>
                <w:sz w:val="21"/>
                <w:szCs w:val="21"/>
                <w:highlight w:val="none"/>
              </w:rPr>
            </w:pPr>
            <w:r>
              <w:rPr>
                <w:rFonts w:hint="eastAsia" w:ascii="宋体" w:hAnsi="宋体" w:cs="宋体"/>
                <w:color w:val="auto"/>
                <w:sz w:val="21"/>
                <w:szCs w:val="21"/>
                <w:highlight w:val="none"/>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7B43CD3F">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CAED360">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21D6DF2">
            <w:pPr>
              <w:pStyle w:val="208"/>
              <w:spacing w:beforeAutospacing="0" w:afterAutospacing="0"/>
              <w:jc w:val="center"/>
              <w:rPr>
                <w:color w:val="auto"/>
                <w:sz w:val="21"/>
                <w:szCs w:val="21"/>
                <w:highlight w:val="none"/>
              </w:rPr>
            </w:pPr>
            <w:r>
              <w:rPr>
                <w:color w:val="auto"/>
                <w:sz w:val="21"/>
                <w:szCs w:val="21"/>
                <w:highlight w:val="none"/>
              </w:rPr>
              <w:t> </w:t>
            </w:r>
          </w:p>
        </w:tc>
      </w:tr>
      <w:bookmarkEnd w:id="237"/>
    </w:tbl>
    <w:p w14:paraId="2980168A">
      <w:pPr>
        <w:pStyle w:val="208"/>
        <w:spacing w:beforeAutospacing="0" w:afterAutospacing="0"/>
        <w:jc w:val="both"/>
        <w:rPr>
          <w:color w:val="auto"/>
          <w:sz w:val="21"/>
          <w:szCs w:val="21"/>
          <w:highlight w:val="none"/>
        </w:rPr>
      </w:pPr>
      <w:r>
        <w:rPr>
          <w:rFonts w:hint="eastAsia" w:ascii="宋体" w:hAnsi="宋体" w:cs="宋体"/>
          <w:color w:val="auto"/>
          <w:sz w:val="21"/>
          <w:szCs w:val="21"/>
          <w:highlight w:val="none"/>
        </w:rPr>
        <w:t>注： 行数不够，可自行添加。</w:t>
      </w:r>
    </w:p>
    <w:bookmarkEnd w:id="228"/>
    <w:p w14:paraId="23635E83">
      <w:pPr>
        <w:pStyle w:val="208"/>
        <w:spacing w:beforeAutospacing="0" w:afterAutospacing="0" w:line="480" w:lineRule="auto"/>
        <w:jc w:val="both"/>
        <w:rPr>
          <w:color w:val="auto"/>
          <w:highlight w:val="none"/>
        </w:rPr>
      </w:pPr>
      <w:r>
        <w:rPr>
          <w:color w:val="auto"/>
          <w:sz w:val="21"/>
          <w:szCs w:val="21"/>
          <w:highlight w:val="none"/>
        </w:rPr>
        <w:t> </w:t>
      </w:r>
    </w:p>
    <w:p w14:paraId="36A4F9CD">
      <w:pPr>
        <w:pStyle w:val="208"/>
        <w:spacing w:beforeAutospacing="0" w:afterAutospacing="0" w:line="480" w:lineRule="auto"/>
        <w:jc w:val="both"/>
        <w:rPr>
          <w:color w:val="auto"/>
          <w:highlight w:val="none"/>
        </w:rPr>
      </w:pPr>
      <w:r>
        <w:rPr>
          <w:color w:val="auto"/>
          <w:highlight w:val="none"/>
        </w:rPr>
        <w:t> </w:t>
      </w:r>
    </w:p>
    <w:p w14:paraId="5857D8E0">
      <w:pPr>
        <w:pStyle w:val="208"/>
        <w:spacing w:beforeAutospacing="0" w:afterAutospacing="0"/>
        <w:jc w:val="center"/>
        <w:rPr>
          <w:color w:val="auto"/>
          <w:highlight w:val="none"/>
        </w:rPr>
      </w:pPr>
      <w:bookmarkStart w:id="238" w:name="_Toc462564146"/>
      <w:bookmarkStart w:id="239" w:name="_Hlt26955066"/>
      <w:bookmarkStart w:id="240" w:name="_Hlt26609389"/>
      <w:bookmarkStart w:id="241" w:name="_格式2__法定代表人授权书"/>
      <w:bookmarkStart w:id="242" w:name="_Hlt26671374"/>
      <w:r>
        <w:rPr>
          <w:color w:val="auto"/>
          <w:highlight w:val="none"/>
        </w:rPr>
        <w:t> </w:t>
      </w:r>
    </w:p>
    <w:p w14:paraId="3CBC51C9">
      <w:pPr>
        <w:pStyle w:val="208"/>
        <w:spacing w:beforeAutospacing="0" w:afterAutospacing="0"/>
        <w:jc w:val="center"/>
        <w:rPr>
          <w:color w:val="auto"/>
          <w:highlight w:val="none"/>
        </w:rPr>
      </w:pPr>
      <w:r>
        <w:rPr>
          <w:color w:val="auto"/>
          <w:highlight w:val="none"/>
        </w:rPr>
        <w:t> </w:t>
      </w:r>
    </w:p>
    <w:p w14:paraId="131ACBDB">
      <w:pPr>
        <w:pStyle w:val="208"/>
        <w:spacing w:beforeAutospacing="0" w:afterAutospacing="0"/>
        <w:jc w:val="center"/>
        <w:rPr>
          <w:color w:val="auto"/>
          <w:highlight w:val="none"/>
        </w:rPr>
      </w:pPr>
      <w:r>
        <w:rPr>
          <w:color w:val="auto"/>
          <w:highlight w:val="none"/>
        </w:rPr>
        <w:t> </w:t>
      </w:r>
    </w:p>
    <w:p w14:paraId="6488A91A">
      <w:pPr>
        <w:pStyle w:val="208"/>
        <w:spacing w:beforeAutospacing="0" w:afterAutospacing="0"/>
        <w:jc w:val="center"/>
        <w:rPr>
          <w:color w:val="auto"/>
          <w:highlight w:val="none"/>
        </w:rPr>
      </w:pPr>
      <w:r>
        <w:rPr>
          <w:color w:val="auto"/>
          <w:highlight w:val="none"/>
        </w:rPr>
        <w:t> </w:t>
      </w:r>
    </w:p>
    <w:p w14:paraId="660F9A01">
      <w:pPr>
        <w:pStyle w:val="208"/>
        <w:spacing w:beforeAutospacing="0" w:afterAutospacing="0"/>
        <w:jc w:val="center"/>
        <w:rPr>
          <w:color w:val="auto"/>
          <w:highlight w:val="none"/>
        </w:rPr>
      </w:pPr>
      <w:r>
        <w:rPr>
          <w:color w:val="auto"/>
          <w:highlight w:val="none"/>
        </w:rPr>
        <w:t> </w:t>
      </w:r>
    </w:p>
    <w:p w14:paraId="386D7220">
      <w:pPr>
        <w:pStyle w:val="208"/>
        <w:spacing w:beforeAutospacing="0" w:afterAutospacing="0"/>
        <w:jc w:val="center"/>
        <w:rPr>
          <w:color w:val="auto"/>
          <w:highlight w:val="none"/>
        </w:rPr>
      </w:pPr>
      <w:r>
        <w:rPr>
          <w:color w:val="auto"/>
          <w:highlight w:val="none"/>
        </w:rPr>
        <w:t> </w:t>
      </w:r>
    </w:p>
    <w:p w14:paraId="02F4F0F4">
      <w:pPr>
        <w:pStyle w:val="208"/>
        <w:spacing w:beforeAutospacing="0" w:afterAutospacing="0"/>
        <w:jc w:val="center"/>
        <w:rPr>
          <w:color w:val="auto"/>
          <w:highlight w:val="none"/>
        </w:rPr>
      </w:pPr>
    </w:p>
    <w:p w14:paraId="1B1F53A7">
      <w:pPr>
        <w:pStyle w:val="208"/>
        <w:spacing w:beforeAutospacing="0" w:afterAutospacing="0"/>
        <w:jc w:val="center"/>
        <w:rPr>
          <w:color w:val="auto"/>
          <w:highlight w:val="none"/>
        </w:rPr>
      </w:pPr>
    </w:p>
    <w:p w14:paraId="1B87A9AF">
      <w:pPr>
        <w:pStyle w:val="208"/>
        <w:spacing w:beforeAutospacing="0" w:afterAutospacing="0"/>
        <w:jc w:val="center"/>
        <w:rPr>
          <w:color w:val="auto"/>
          <w:highlight w:val="none"/>
        </w:rPr>
      </w:pPr>
    </w:p>
    <w:p w14:paraId="2839AE86">
      <w:pPr>
        <w:pStyle w:val="208"/>
        <w:spacing w:beforeAutospacing="0" w:afterAutospacing="0"/>
        <w:jc w:val="center"/>
        <w:rPr>
          <w:color w:val="auto"/>
          <w:highlight w:val="none"/>
        </w:rPr>
      </w:pPr>
    </w:p>
    <w:p w14:paraId="10BF4CBC">
      <w:pPr>
        <w:pStyle w:val="208"/>
        <w:spacing w:beforeAutospacing="0" w:afterAutospacing="0"/>
        <w:jc w:val="center"/>
        <w:rPr>
          <w:color w:val="auto"/>
          <w:highlight w:val="none"/>
        </w:rPr>
      </w:pPr>
    </w:p>
    <w:p w14:paraId="72BFBA8C">
      <w:pPr>
        <w:pStyle w:val="208"/>
        <w:spacing w:beforeAutospacing="0" w:afterAutospacing="0"/>
        <w:jc w:val="center"/>
        <w:rPr>
          <w:color w:val="auto"/>
          <w:highlight w:val="none"/>
        </w:rPr>
      </w:pPr>
    </w:p>
    <w:p w14:paraId="464E2B67">
      <w:pPr>
        <w:pStyle w:val="208"/>
        <w:spacing w:beforeAutospacing="0" w:afterAutospacing="0"/>
        <w:jc w:val="center"/>
        <w:rPr>
          <w:color w:val="auto"/>
          <w:highlight w:val="none"/>
        </w:rPr>
      </w:pPr>
    </w:p>
    <w:p w14:paraId="06BD55D1">
      <w:pPr>
        <w:pStyle w:val="208"/>
        <w:spacing w:beforeAutospacing="0" w:afterAutospacing="0"/>
        <w:jc w:val="center"/>
        <w:rPr>
          <w:color w:val="auto"/>
          <w:highlight w:val="none"/>
        </w:rPr>
      </w:pPr>
    </w:p>
    <w:p w14:paraId="37C482A6">
      <w:pPr>
        <w:pStyle w:val="208"/>
        <w:spacing w:beforeAutospacing="0" w:afterAutospacing="0"/>
        <w:jc w:val="center"/>
        <w:rPr>
          <w:color w:val="auto"/>
          <w:highlight w:val="none"/>
        </w:rPr>
      </w:pPr>
    </w:p>
    <w:p w14:paraId="5BBC6DA1">
      <w:pPr>
        <w:pStyle w:val="208"/>
        <w:spacing w:beforeAutospacing="0" w:afterAutospacing="0"/>
        <w:jc w:val="center"/>
        <w:rPr>
          <w:color w:val="auto"/>
          <w:highlight w:val="none"/>
        </w:rPr>
      </w:pPr>
      <w:r>
        <w:rPr>
          <w:color w:val="auto"/>
          <w:highlight w:val="none"/>
        </w:rPr>
        <w:t> </w:t>
      </w:r>
    </w:p>
    <w:p w14:paraId="718F1A05">
      <w:pPr>
        <w:pStyle w:val="208"/>
        <w:spacing w:beforeAutospacing="0" w:afterAutospacing="0"/>
        <w:jc w:val="center"/>
        <w:rPr>
          <w:color w:val="auto"/>
          <w:highlight w:val="none"/>
        </w:rPr>
      </w:pPr>
      <w:r>
        <w:rPr>
          <w:color w:val="auto"/>
          <w:highlight w:val="none"/>
        </w:rPr>
        <w:t> </w:t>
      </w:r>
    </w:p>
    <w:p w14:paraId="00DADE39">
      <w:pPr>
        <w:pStyle w:val="208"/>
        <w:spacing w:beforeAutospacing="0" w:afterAutospacing="0"/>
        <w:jc w:val="cente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w:t>
      </w:r>
    </w:p>
    <w:p w14:paraId="196DDF28">
      <w:pPr>
        <w:pBdr>
          <w:top w:val="none" w:color="auto" w:sz="0" w:space="0"/>
          <w:left w:val="none" w:color="auto" w:sz="0" w:space="0"/>
          <w:bottom w:val="none" w:color="auto" w:sz="0" w:space="0"/>
          <w:right w:val="none" w:color="auto" w:sz="0" w:space="0"/>
        </w:pBdr>
        <w:spacing w:before="240" w:after="240"/>
        <w:ind w:left="0" w:right="0" w:firstLine="0"/>
        <w:jc w:val="center"/>
        <w:rPr>
          <w:color w:val="auto"/>
          <w:sz w:val="24"/>
          <w:szCs w:val="24"/>
          <w:highlight w:val="none"/>
        </w:rPr>
      </w:pPr>
    </w:p>
    <w:p w14:paraId="635D060A">
      <w:pPr>
        <w:pBdr>
          <w:top w:val="none" w:color="auto" w:sz="0" w:space="0"/>
          <w:left w:val="none" w:color="auto" w:sz="0" w:space="0"/>
          <w:bottom w:val="none" w:color="auto" w:sz="0" w:space="0"/>
          <w:right w:val="none" w:color="auto" w:sz="0" w:space="0"/>
        </w:pBdr>
        <w:spacing w:before="240" w:after="240"/>
        <w:ind w:left="0" w:right="0" w:firstLine="0"/>
        <w:jc w:val="both"/>
        <w:rPr>
          <w:rFonts w:ascii="黑体" w:hAnsi="黑体" w:eastAsia="黑体" w:cs="黑体"/>
          <w:b/>
          <w:i/>
          <w:color w:val="auto"/>
          <w:sz w:val="32"/>
          <w:highlight w:val="none"/>
          <w:u w:val="single"/>
        </w:rPr>
      </w:pPr>
    </w:p>
    <w:p w14:paraId="15FC928A">
      <w:pPr>
        <w:pBdr>
          <w:top w:val="none" w:color="auto" w:sz="0" w:space="0"/>
          <w:left w:val="none" w:color="auto" w:sz="0" w:space="0"/>
          <w:bottom w:val="none" w:color="auto" w:sz="0" w:space="0"/>
          <w:right w:val="none" w:color="auto" w:sz="0" w:space="0"/>
        </w:pBdr>
        <w:spacing w:before="240" w:after="240"/>
        <w:ind w:left="0" w:right="0" w:firstLine="0"/>
        <w:jc w:val="center"/>
        <w:rPr>
          <w:rFonts w:ascii="黑体" w:hAnsi="黑体" w:eastAsia="黑体" w:cs="黑体"/>
          <w:b/>
          <w:bCs/>
          <w:i/>
          <w:iCs w:val="0"/>
          <w:color w:val="auto"/>
          <w:sz w:val="32"/>
          <w:szCs w:val="32"/>
          <w:highlight w:val="none"/>
          <w:u w:val="single"/>
        </w:rPr>
      </w:pPr>
      <w:r>
        <w:rPr>
          <w:rFonts w:ascii="黑体" w:hAnsi="黑体" w:eastAsia="黑体" w:cs="黑体"/>
          <w:b/>
          <w:i/>
          <w:iCs w:val="0"/>
          <w:color w:val="auto"/>
          <w:sz w:val="32"/>
          <w:highlight w:val="none"/>
          <w:u w:val="single"/>
        </w:rPr>
        <w:t>十</w:t>
      </w:r>
      <w:r>
        <w:rPr>
          <w:rFonts w:hint="eastAsia" w:ascii="黑体" w:hAnsi="黑体" w:eastAsia="黑体" w:cs="黑体"/>
          <w:b/>
          <w:i/>
          <w:iCs w:val="0"/>
          <w:color w:val="auto"/>
          <w:sz w:val="32"/>
          <w:highlight w:val="none"/>
          <w:u w:val="single"/>
          <w:lang w:val="en-US" w:eastAsia="zh-CN"/>
        </w:rPr>
        <w:t>六</w:t>
      </w:r>
      <w:r>
        <w:rPr>
          <w:rFonts w:ascii="黑体" w:hAnsi="黑体" w:eastAsia="黑体" w:cs="黑体"/>
          <w:b/>
          <w:i/>
          <w:iCs w:val="0"/>
          <w:color w:val="auto"/>
          <w:sz w:val="32"/>
          <w:highlight w:val="none"/>
          <w:u w:val="single"/>
        </w:rPr>
        <w:t>、开标一览表（总价）</w:t>
      </w:r>
    </w:p>
    <w:p w14:paraId="5E040169">
      <w:pPr>
        <w:pBdr>
          <w:top w:val="none" w:color="auto" w:sz="0" w:space="0"/>
          <w:left w:val="none" w:color="auto" w:sz="0" w:space="0"/>
          <w:bottom w:val="none" w:color="auto" w:sz="0" w:space="0"/>
          <w:right w:val="none" w:color="auto" w:sz="0" w:space="0"/>
        </w:pBdr>
        <w:spacing w:before="240" w:after="240"/>
        <w:ind w:left="0" w:right="0" w:firstLine="0"/>
        <w:rPr>
          <w:color w:val="auto"/>
          <w:highlight w:val="none"/>
        </w:rPr>
      </w:pPr>
      <w:r>
        <w:rPr>
          <w:rFonts w:ascii="宋体" w:hAnsi="宋体" w:eastAsia="宋体" w:cs="宋体"/>
          <w:color w:val="auto"/>
          <w:sz w:val="21"/>
          <w:highlight w:val="none"/>
        </w:rPr>
        <w:t>投标人全称（CA公章）：</w:t>
      </w:r>
    </w:p>
    <w:p w14:paraId="270D7996">
      <w:pPr>
        <w:pBdr>
          <w:top w:val="none" w:color="auto" w:sz="0" w:space="0"/>
          <w:left w:val="none" w:color="auto" w:sz="0" w:space="0"/>
          <w:bottom w:val="none" w:color="auto" w:sz="0" w:space="0"/>
          <w:right w:val="none" w:color="auto" w:sz="0" w:space="0"/>
        </w:pBdr>
        <w:spacing w:before="240" w:after="240"/>
        <w:ind w:left="0" w:right="0" w:firstLine="0"/>
        <w:rPr>
          <w:rFonts w:hint="eastAsia" w:eastAsia="宋体"/>
          <w:color w:val="auto"/>
          <w:highlight w:val="none"/>
          <w:lang w:eastAsia="zh-CN"/>
        </w:rPr>
      </w:pPr>
      <w:r>
        <w:rPr>
          <w:rFonts w:ascii="宋体" w:hAnsi="宋体" w:eastAsia="宋体" w:cs="宋体"/>
          <w:color w:val="auto"/>
          <w:sz w:val="21"/>
          <w:highlight w:val="none"/>
        </w:rPr>
        <w:t>项目名称：</w:t>
      </w:r>
      <w:r>
        <w:rPr>
          <w:rFonts w:hint="eastAsia" w:ascii="宋体" w:hAnsi="宋体" w:cs="宋体"/>
          <w:color w:val="auto"/>
          <w:sz w:val="21"/>
          <w:highlight w:val="none"/>
          <w:lang w:eastAsia="zh-CN"/>
        </w:rPr>
        <w:t>盐城市公安局亭湖分局农村地区智慧安防村居建设(2026年)项目</w:t>
      </w:r>
    </w:p>
    <w:p w14:paraId="6CFBF319">
      <w:pPr>
        <w:pBdr>
          <w:top w:val="none" w:color="auto" w:sz="0" w:space="0"/>
          <w:left w:val="none" w:color="auto" w:sz="0" w:space="0"/>
          <w:bottom w:val="none" w:color="auto" w:sz="0" w:space="0"/>
          <w:right w:val="none" w:color="auto" w:sz="0" w:space="0"/>
        </w:pBdr>
        <w:spacing w:before="240" w:after="240"/>
        <w:ind w:left="0" w:right="0" w:firstLine="0"/>
        <w:rPr>
          <w:rFonts w:hint="eastAsia" w:eastAsia="宋体"/>
          <w:color w:val="auto"/>
          <w:highlight w:val="none"/>
          <w:lang w:eastAsia="zh-CN"/>
        </w:rPr>
      </w:pPr>
      <w:r>
        <w:rPr>
          <w:rFonts w:ascii="宋体" w:hAnsi="宋体" w:eastAsia="宋体" w:cs="宋体"/>
          <w:color w:val="auto"/>
          <w:sz w:val="21"/>
          <w:highlight w:val="none"/>
        </w:rPr>
        <w:t>项目编号：</w:t>
      </w:r>
      <w:r>
        <w:rPr>
          <w:rFonts w:hint="eastAsia" w:ascii="宋体" w:hAnsi="宋体" w:cs="宋体"/>
          <w:color w:val="auto"/>
          <w:sz w:val="21"/>
          <w:highlight w:val="none"/>
          <w:lang w:eastAsia="zh-CN"/>
        </w:rPr>
        <w:t>JSZC-320900-XSYG-G2026-0011</w:t>
      </w:r>
    </w:p>
    <w:p w14:paraId="021FC965">
      <w:pPr>
        <w:pBdr>
          <w:top w:val="none" w:color="auto" w:sz="0" w:space="0"/>
          <w:left w:val="none" w:color="auto" w:sz="0" w:space="0"/>
          <w:bottom w:val="none" w:color="auto" w:sz="0" w:space="0"/>
          <w:right w:val="none" w:color="auto" w:sz="0" w:space="0"/>
        </w:pBdr>
        <w:spacing w:before="240" w:after="240"/>
        <w:ind w:left="0" w:right="0" w:firstLine="0"/>
        <w:rPr>
          <w:color w:val="auto"/>
          <w:highlight w:val="none"/>
        </w:rPr>
      </w:pPr>
      <w:r>
        <w:rPr>
          <w:rFonts w:ascii="宋体" w:hAnsi="宋体" w:eastAsia="宋体" w:cs="宋体"/>
          <w:color w:val="auto"/>
          <w:sz w:val="21"/>
          <w:highlight w:val="none"/>
        </w:rPr>
        <w:t>分包号：</w:t>
      </w:r>
    </w:p>
    <w:tbl>
      <w:tblPr>
        <w:tblStyle w:val="32"/>
        <w:tblW w:w="80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690"/>
        <w:gridCol w:w="5356"/>
      </w:tblGrid>
      <w:tr w14:paraId="38C5C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7" w:hRule="atLeast"/>
        </w:trPr>
        <w:tc>
          <w:tcPr>
            <w:tcW w:w="269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9C6E6F1">
            <w:pPr>
              <w:pBdr>
                <w:top w:val="none" w:color="auto" w:sz="0" w:space="0"/>
                <w:left w:val="none" w:color="auto" w:sz="0" w:space="0"/>
                <w:bottom w:val="none" w:color="auto" w:sz="0" w:space="0"/>
                <w:right w:val="none" w:color="auto" w:sz="0" w:space="0"/>
              </w:pBdr>
              <w:spacing w:before="240" w:after="240" w:line="240" w:lineRule="auto"/>
              <w:ind w:left="0" w:right="0" w:firstLine="0"/>
              <w:jc w:val="center"/>
              <w:rPr>
                <w:color w:val="auto"/>
                <w:highlight w:val="none"/>
              </w:rPr>
            </w:pPr>
            <w:r>
              <w:rPr>
                <w:rFonts w:ascii="宋体" w:hAnsi="宋体" w:eastAsia="宋体" w:cs="宋体"/>
                <w:color w:val="auto"/>
                <w:sz w:val="21"/>
                <w:highlight w:val="none"/>
              </w:rPr>
              <w:t>投标货物名称</w:t>
            </w:r>
          </w:p>
        </w:tc>
        <w:tc>
          <w:tcPr>
            <w:tcW w:w="53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C62E764">
            <w:pPr>
              <w:pBdr>
                <w:top w:val="none" w:color="auto" w:sz="0" w:space="0"/>
                <w:left w:val="none" w:color="auto" w:sz="0" w:space="0"/>
                <w:bottom w:val="none" w:color="auto" w:sz="0" w:space="0"/>
                <w:right w:val="none" w:color="auto" w:sz="0" w:space="0"/>
              </w:pBdr>
              <w:spacing w:before="240" w:after="240" w:line="240" w:lineRule="auto"/>
              <w:ind w:left="0" w:right="0" w:firstLine="0"/>
              <w:jc w:val="center"/>
              <w:rPr>
                <w:color w:val="auto"/>
                <w:highlight w:val="none"/>
              </w:rPr>
            </w:pPr>
            <w:r>
              <w:rPr>
                <w:rFonts w:ascii="宋体" w:hAnsi="宋体" w:eastAsia="宋体" w:cs="宋体"/>
                <w:color w:val="auto"/>
                <w:sz w:val="21"/>
                <w:highlight w:val="none"/>
              </w:rPr>
              <w:t>总价（小写）</w:t>
            </w:r>
          </w:p>
        </w:tc>
      </w:tr>
      <w:tr w14:paraId="758BF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6" w:hRule="atLeast"/>
        </w:trPr>
        <w:tc>
          <w:tcPr>
            <w:tcW w:w="269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CA1AAA1">
            <w:pPr>
              <w:pBdr>
                <w:top w:val="none" w:color="auto" w:sz="0" w:space="0"/>
                <w:left w:val="none" w:color="auto" w:sz="0" w:space="0"/>
                <w:bottom w:val="none" w:color="auto" w:sz="0" w:space="0"/>
                <w:right w:val="none" w:color="auto" w:sz="0" w:space="0"/>
              </w:pBdr>
              <w:spacing w:before="240" w:after="240" w:line="240" w:lineRule="auto"/>
              <w:ind w:left="0" w:right="0" w:firstLine="0"/>
              <w:jc w:val="center"/>
              <w:rPr>
                <w:color w:val="auto"/>
                <w:highlight w:val="none"/>
              </w:rPr>
            </w:pPr>
            <w:r>
              <w:rPr>
                <w:rFonts w:ascii="宋体" w:hAnsi="宋体" w:eastAsia="宋体" w:cs="宋体"/>
                <w:color w:val="auto"/>
                <w:sz w:val="21"/>
                <w:highlight w:val="none"/>
              </w:rPr>
              <w:t>投标产品名称 </w:t>
            </w:r>
          </w:p>
        </w:tc>
        <w:tc>
          <w:tcPr>
            <w:tcW w:w="53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C833F64">
            <w:pPr>
              <w:pBdr>
                <w:top w:val="none" w:color="auto" w:sz="0" w:space="0"/>
                <w:left w:val="none" w:color="auto" w:sz="0" w:space="0"/>
                <w:bottom w:val="none" w:color="auto" w:sz="0" w:space="0"/>
                <w:right w:val="none" w:color="auto" w:sz="0" w:space="0"/>
              </w:pBdr>
              <w:spacing w:before="240" w:after="240" w:line="240" w:lineRule="auto"/>
              <w:ind w:left="0" w:right="0" w:firstLine="0"/>
              <w:jc w:val="center"/>
              <w:rPr>
                <w:color w:val="auto"/>
                <w:highlight w:val="none"/>
              </w:rPr>
            </w:pPr>
            <w:r>
              <w:rPr>
                <w:rFonts w:ascii="宋体" w:hAnsi="宋体" w:eastAsia="宋体" w:cs="宋体"/>
                <w:color w:val="auto"/>
                <w:sz w:val="21"/>
                <w:highlight w:val="none"/>
              </w:rPr>
              <w:t>元</w:t>
            </w:r>
          </w:p>
        </w:tc>
      </w:tr>
      <w:tr w14:paraId="14F89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3" w:hRule="atLeast"/>
        </w:trPr>
        <w:tc>
          <w:tcPr>
            <w:tcW w:w="269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5A8B7DF">
            <w:pPr>
              <w:pBdr>
                <w:top w:val="none" w:color="auto" w:sz="0" w:space="0"/>
                <w:left w:val="none" w:color="auto" w:sz="0" w:space="0"/>
                <w:bottom w:val="none" w:color="auto" w:sz="0" w:space="0"/>
                <w:right w:val="none" w:color="auto" w:sz="0" w:space="0"/>
              </w:pBdr>
              <w:spacing w:before="240" w:after="240" w:line="240" w:lineRule="auto"/>
              <w:ind w:left="0" w:right="0" w:firstLine="0"/>
              <w:jc w:val="center"/>
              <w:rPr>
                <w:color w:val="auto"/>
                <w:highlight w:val="none"/>
              </w:rPr>
            </w:pPr>
            <w:r>
              <w:rPr>
                <w:rFonts w:ascii="宋体" w:hAnsi="宋体" w:eastAsia="宋体" w:cs="宋体"/>
                <w:color w:val="auto"/>
                <w:sz w:val="21"/>
                <w:highlight w:val="none"/>
              </w:rPr>
              <w:t>核心产品品牌：</w:t>
            </w:r>
          </w:p>
        </w:tc>
        <w:tc>
          <w:tcPr>
            <w:tcW w:w="53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3A5093C">
            <w:pPr>
              <w:pBdr>
                <w:top w:val="none" w:color="auto" w:sz="0" w:space="0"/>
                <w:left w:val="none" w:color="auto" w:sz="0" w:space="0"/>
                <w:bottom w:val="none" w:color="auto" w:sz="0" w:space="0"/>
                <w:right w:val="none" w:color="auto" w:sz="0" w:space="0"/>
              </w:pBdr>
              <w:spacing w:before="240" w:after="240" w:line="240" w:lineRule="auto"/>
              <w:ind w:left="0" w:right="0" w:firstLine="0"/>
              <w:jc w:val="center"/>
              <w:rPr>
                <w:color w:val="auto"/>
                <w:highlight w:val="none"/>
              </w:rPr>
            </w:pPr>
            <w:r>
              <w:rPr>
                <w:rFonts w:ascii="宋体" w:hAnsi="宋体" w:eastAsia="宋体" w:cs="宋体"/>
                <w:color w:val="auto"/>
                <w:sz w:val="21"/>
                <w:highlight w:val="none"/>
              </w:rPr>
              <w:t> </w:t>
            </w:r>
          </w:p>
        </w:tc>
      </w:tr>
    </w:tbl>
    <w:p w14:paraId="122CB845">
      <w:pPr>
        <w:pBdr>
          <w:top w:val="none" w:color="auto" w:sz="0" w:space="0"/>
          <w:left w:val="none" w:color="auto" w:sz="0" w:space="0"/>
          <w:bottom w:val="none" w:color="auto" w:sz="0" w:space="0"/>
          <w:right w:val="none" w:color="auto" w:sz="0" w:space="0"/>
        </w:pBdr>
        <w:spacing w:before="240" w:after="240"/>
        <w:ind w:left="0" w:right="0" w:firstLine="0"/>
        <w:rPr>
          <w:color w:val="auto"/>
          <w:highlight w:val="none"/>
        </w:rPr>
      </w:pPr>
      <w:r>
        <w:rPr>
          <w:rFonts w:ascii="宋体" w:hAnsi="宋体" w:eastAsia="宋体" w:cs="宋体"/>
          <w:color w:val="auto"/>
          <w:sz w:val="21"/>
          <w:highlight w:val="none"/>
        </w:rPr>
        <w:t>  </w:t>
      </w:r>
    </w:p>
    <w:p w14:paraId="058BA1F3">
      <w:pPr>
        <w:pBdr>
          <w:top w:val="none" w:color="auto" w:sz="0" w:space="0"/>
          <w:left w:val="none" w:color="auto" w:sz="0" w:space="0"/>
          <w:bottom w:val="none" w:color="auto" w:sz="0" w:space="0"/>
          <w:right w:val="none" w:color="auto" w:sz="0" w:space="0"/>
        </w:pBdr>
        <w:spacing w:before="240" w:after="240"/>
        <w:ind w:left="0" w:right="0" w:firstLine="0"/>
        <w:jc w:val="right"/>
        <w:rPr>
          <w:color w:val="auto"/>
          <w:highlight w:val="none"/>
        </w:rPr>
      </w:pPr>
      <w:r>
        <w:rPr>
          <w:rFonts w:ascii="宋体" w:hAnsi="宋体" w:eastAsia="宋体" w:cs="宋体"/>
          <w:color w:val="auto"/>
          <w:sz w:val="21"/>
          <w:highlight w:val="none"/>
        </w:rPr>
        <w:t>日期：    年  月  日</w:t>
      </w:r>
    </w:p>
    <w:p w14:paraId="30E72525">
      <w:pPr>
        <w:pStyle w:val="208"/>
        <w:spacing w:beforeAutospacing="0" w:afterAutospacing="0"/>
        <w:ind w:firstLine="480"/>
        <w:jc w:val="both"/>
        <w:rPr>
          <w:rFonts w:hint="eastAsia" w:ascii="宋体" w:hAnsi="宋体" w:cs="宋体"/>
          <w:color w:val="auto"/>
          <w:sz w:val="21"/>
          <w:szCs w:val="21"/>
          <w:highlight w:val="none"/>
        </w:rPr>
      </w:pPr>
    </w:p>
    <w:p w14:paraId="21942F75">
      <w:pPr>
        <w:pStyle w:val="208"/>
        <w:spacing w:beforeAutospacing="0" w:afterAutospacing="0"/>
        <w:ind w:firstLine="480"/>
        <w:jc w:val="both"/>
        <w:rPr>
          <w:rFonts w:hint="eastAsia" w:ascii="宋体" w:hAnsi="宋体" w:cs="宋体"/>
          <w:color w:val="auto"/>
          <w:sz w:val="21"/>
          <w:szCs w:val="21"/>
          <w:highlight w:val="none"/>
        </w:rPr>
      </w:pPr>
    </w:p>
    <w:p w14:paraId="219CF17C">
      <w:pPr>
        <w:pStyle w:val="208"/>
        <w:spacing w:beforeAutospacing="0" w:afterAutospacing="0"/>
        <w:ind w:firstLine="480"/>
        <w:jc w:val="both"/>
        <w:rPr>
          <w:rFonts w:hint="eastAsia" w:ascii="宋体" w:hAnsi="宋体" w:cs="宋体"/>
          <w:color w:val="auto"/>
          <w:sz w:val="21"/>
          <w:szCs w:val="21"/>
          <w:highlight w:val="none"/>
        </w:rPr>
      </w:pPr>
    </w:p>
    <w:p w14:paraId="0A47C501">
      <w:pPr>
        <w:pStyle w:val="208"/>
        <w:spacing w:beforeAutospacing="0" w:afterAutospacing="0"/>
        <w:ind w:firstLine="480"/>
        <w:jc w:val="both"/>
        <w:rPr>
          <w:color w:val="auto"/>
          <w:highlight w:val="none"/>
        </w:rPr>
      </w:pPr>
    </w:p>
    <w:p w14:paraId="17E9305B">
      <w:pPr>
        <w:pStyle w:val="208"/>
        <w:spacing w:beforeAutospacing="0" w:afterAutospacing="0"/>
        <w:ind w:firstLine="480"/>
        <w:jc w:val="both"/>
        <w:rPr>
          <w:color w:val="auto"/>
          <w:highlight w:val="none"/>
        </w:rPr>
      </w:pPr>
    </w:p>
    <w:p w14:paraId="29BACE87">
      <w:pPr>
        <w:pStyle w:val="208"/>
        <w:spacing w:beforeAutospacing="0" w:afterAutospacing="0"/>
        <w:ind w:firstLine="480"/>
        <w:jc w:val="both"/>
        <w:rPr>
          <w:color w:val="auto"/>
          <w:highlight w:val="none"/>
        </w:rPr>
      </w:pPr>
    </w:p>
    <w:p w14:paraId="01996EC5">
      <w:pPr>
        <w:pStyle w:val="208"/>
        <w:spacing w:beforeAutospacing="0" w:afterAutospacing="0"/>
        <w:ind w:firstLine="480"/>
        <w:jc w:val="both"/>
        <w:rPr>
          <w:color w:val="auto"/>
          <w:highlight w:val="none"/>
        </w:rPr>
      </w:pPr>
      <w:r>
        <w:rPr>
          <w:color w:val="auto"/>
          <w:highlight w:val="none"/>
        </w:rPr>
        <w:t> </w:t>
      </w:r>
    </w:p>
    <w:p w14:paraId="166EF138">
      <w:pPr>
        <w:pStyle w:val="208"/>
        <w:spacing w:beforeAutospacing="0" w:afterAutospacing="0"/>
        <w:ind w:firstLine="480"/>
        <w:jc w:val="both"/>
        <w:rPr>
          <w:color w:val="auto"/>
          <w:highlight w:val="none"/>
        </w:rPr>
      </w:pPr>
      <w:r>
        <w:rPr>
          <w:color w:val="auto"/>
          <w:highlight w:val="none"/>
        </w:rPr>
        <w:t> </w:t>
      </w:r>
    </w:p>
    <w:p w14:paraId="498B172E">
      <w:pPr>
        <w:pStyle w:val="208"/>
        <w:spacing w:beforeAutospacing="0" w:afterAutospacing="0"/>
        <w:jc w:val="both"/>
        <w:rPr>
          <w:color w:val="auto"/>
          <w:highlight w:val="none"/>
        </w:rPr>
      </w:pPr>
      <w:r>
        <w:rPr>
          <w:color w:val="auto"/>
          <w:highlight w:val="none"/>
        </w:rPr>
        <w:t> </w:t>
      </w:r>
    </w:p>
    <w:p w14:paraId="09308DDA">
      <w:pPr>
        <w:pStyle w:val="208"/>
        <w:spacing w:beforeAutospacing="0" w:afterAutospacing="0"/>
        <w:jc w:val="both"/>
        <w:rPr>
          <w:rFonts w:hint="eastAsia" w:ascii="宋体" w:hAnsi="宋体" w:cs="宋体"/>
          <w:color w:val="auto"/>
          <w:highlight w:val="none"/>
        </w:rPr>
      </w:pPr>
      <w:r>
        <w:rPr>
          <w:rFonts w:hint="eastAsia" w:ascii="宋体" w:hAnsi="宋体" w:cs="宋体"/>
          <w:color w:val="auto"/>
          <w:highlight w:val="none"/>
        </w:rPr>
        <w:t>             </w:t>
      </w:r>
    </w:p>
    <w:p w14:paraId="4B1A5FE3">
      <w:pPr>
        <w:pStyle w:val="208"/>
        <w:spacing w:beforeAutospacing="0" w:afterAutospacing="0"/>
        <w:jc w:val="both"/>
        <w:rPr>
          <w:rFonts w:hint="eastAsia" w:ascii="宋体" w:hAnsi="宋体" w:cs="宋体"/>
          <w:color w:val="auto"/>
          <w:highlight w:val="none"/>
        </w:rPr>
      </w:pPr>
    </w:p>
    <w:p w14:paraId="1107FB4F">
      <w:pPr>
        <w:pStyle w:val="208"/>
        <w:spacing w:beforeAutospacing="0" w:afterAutospacing="0"/>
        <w:jc w:val="both"/>
        <w:rPr>
          <w:color w:val="auto"/>
          <w:highlight w:val="none"/>
        </w:rPr>
      </w:pPr>
      <w:r>
        <w:rPr>
          <w:rFonts w:hint="eastAsia" w:ascii="宋体" w:hAnsi="宋体" w:cs="宋体"/>
          <w:color w:val="auto"/>
          <w:highlight w:val="none"/>
        </w:rPr>
        <w:t>                        </w:t>
      </w:r>
    </w:p>
    <w:p w14:paraId="5021B7E2">
      <w:pPr>
        <w:pStyle w:val="208"/>
        <w:spacing w:beforeAutospacing="0" w:afterAutospacing="0"/>
        <w:jc w:val="center"/>
        <w:rPr>
          <w:rFonts w:hint="eastAsia" w:ascii="宋体" w:hAnsi="宋体" w:cs="宋体"/>
          <w:b/>
          <w:color w:val="auto"/>
          <w:sz w:val="32"/>
          <w:szCs w:val="32"/>
          <w:highlight w:val="none"/>
        </w:rPr>
      </w:pPr>
    </w:p>
    <w:p w14:paraId="5976B2DC">
      <w:pPr>
        <w:pStyle w:val="208"/>
        <w:spacing w:beforeAutospacing="0" w:afterAutospacing="0"/>
        <w:rPr>
          <w:rFonts w:hint="eastAsia" w:ascii="宋体" w:hAnsi="宋体" w:cs="宋体"/>
          <w:b/>
          <w:color w:val="auto"/>
          <w:sz w:val="32"/>
          <w:szCs w:val="32"/>
          <w:highlight w:val="none"/>
        </w:rPr>
      </w:pPr>
    </w:p>
    <w:p w14:paraId="0B400F16">
      <w:pPr>
        <w:pStyle w:val="208"/>
        <w:spacing w:beforeAutospacing="0" w:afterAutospacing="0"/>
        <w:rPr>
          <w:rFonts w:hint="eastAsia" w:ascii="宋体" w:hAnsi="宋体" w:cs="宋体"/>
          <w:b/>
          <w:color w:val="auto"/>
          <w:sz w:val="32"/>
          <w:szCs w:val="32"/>
          <w:highlight w:val="none"/>
        </w:rPr>
      </w:pPr>
    </w:p>
    <w:p w14:paraId="29FB4801">
      <w:pPr>
        <w:pStyle w:val="208"/>
        <w:spacing w:beforeAutospacing="0" w:afterAutospacing="0"/>
        <w:rPr>
          <w:rFonts w:hint="eastAsia" w:ascii="宋体" w:hAnsi="宋体" w:cs="宋体"/>
          <w:b/>
          <w:color w:val="auto"/>
          <w:sz w:val="32"/>
          <w:szCs w:val="32"/>
          <w:highlight w:val="none"/>
        </w:rPr>
      </w:pPr>
    </w:p>
    <w:p w14:paraId="43F1AC66">
      <w:pPr>
        <w:pStyle w:val="208"/>
        <w:spacing w:beforeAutospacing="0" w:afterAutospacing="0"/>
        <w:rPr>
          <w:rFonts w:hint="eastAsia" w:ascii="宋体" w:hAnsi="宋体" w:cs="宋体"/>
          <w:b/>
          <w:color w:val="auto"/>
          <w:sz w:val="32"/>
          <w:szCs w:val="32"/>
          <w:highlight w:val="none"/>
        </w:rPr>
      </w:pPr>
    </w:p>
    <w:p w14:paraId="45C53D24">
      <w:pPr>
        <w:pStyle w:val="208"/>
        <w:spacing w:beforeAutospacing="0" w:afterAutospacing="0"/>
        <w:rPr>
          <w:rFonts w:hint="eastAsia" w:ascii="宋体" w:hAnsi="宋体" w:cs="宋体"/>
          <w:b/>
          <w:color w:val="auto"/>
          <w:sz w:val="32"/>
          <w:szCs w:val="32"/>
          <w:highlight w:val="none"/>
        </w:rPr>
      </w:pPr>
    </w:p>
    <w:p w14:paraId="5AFF6E03">
      <w:pPr>
        <w:pStyle w:val="208"/>
        <w:spacing w:beforeAutospacing="0" w:afterAutospacing="0"/>
        <w:rPr>
          <w:rFonts w:hint="eastAsia" w:ascii="宋体" w:hAnsi="宋体" w:cs="宋体"/>
          <w:b/>
          <w:color w:val="auto"/>
          <w:sz w:val="32"/>
          <w:szCs w:val="32"/>
          <w:highlight w:val="none"/>
        </w:rPr>
      </w:pPr>
    </w:p>
    <w:p w14:paraId="6AA7AA3E">
      <w:pPr>
        <w:widowControl/>
        <w:spacing w:before="50" w:after="50"/>
        <w:jc w:val="center"/>
        <w:rPr>
          <w:rFonts w:hint="eastAsia" w:ascii="黑体" w:hAnsi="宋体" w:eastAsia="黑体" w:cs="黑体"/>
          <w:b/>
          <w:color w:val="auto"/>
          <w:sz w:val="32"/>
          <w:szCs w:val="32"/>
          <w:highlight w:val="none"/>
          <w:lang w:val="en-US" w:eastAsia="zh-CN" w:bidi="ar-SA"/>
        </w:rPr>
      </w:pPr>
      <w:r>
        <w:rPr>
          <w:color w:val="auto"/>
          <w:highlight w:val="none"/>
        </w:rPr>
        <w:tab/>
      </w:r>
      <w:r>
        <w:rPr>
          <w:rFonts w:hint="eastAsia" w:ascii="黑体" w:hAnsi="宋体" w:eastAsia="黑体" w:cs="黑体"/>
          <w:b/>
          <w:color w:val="auto"/>
          <w:sz w:val="32"/>
          <w:szCs w:val="32"/>
          <w:highlight w:val="none"/>
          <w:lang w:val="en-US" w:eastAsia="zh-CN" w:bidi="ar-SA"/>
        </w:rPr>
        <w:t>十七、总体方案、建设方案、售后服务方案等</w:t>
      </w:r>
    </w:p>
    <w:p w14:paraId="69E0F792">
      <w:pPr>
        <w:pStyle w:val="208"/>
        <w:spacing w:beforeAutospacing="0" w:afterAutospacing="0"/>
        <w:jc w:val="center"/>
        <w:rPr>
          <w:rFonts w:hint="eastAsia" w:ascii="宋体" w:hAnsi="宋体" w:cs="宋体"/>
          <w:b/>
          <w:color w:val="auto"/>
          <w:sz w:val="32"/>
          <w:szCs w:val="32"/>
          <w:highlight w:val="none"/>
        </w:rPr>
      </w:pPr>
    </w:p>
    <w:p w14:paraId="24DBF354">
      <w:pPr>
        <w:pStyle w:val="208"/>
        <w:spacing w:beforeAutospacing="0" w:afterAutospacing="0"/>
        <w:jc w:val="center"/>
        <w:rPr>
          <w:rFonts w:hint="eastAsia" w:ascii="宋体" w:hAnsi="宋体" w:cs="宋体"/>
          <w:b/>
          <w:color w:val="auto"/>
          <w:sz w:val="32"/>
          <w:szCs w:val="32"/>
          <w:highlight w:val="none"/>
        </w:rPr>
      </w:pPr>
    </w:p>
    <w:p w14:paraId="4D55EE97">
      <w:pPr>
        <w:pStyle w:val="208"/>
        <w:spacing w:beforeAutospacing="0" w:afterAutospacing="0"/>
        <w:jc w:val="center"/>
        <w:rPr>
          <w:rFonts w:hint="eastAsia" w:ascii="宋体" w:hAnsi="宋体" w:cs="宋体"/>
          <w:b/>
          <w:color w:val="auto"/>
          <w:sz w:val="32"/>
          <w:szCs w:val="32"/>
          <w:highlight w:val="none"/>
        </w:rPr>
      </w:pPr>
    </w:p>
    <w:p w14:paraId="39192039">
      <w:pPr>
        <w:pStyle w:val="208"/>
        <w:spacing w:beforeAutospacing="0" w:afterAutospacing="0"/>
        <w:jc w:val="center"/>
        <w:rPr>
          <w:rFonts w:hint="eastAsia" w:ascii="宋体" w:hAnsi="宋体" w:cs="宋体"/>
          <w:b/>
          <w:color w:val="auto"/>
          <w:sz w:val="32"/>
          <w:szCs w:val="32"/>
          <w:highlight w:val="none"/>
        </w:rPr>
      </w:pPr>
    </w:p>
    <w:p w14:paraId="525E18EE">
      <w:pPr>
        <w:pStyle w:val="208"/>
        <w:spacing w:beforeAutospacing="0" w:afterAutospacing="0"/>
        <w:jc w:val="center"/>
        <w:rPr>
          <w:rFonts w:hint="eastAsia" w:ascii="宋体" w:hAnsi="宋体" w:cs="宋体"/>
          <w:b/>
          <w:color w:val="auto"/>
          <w:sz w:val="32"/>
          <w:szCs w:val="32"/>
          <w:highlight w:val="none"/>
        </w:rPr>
      </w:pPr>
    </w:p>
    <w:p w14:paraId="6CF98C68">
      <w:pPr>
        <w:pStyle w:val="208"/>
        <w:spacing w:beforeAutospacing="0" w:afterAutospacing="0"/>
        <w:jc w:val="center"/>
        <w:rPr>
          <w:rFonts w:hint="eastAsia" w:ascii="宋体" w:hAnsi="宋体" w:cs="宋体"/>
          <w:b/>
          <w:color w:val="auto"/>
          <w:sz w:val="32"/>
          <w:szCs w:val="32"/>
          <w:highlight w:val="none"/>
        </w:rPr>
      </w:pPr>
    </w:p>
    <w:p w14:paraId="6EFDD06E">
      <w:pPr>
        <w:pStyle w:val="208"/>
        <w:spacing w:beforeAutospacing="0" w:afterAutospacing="0"/>
        <w:jc w:val="center"/>
        <w:rPr>
          <w:rFonts w:hint="eastAsia" w:ascii="宋体" w:hAnsi="宋体" w:cs="宋体"/>
          <w:b/>
          <w:color w:val="auto"/>
          <w:sz w:val="32"/>
          <w:szCs w:val="32"/>
          <w:highlight w:val="none"/>
        </w:rPr>
      </w:pPr>
    </w:p>
    <w:p w14:paraId="1CD82261">
      <w:pPr>
        <w:pStyle w:val="208"/>
        <w:spacing w:beforeAutospacing="0" w:afterAutospacing="0"/>
        <w:jc w:val="center"/>
        <w:rPr>
          <w:rFonts w:hint="eastAsia" w:ascii="宋体" w:hAnsi="宋体" w:cs="宋体"/>
          <w:b/>
          <w:color w:val="auto"/>
          <w:sz w:val="32"/>
          <w:szCs w:val="32"/>
          <w:highlight w:val="none"/>
        </w:rPr>
      </w:pPr>
    </w:p>
    <w:p w14:paraId="09D7861E">
      <w:pPr>
        <w:pStyle w:val="208"/>
        <w:spacing w:beforeAutospacing="0" w:afterAutospacing="0"/>
        <w:jc w:val="center"/>
        <w:rPr>
          <w:rFonts w:hint="eastAsia" w:ascii="宋体" w:hAnsi="宋体" w:cs="宋体"/>
          <w:b/>
          <w:color w:val="auto"/>
          <w:sz w:val="32"/>
          <w:szCs w:val="32"/>
          <w:highlight w:val="none"/>
        </w:rPr>
      </w:pPr>
    </w:p>
    <w:p w14:paraId="5BD28B17">
      <w:pPr>
        <w:pStyle w:val="208"/>
        <w:spacing w:beforeAutospacing="0" w:afterAutospacing="0"/>
        <w:jc w:val="center"/>
        <w:rPr>
          <w:rFonts w:hint="eastAsia" w:ascii="宋体" w:hAnsi="宋体" w:cs="宋体"/>
          <w:b/>
          <w:color w:val="auto"/>
          <w:sz w:val="32"/>
          <w:szCs w:val="32"/>
          <w:highlight w:val="none"/>
        </w:rPr>
      </w:pPr>
    </w:p>
    <w:p w14:paraId="6EA75A06">
      <w:pPr>
        <w:pStyle w:val="208"/>
        <w:spacing w:beforeAutospacing="0" w:afterAutospacing="0"/>
        <w:jc w:val="center"/>
        <w:rPr>
          <w:rFonts w:hint="eastAsia" w:ascii="宋体" w:hAnsi="宋体" w:cs="宋体"/>
          <w:b/>
          <w:color w:val="auto"/>
          <w:sz w:val="32"/>
          <w:szCs w:val="32"/>
          <w:highlight w:val="none"/>
        </w:rPr>
      </w:pPr>
    </w:p>
    <w:p w14:paraId="03FB9BC9">
      <w:pPr>
        <w:pStyle w:val="208"/>
        <w:spacing w:beforeAutospacing="0" w:afterAutospacing="0"/>
        <w:jc w:val="center"/>
        <w:rPr>
          <w:rFonts w:hint="eastAsia" w:ascii="宋体" w:hAnsi="宋体" w:cs="宋体"/>
          <w:b/>
          <w:color w:val="auto"/>
          <w:sz w:val="32"/>
          <w:szCs w:val="32"/>
          <w:highlight w:val="none"/>
        </w:rPr>
      </w:pPr>
    </w:p>
    <w:p w14:paraId="2B430F38">
      <w:pPr>
        <w:pStyle w:val="208"/>
        <w:spacing w:beforeAutospacing="0" w:afterAutospacing="0"/>
        <w:jc w:val="center"/>
        <w:rPr>
          <w:rFonts w:hint="eastAsia" w:ascii="宋体" w:hAnsi="宋体" w:cs="宋体"/>
          <w:b/>
          <w:color w:val="auto"/>
          <w:sz w:val="32"/>
          <w:szCs w:val="32"/>
          <w:highlight w:val="none"/>
        </w:rPr>
      </w:pPr>
    </w:p>
    <w:p w14:paraId="71242E9A">
      <w:pPr>
        <w:pStyle w:val="208"/>
        <w:spacing w:beforeAutospacing="0" w:afterAutospacing="0"/>
        <w:jc w:val="center"/>
        <w:rPr>
          <w:rFonts w:hint="eastAsia" w:ascii="宋体" w:hAnsi="宋体" w:cs="宋体"/>
          <w:b/>
          <w:color w:val="auto"/>
          <w:sz w:val="32"/>
          <w:szCs w:val="32"/>
          <w:highlight w:val="none"/>
        </w:rPr>
      </w:pPr>
    </w:p>
    <w:p w14:paraId="71A2251E">
      <w:pPr>
        <w:pStyle w:val="208"/>
        <w:spacing w:beforeAutospacing="0" w:afterAutospacing="0"/>
        <w:jc w:val="center"/>
        <w:rPr>
          <w:rFonts w:hint="eastAsia" w:ascii="宋体" w:hAnsi="宋体" w:cs="宋体"/>
          <w:b/>
          <w:color w:val="auto"/>
          <w:sz w:val="32"/>
          <w:szCs w:val="32"/>
          <w:highlight w:val="none"/>
        </w:rPr>
      </w:pPr>
    </w:p>
    <w:p w14:paraId="6840E603">
      <w:pPr>
        <w:pStyle w:val="208"/>
        <w:spacing w:beforeAutospacing="0" w:afterAutospacing="0"/>
        <w:jc w:val="center"/>
        <w:rPr>
          <w:rFonts w:hint="eastAsia" w:ascii="宋体" w:hAnsi="宋体" w:cs="宋体"/>
          <w:b/>
          <w:color w:val="auto"/>
          <w:sz w:val="32"/>
          <w:szCs w:val="32"/>
          <w:highlight w:val="none"/>
        </w:rPr>
      </w:pPr>
    </w:p>
    <w:p w14:paraId="383500AB">
      <w:pPr>
        <w:pStyle w:val="208"/>
        <w:spacing w:beforeAutospacing="0" w:afterAutospacing="0"/>
        <w:jc w:val="center"/>
        <w:rPr>
          <w:rFonts w:hint="eastAsia" w:ascii="宋体" w:hAnsi="宋体" w:cs="宋体"/>
          <w:b/>
          <w:color w:val="auto"/>
          <w:sz w:val="32"/>
          <w:szCs w:val="32"/>
          <w:highlight w:val="none"/>
        </w:rPr>
      </w:pPr>
    </w:p>
    <w:p w14:paraId="7F4B06E4">
      <w:pPr>
        <w:pStyle w:val="208"/>
        <w:spacing w:beforeAutospacing="0" w:afterAutospacing="0"/>
        <w:jc w:val="center"/>
        <w:rPr>
          <w:rFonts w:hint="eastAsia" w:ascii="宋体" w:hAnsi="宋体" w:cs="宋体"/>
          <w:b/>
          <w:color w:val="auto"/>
          <w:sz w:val="32"/>
          <w:szCs w:val="32"/>
          <w:highlight w:val="none"/>
        </w:rPr>
      </w:pPr>
    </w:p>
    <w:p w14:paraId="77177713">
      <w:pPr>
        <w:pStyle w:val="208"/>
        <w:spacing w:beforeAutospacing="0" w:afterAutospacing="0"/>
        <w:jc w:val="center"/>
        <w:rPr>
          <w:rFonts w:hint="eastAsia" w:ascii="宋体" w:hAnsi="宋体" w:cs="宋体"/>
          <w:b/>
          <w:color w:val="auto"/>
          <w:sz w:val="32"/>
          <w:szCs w:val="32"/>
          <w:highlight w:val="none"/>
        </w:rPr>
      </w:pPr>
    </w:p>
    <w:p w14:paraId="2FB4FDCE">
      <w:pPr>
        <w:pStyle w:val="208"/>
        <w:spacing w:beforeAutospacing="0" w:afterAutospacing="0"/>
        <w:jc w:val="center"/>
        <w:rPr>
          <w:rFonts w:hint="eastAsia" w:ascii="宋体" w:hAnsi="宋体" w:cs="宋体"/>
          <w:b/>
          <w:color w:val="auto"/>
          <w:sz w:val="32"/>
          <w:szCs w:val="32"/>
          <w:highlight w:val="none"/>
        </w:rPr>
      </w:pPr>
    </w:p>
    <w:p w14:paraId="6FF75941">
      <w:pPr>
        <w:pStyle w:val="208"/>
        <w:spacing w:beforeAutospacing="0" w:afterAutospacing="0"/>
        <w:jc w:val="center"/>
        <w:rPr>
          <w:rFonts w:hint="eastAsia" w:ascii="宋体" w:hAnsi="宋体" w:cs="宋体"/>
          <w:b/>
          <w:color w:val="auto"/>
          <w:sz w:val="32"/>
          <w:szCs w:val="32"/>
          <w:highlight w:val="none"/>
        </w:rPr>
      </w:pPr>
    </w:p>
    <w:p w14:paraId="29014FE5">
      <w:pPr>
        <w:pStyle w:val="208"/>
        <w:spacing w:beforeAutospacing="0" w:afterAutospacing="0"/>
        <w:jc w:val="center"/>
        <w:rPr>
          <w:rFonts w:hint="eastAsia" w:ascii="宋体" w:hAnsi="宋体" w:cs="宋体"/>
          <w:b/>
          <w:color w:val="auto"/>
          <w:sz w:val="32"/>
          <w:szCs w:val="32"/>
          <w:highlight w:val="none"/>
        </w:rPr>
      </w:pPr>
    </w:p>
    <w:p w14:paraId="686C0BC0">
      <w:pPr>
        <w:pStyle w:val="208"/>
        <w:spacing w:beforeAutospacing="0" w:afterAutospacing="0"/>
        <w:jc w:val="center"/>
        <w:rPr>
          <w:rFonts w:hint="eastAsia" w:ascii="宋体" w:hAnsi="宋体" w:cs="宋体"/>
          <w:b/>
          <w:color w:val="auto"/>
          <w:sz w:val="32"/>
          <w:szCs w:val="32"/>
          <w:highlight w:val="none"/>
        </w:rPr>
      </w:pPr>
    </w:p>
    <w:p w14:paraId="1E1383E8">
      <w:pPr>
        <w:pStyle w:val="208"/>
        <w:spacing w:beforeAutospacing="0" w:afterAutospacing="0"/>
        <w:jc w:val="center"/>
        <w:rPr>
          <w:rFonts w:hint="eastAsia" w:ascii="宋体" w:hAnsi="宋体" w:cs="宋体"/>
          <w:b/>
          <w:color w:val="auto"/>
          <w:sz w:val="32"/>
          <w:szCs w:val="32"/>
          <w:highlight w:val="none"/>
        </w:rPr>
      </w:pPr>
    </w:p>
    <w:p w14:paraId="7B905CD9">
      <w:pPr>
        <w:pStyle w:val="208"/>
        <w:spacing w:beforeAutospacing="0" w:afterAutospacing="0"/>
        <w:jc w:val="center"/>
        <w:rPr>
          <w:rFonts w:hint="eastAsia" w:ascii="宋体" w:hAnsi="宋体" w:cs="宋体"/>
          <w:b/>
          <w:color w:val="auto"/>
          <w:sz w:val="32"/>
          <w:szCs w:val="32"/>
          <w:highlight w:val="none"/>
        </w:rPr>
      </w:pPr>
    </w:p>
    <w:p w14:paraId="3B47C104">
      <w:pPr>
        <w:pStyle w:val="208"/>
        <w:spacing w:beforeAutospacing="0" w:afterAutospacing="0"/>
        <w:jc w:val="center"/>
        <w:rPr>
          <w:rFonts w:hint="eastAsia" w:ascii="宋体" w:hAnsi="宋体" w:cs="宋体"/>
          <w:b/>
          <w:color w:val="auto"/>
          <w:sz w:val="32"/>
          <w:szCs w:val="32"/>
          <w:highlight w:val="none"/>
        </w:rPr>
      </w:pPr>
    </w:p>
    <w:p w14:paraId="4E6655D9">
      <w:pPr>
        <w:pStyle w:val="208"/>
        <w:spacing w:beforeAutospacing="0" w:afterAutospacing="0"/>
        <w:jc w:val="center"/>
        <w:rPr>
          <w:rFonts w:hint="eastAsia" w:ascii="宋体" w:hAnsi="宋体" w:cs="宋体"/>
          <w:b/>
          <w:color w:val="auto"/>
          <w:sz w:val="32"/>
          <w:szCs w:val="32"/>
          <w:highlight w:val="none"/>
        </w:rPr>
      </w:pPr>
    </w:p>
    <w:p w14:paraId="017846BA">
      <w:pPr>
        <w:pStyle w:val="208"/>
        <w:spacing w:beforeAutospacing="0" w:afterAutospacing="0"/>
        <w:jc w:val="center"/>
        <w:rPr>
          <w:rFonts w:hint="eastAsia" w:ascii="宋体" w:hAnsi="宋体" w:cs="宋体"/>
          <w:b/>
          <w:color w:val="auto"/>
          <w:sz w:val="32"/>
          <w:szCs w:val="32"/>
          <w:highlight w:val="none"/>
        </w:rPr>
      </w:pPr>
    </w:p>
    <w:p w14:paraId="2ECEB982">
      <w:pPr>
        <w:pStyle w:val="208"/>
        <w:spacing w:beforeAutospacing="0" w:afterAutospacing="0"/>
        <w:jc w:val="center"/>
        <w:rPr>
          <w:rFonts w:hint="eastAsia" w:ascii="宋体" w:hAnsi="宋体" w:cs="宋体"/>
          <w:b/>
          <w:color w:val="auto"/>
          <w:sz w:val="32"/>
          <w:szCs w:val="32"/>
          <w:highlight w:val="none"/>
        </w:rPr>
      </w:pPr>
    </w:p>
    <w:p w14:paraId="582F7310">
      <w:pPr>
        <w:pStyle w:val="208"/>
        <w:spacing w:beforeAutospacing="0" w:afterAutospacing="0"/>
        <w:jc w:val="center"/>
        <w:rPr>
          <w:rFonts w:hint="eastAsia" w:ascii="宋体" w:hAnsi="宋体" w:cs="宋体"/>
          <w:b/>
          <w:color w:val="auto"/>
          <w:sz w:val="32"/>
          <w:szCs w:val="32"/>
          <w:highlight w:val="none"/>
        </w:rPr>
      </w:pPr>
    </w:p>
    <w:p w14:paraId="1F26EA5F">
      <w:pPr>
        <w:pStyle w:val="208"/>
        <w:spacing w:beforeAutospacing="0" w:afterAutospacing="0"/>
        <w:jc w:val="center"/>
        <w:rPr>
          <w:rFonts w:hint="eastAsia" w:ascii="宋体" w:hAnsi="宋体" w:cs="宋体"/>
          <w:b/>
          <w:color w:val="auto"/>
          <w:sz w:val="32"/>
          <w:szCs w:val="32"/>
          <w:highlight w:val="none"/>
        </w:rPr>
      </w:pPr>
    </w:p>
    <w:p w14:paraId="781F18B7">
      <w:pPr>
        <w:widowControl/>
        <w:spacing w:line="499" w:lineRule="atLeast"/>
        <w:ind w:firstLine="1600"/>
        <w:rPr>
          <w:rFonts w:hint="eastAsia" w:ascii="黑体" w:hAnsi="宋体" w:eastAsia="黑体" w:cs="黑体"/>
          <w:b/>
          <w:color w:val="auto"/>
          <w:sz w:val="32"/>
          <w:szCs w:val="32"/>
          <w:highlight w:val="none"/>
          <w:lang w:val="en-US" w:eastAsia="zh-CN" w:bidi="ar-SA"/>
        </w:rPr>
      </w:pPr>
    </w:p>
    <w:p w14:paraId="385749DD">
      <w:pPr>
        <w:widowControl/>
        <w:spacing w:line="499" w:lineRule="atLeast"/>
        <w:ind w:firstLine="1600"/>
        <w:rPr>
          <w:rFonts w:hint="eastAsia" w:ascii="宋体" w:hAnsi="宋体" w:cs="宋体"/>
          <w:color w:val="auto"/>
          <w:sz w:val="24"/>
          <w:highlight w:val="none"/>
        </w:rPr>
      </w:pPr>
      <w:r>
        <w:rPr>
          <w:rFonts w:hint="eastAsia" w:ascii="黑体" w:hAnsi="宋体" w:eastAsia="黑体" w:cs="黑体"/>
          <w:b/>
          <w:color w:val="auto"/>
          <w:sz w:val="32"/>
          <w:szCs w:val="32"/>
          <w:highlight w:val="none"/>
          <w:lang w:val="en-US" w:eastAsia="zh-CN" w:bidi="ar-SA"/>
        </w:rPr>
        <w:t>十八、盐城市政府采购事前信用承诺书</w:t>
      </w:r>
      <w:r>
        <w:rPr>
          <w:rFonts w:hint="eastAsia" w:ascii="宋体" w:hAnsi="宋体" w:cs="宋体"/>
          <w:color w:val="auto"/>
          <w:sz w:val="32"/>
          <w:szCs w:val="32"/>
          <w:highlight w:val="none"/>
        </w:rPr>
        <w:t> </w:t>
      </w:r>
    </w:p>
    <w:p w14:paraId="351174D3">
      <w:pPr>
        <w:widowControl/>
        <w:spacing w:line="499" w:lineRule="atLeast"/>
        <w:ind w:firstLine="480"/>
        <w:jc w:val="left"/>
        <w:rPr>
          <w:rFonts w:hint="eastAsia" w:ascii="宋体" w:hAnsi="宋体" w:cs="宋体"/>
          <w:color w:val="auto"/>
          <w:szCs w:val="21"/>
          <w:highlight w:val="none"/>
        </w:rPr>
      </w:pPr>
      <w:r>
        <w:rPr>
          <w:rFonts w:hint="eastAsia" w:ascii="宋体" w:hAnsi="宋体" w:cs="宋体"/>
          <w:color w:val="auto"/>
          <w:szCs w:val="21"/>
          <w:highlight w:val="none"/>
        </w:rPr>
        <w:t>为营造我市公开、公平、公正、诚实守信的政府采购交易环境，树立诚信守法的投标人形象，本人代表本单位作出以下承诺：</w:t>
      </w:r>
    </w:p>
    <w:p w14:paraId="230C1182">
      <w:pPr>
        <w:widowControl/>
        <w:spacing w:line="499" w:lineRule="atLeast"/>
        <w:jc w:val="left"/>
        <w:rPr>
          <w:rFonts w:hint="eastAsia" w:ascii="宋体" w:hAnsi="宋体" w:cs="宋体"/>
          <w:color w:val="auto"/>
          <w:szCs w:val="21"/>
          <w:highlight w:val="none"/>
        </w:rPr>
      </w:pPr>
      <w:r>
        <w:rPr>
          <w:rFonts w:hint="eastAsia" w:ascii="宋体" w:hAnsi="宋体" w:cs="宋体"/>
          <w:color w:val="auto"/>
          <w:szCs w:val="21"/>
          <w:highlight w:val="none"/>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6B215BB3">
      <w:pPr>
        <w:widowControl/>
        <w:spacing w:line="499" w:lineRule="atLeast"/>
        <w:ind w:firstLine="480"/>
        <w:jc w:val="left"/>
        <w:rPr>
          <w:rFonts w:hint="eastAsia" w:ascii="宋体" w:hAnsi="宋体" w:cs="宋体"/>
          <w:color w:val="auto"/>
          <w:szCs w:val="21"/>
          <w:highlight w:val="none"/>
        </w:rPr>
      </w:pPr>
      <w:r>
        <w:rPr>
          <w:rFonts w:hint="eastAsia" w:ascii="宋体" w:hAnsi="宋体" w:cs="宋体"/>
          <w:color w:val="auto"/>
          <w:szCs w:val="21"/>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F3E3ED9">
      <w:pPr>
        <w:widowControl/>
        <w:spacing w:line="499" w:lineRule="atLeast"/>
        <w:jc w:val="left"/>
        <w:rPr>
          <w:rFonts w:hint="eastAsia" w:ascii="宋体" w:hAnsi="宋体" w:cs="宋体"/>
          <w:color w:val="auto"/>
          <w:szCs w:val="21"/>
          <w:highlight w:val="none"/>
        </w:rPr>
      </w:pPr>
      <w:r>
        <w:rPr>
          <w:rFonts w:hint="eastAsia" w:ascii="宋体" w:hAnsi="宋体" w:cs="宋体"/>
          <w:color w:val="auto"/>
          <w:szCs w:val="21"/>
          <w:highlight w:val="none"/>
        </w:rPr>
        <w:t xml:space="preserve">   （三）严格依照国家和省、市关于政府采购的法律、法规、规章、规范性文件，参加政府采购投标活动；积极履行社会责任，促进廉政建设； </w:t>
      </w:r>
    </w:p>
    <w:p w14:paraId="5D55B782">
      <w:pPr>
        <w:widowControl/>
        <w:spacing w:line="499" w:lineRule="atLeast"/>
        <w:jc w:val="left"/>
        <w:rPr>
          <w:rFonts w:hint="eastAsia" w:ascii="宋体" w:hAnsi="宋体" w:cs="宋体"/>
          <w:color w:val="auto"/>
          <w:szCs w:val="21"/>
          <w:highlight w:val="none"/>
        </w:rPr>
      </w:pPr>
      <w:r>
        <w:rPr>
          <w:rFonts w:hint="eastAsia" w:ascii="宋体" w:hAnsi="宋体" w:cs="宋体"/>
          <w:color w:val="auto"/>
          <w:szCs w:val="21"/>
          <w:highlight w:val="none"/>
        </w:rPr>
        <w:t>   （四）严格遵守即时信息公示规定，及时维护和更新盐城市政府采购网中与本单位相关的信息；</w:t>
      </w:r>
    </w:p>
    <w:p w14:paraId="0CF3AA01">
      <w:pPr>
        <w:widowControl/>
        <w:spacing w:line="499" w:lineRule="atLeast"/>
        <w:jc w:val="left"/>
        <w:rPr>
          <w:rFonts w:hint="eastAsia" w:ascii="宋体" w:hAnsi="宋体" w:cs="宋体"/>
          <w:color w:val="auto"/>
          <w:szCs w:val="21"/>
          <w:highlight w:val="none"/>
        </w:rPr>
      </w:pPr>
      <w:r>
        <w:rPr>
          <w:rFonts w:hint="eastAsia" w:ascii="宋体" w:hAnsi="宋体" w:cs="宋体"/>
          <w:color w:val="auto"/>
          <w:szCs w:val="21"/>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D4846A2">
      <w:pPr>
        <w:widowControl/>
        <w:spacing w:line="499" w:lineRule="atLeast"/>
        <w:jc w:val="left"/>
        <w:rPr>
          <w:rFonts w:hint="eastAsia" w:ascii="宋体" w:hAnsi="宋体" w:cs="宋体"/>
          <w:color w:val="auto"/>
          <w:szCs w:val="21"/>
          <w:highlight w:val="none"/>
        </w:rPr>
      </w:pPr>
      <w:r>
        <w:rPr>
          <w:rFonts w:hint="eastAsia" w:ascii="宋体" w:hAnsi="宋体" w:cs="宋体"/>
          <w:color w:val="auto"/>
          <w:szCs w:val="21"/>
          <w:highlight w:val="none"/>
        </w:rPr>
        <w:t>   （六）自觉接受政府、行业组织、社会公众、新闻舆论的监督；</w:t>
      </w:r>
    </w:p>
    <w:p w14:paraId="2A04D9A0">
      <w:pPr>
        <w:widowControl/>
        <w:spacing w:line="499" w:lineRule="atLeast"/>
        <w:ind w:firstLine="480"/>
        <w:jc w:val="left"/>
        <w:rPr>
          <w:rFonts w:hint="eastAsia" w:ascii="宋体" w:hAnsi="宋体" w:cs="宋体"/>
          <w:color w:val="auto"/>
          <w:szCs w:val="21"/>
          <w:highlight w:val="none"/>
        </w:rPr>
      </w:pPr>
      <w:r>
        <w:rPr>
          <w:rFonts w:hint="eastAsia" w:ascii="宋体" w:hAnsi="宋体" w:cs="宋体"/>
          <w:color w:val="auto"/>
          <w:szCs w:val="21"/>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4907F6C">
      <w:pPr>
        <w:widowControl/>
        <w:spacing w:line="499" w:lineRule="atLeast"/>
        <w:jc w:val="left"/>
        <w:rPr>
          <w:rFonts w:hint="eastAsia" w:ascii="宋体" w:hAnsi="宋体" w:cs="宋体"/>
          <w:color w:val="auto"/>
          <w:szCs w:val="21"/>
          <w:highlight w:val="none"/>
        </w:rPr>
      </w:pPr>
      <w:r>
        <w:rPr>
          <w:rFonts w:hint="eastAsia" w:ascii="宋体" w:hAnsi="宋体" w:cs="宋体"/>
          <w:color w:val="auto"/>
          <w:szCs w:val="21"/>
          <w:highlight w:val="none"/>
        </w:rPr>
        <w:t>   （八）本人已认真阅读了上述承诺，并向本单位员工作了宣传教育。</w:t>
      </w:r>
    </w:p>
    <w:p w14:paraId="0E0FE6EB">
      <w:pPr>
        <w:widowControl/>
        <w:spacing w:line="499" w:lineRule="atLeast"/>
        <w:jc w:val="left"/>
        <w:rPr>
          <w:rFonts w:hint="eastAsia" w:ascii="宋体" w:hAnsi="宋体" w:cs="宋体"/>
          <w:color w:val="auto"/>
          <w:szCs w:val="21"/>
          <w:highlight w:val="none"/>
        </w:rPr>
      </w:pPr>
      <w:r>
        <w:rPr>
          <w:rFonts w:hint="eastAsia" w:ascii="宋体" w:hAnsi="宋体" w:cs="宋体"/>
          <w:color w:val="auto"/>
          <w:szCs w:val="21"/>
          <w:highlight w:val="none"/>
        </w:rPr>
        <w:t>                  法定代表人签名：</w:t>
      </w:r>
    </w:p>
    <w:p w14:paraId="1AD7623F">
      <w:pPr>
        <w:widowControl/>
        <w:spacing w:line="499" w:lineRule="atLeast"/>
        <w:jc w:val="center"/>
        <w:rPr>
          <w:rFonts w:hint="eastAsia" w:ascii="宋体" w:hAnsi="宋体" w:cs="宋体"/>
          <w:color w:val="auto"/>
          <w:szCs w:val="21"/>
          <w:highlight w:val="none"/>
        </w:rPr>
      </w:pPr>
      <w:r>
        <w:rPr>
          <w:rFonts w:hint="eastAsia" w:ascii="宋体" w:hAnsi="宋体" w:cs="宋体"/>
          <w:color w:val="auto"/>
          <w:szCs w:val="21"/>
          <w:highlight w:val="none"/>
        </w:rPr>
        <w:t>                   单位名称（盖章）：</w:t>
      </w:r>
    </w:p>
    <w:p w14:paraId="2F0F8233">
      <w:pPr>
        <w:widowControl/>
        <w:spacing w:line="499" w:lineRule="atLeast"/>
        <w:jc w:val="center"/>
        <w:rPr>
          <w:rFonts w:hint="eastAsia" w:ascii="宋体" w:hAnsi="宋体" w:cs="宋体"/>
          <w:color w:val="auto"/>
          <w:szCs w:val="21"/>
          <w:highlight w:val="none"/>
        </w:rPr>
      </w:pPr>
      <w:r>
        <w:rPr>
          <w:rFonts w:hint="eastAsia" w:ascii="宋体" w:hAnsi="宋体" w:cs="宋体"/>
          <w:color w:val="auto"/>
          <w:szCs w:val="21"/>
          <w:highlight w:val="none"/>
        </w:rPr>
        <w:t>                      年月日</w:t>
      </w:r>
    </w:p>
    <w:p w14:paraId="3CCD871C">
      <w:pPr>
        <w:pStyle w:val="208"/>
        <w:spacing w:beforeAutospacing="0" w:afterAutospacing="0"/>
        <w:jc w:val="center"/>
        <w:rPr>
          <w:color w:val="auto"/>
          <w:sz w:val="21"/>
          <w:szCs w:val="21"/>
          <w:highlight w:val="none"/>
        </w:rPr>
      </w:pPr>
    </w:p>
    <w:bookmarkEnd w:id="6"/>
    <w:bookmarkEnd w:id="52"/>
    <w:bookmarkEnd w:id="99"/>
    <w:bookmarkEnd w:id="100"/>
    <w:bookmarkEnd w:id="101"/>
    <w:bookmarkEnd w:id="102"/>
    <w:bookmarkEnd w:id="103"/>
    <w:bookmarkEnd w:id="104"/>
    <w:bookmarkEnd w:id="105"/>
    <w:bookmarkEnd w:id="106"/>
    <w:bookmarkEnd w:id="115"/>
    <w:bookmarkEnd w:id="116"/>
    <w:bookmarkEnd w:id="123"/>
    <w:bookmarkEnd w:id="171"/>
    <w:bookmarkEnd w:id="213"/>
    <w:bookmarkEnd w:id="217"/>
    <w:bookmarkEnd w:id="218"/>
    <w:bookmarkEnd w:id="219"/>
    <w:bookmarkEnd w:id="220"/>
    <w:bookmarkEnd w:id="221"/>
    <w:bookmarkEnd w:id="222"/>
    <w:bookmarkEnd w:id="223"/>
    <w:bookmarkEnd w:id="226"/>
    <w:bookmarkEnd w:id="238"/>
    <w:bookmarkEnd w:id="239"/>
    <w:bookmarkEnd w:id="240"/>
    <w:bookmarkEnd w:id="241"/>
    <w:bookmarkEnd w:id="242"/>
    <w:p w14:paraId="30896F9B">
      <w:pPr>
        <w:widowControl/>
        <w:spacing w:line="499" w:lineRule="atLeast"/>
        <w:jc w:val="center"/>
        <w:rPr>
          <w:rFonts w:hint="eastAsia" w:ascii="宋体" w:hAnsi="宋体" w:cs="宋体"/>
          <w:color w:val="auto"/>
          <w:sz w:val="32"/>
          <w:szCs w:val="32"/>
          <w:highlight w:val="none"/>
        </w:rPr>
      </w:pPr>
    </w:p>
    <w:p w14:paraId="2E3FBA9E">
      <w:pPr>
        <w:widowControl/>
        <w:spacing w:line="499" w:lineRule="atLeast"/>
        <w:jc w:val="center"/>
        <w:rPr>
          <w:rFonts w:hint="eastAsia" w:ascii="宋体" w:hAnsi="宋体" w:cs="宋体"/>
          <w:color w:val="auto"/>
          <w:sz w:val="32"/>
          <w:szCs w:val="32"/>
          <w:highlight w:val="none"/>
        </w:rPr>
      </w:pPr>
    </w:p>
    <w:p w14:paraId="14FDF1EA">
      <w:pPr>
        <w:widowControl/>
        <w:spacing w:line="499" w:lineRule="atLeast"/>
        <w:jc w:val="center"/>
        <w:rPr>
          <w:rFonts w:hint="eastAsia" w:ascii="宋体" w:hAnsi="宋体" w:cs="宋体"/>
          <w:color w:val="auto"/>
          <w:sz w:val="32"/>
          <w:szCs w:val="32"/>
          <w:highlight w:val="none"/>
        </w:rPr>
      </w:pPr>
    </w:p>
    <w:p w14:paraId="6E0F2AE8">
      <w:pPr>
        <w:pStyle w:val="208"/>
        <w:spacing w:beforeAutospacing="0" w:afterAutospacing="0"/>
        <w:jc w:val="center"/>
        <w:rPr>
          <w:rFonts w:hint="eastAsia" w:ascii="黑体" w:hAnsi="宋体" w:eastAsia="黑体" w:cs="黑体"/>
          <w:b/>
          <w:color w:val="auto"/>
          <w:sz w:val="32"/>
          <w:szCs w:val="32"/>
          <w:highlight w:val="none"/>
          <w:lang w:val="en-US" w:eastAsia="zh-CN"/>
        </w:rPr>
      </w:pPr>
    </w:p>
    <w:p w14:paraId="4DD693A7">
      <w:pPr>
        <w:pStyle w:val="208"/>
        <w:spacing w:beforeAutospacing="0" w:afterAutospacing="0"/>
        <w:jc w:val="center"/>
        <w:rPr>
          <w:rFonts w:hint="eastAsia" w:ascii="宋体" w:hAnsi="宋体" w:cs="宋体"/>
          <w:b/>
          <w:bCs/>
          <w:color w:val="auto"/>
          <w:szCs w:val="21"/>
          <w:highlight w:val="none"/>
        </w:rPr>
      </w:pPr>
      <w:r>
        <w:rPr>
          <w:rFonts w:hint="eastAsia" w:ascii="黑体" w:hAnsi="宋体" w:eastAsia="黑体" w:cs="黑体"/>
          <w:b/>
          <w:color w:val="auto"/>
          <w:sz w:val="32"/>
          <w:szCs w:val="32"/>
          <w:highlight w:val="none"/>
          <w:lang w:val="en-US" w:eastAsia="zh-CN"/>
        </w:rPr>
        <w:t>十九、</w:t>
      </w:r>
      <w:bookmarkStart w:id="243" w:name="OLE_LINK26"/>
      <w:r>
        <w:rPr>
          <w:rFonts w:hint="eastAsia" w:ascii="黑体" w:hAnsi="宋体" w:eastAsia="黑体" w:cs="黑体"/>
          <w:b/>
          <w:color w:val="auto"/>
          <w:sz w:val="32"/>
          <w:szCs w:val="32"/>
          <w:highlight w:val="none"/>
        </w:rPr>
        <w:t>承诺</w:t>
      </w:r>
      <w:bookmarkEnd w:id="243"/>
      <w:r>
        <w:rPr>
          <w:rFonts w:hint="eastAsia" w:ascii="黑体" w:hAnsi="宋体" w:eastAsia="黑体" w:cs="黑体"/>
          <w:b/>
          <w:color w:val="auto"/>
          <w:sz w:val="32"/>
          <w:szCs w:val="32"/>
          <w:highlight w:val="none"/>
        </w:rPr>
        <w:t>书</w:t>
      </w:r>
    </w:p>
    <w:p w14:paraId="678844F5">
      <w:pPr>
        <w:pStyle w:val="29"/>
        <w:spacing w:beforeAutospacing="0" w:afterAutospacing="0" w:line="360" w:lineRule="auto"/>
        <w:ind w:firstLine="4382"/>
        <w:jc w:val="both"/>
        <w:rPr>
          <w:rFonts w:hint="eastAsia" w:asciiTheme="minorEastAsia" w:hAnsiTheme="minorEastAsia" w:cstheme="minorEastAsia"/>
          <w:color w:val="auto"/>
          <w:highlight w:val="none"/>
        </w:rPr>
      </w:pPr>
    </w:p>
    <w:p w14:paraId="539ACAE1">
      <w:pPr>
        <w:tabs>
          <w:tab w:val="left" w:pos="-1420"/>
          <w:tab w:val="left" w:pos="-700"/>
          <w:tab w:val="left" w:pos="1260"/>
          <w:tab w:val="left" w:pos="1460"/>
          <w:tab w:val="left" w:pos="2180"/>
          <w:tab w:val="left" w:pos="2900"/>
          <w:tab w:val="left" w:pos="3620"/>
          <w:tab w:val="left" w:pos="4340"/>
          <w:tab w:val="left" w:pos="5060"/>
          <w:tab w:val="left" w:pos="5780"/>
          <w:tab w:val="left" w:pos="6500"/>
          <w:tab w:val="left" w:pos="7220"/>
          <w:tab w:val="left" w:pos="7940"/>
          <w:tab w:val="left" w:pos="8660"/>
          <w:tab w:val="left" w:pos="9380"/>
          <w:tab w:val="left" w:pos="10100"/>
          <w:tab w:val="left" w:pos="10820"/>
          <w:tab w:val="left" w:pos="11540"/>
        </w:tabs>
        <w:spacing w:line="480" w:lineRule="auto"/>
        <w:ind w:right="255"/>
        <w:rPr>
          <w:rFonts w:hint="eastAsia" w:ascii="宋体" w:hAnsi="宋体" w:eastAsia="宋体" w:cs="宋体"/>
          <w:color w:val="auto"/>
          <w:sz w:val="24"/>
          <w:highlight w:val="none"/>
          <w:lang w:val="en-GB" w:bidi="ar"/>
        </w:rPr>
      </w:pPr>
      <w:r>
        <w:rPr>
          <w:rFonts w:hint="eastAsia" w:ascii="宋体" w:hAnsi="宋体" w:eastAsia="宋体" w:cs="宋体"/>
          <w:color w:val="auto"/>
          <w:sz w:val="24"/>
          <w:highlight w:val="none"/>
          <w:lang w:val="en-GB" w:bidi="ar"/>
        </w:rPr>
        <w:t>盐城市公安局亭湖分局：</w:t>
      </w:r>
    </w:p>
    <w:p w14:paraId="0A7CD2B8">
      <w:pPr>
        <w:tabs>
          <w:tab w:val="left" w:pos="-1420"/>
          <w:tab w:val="left" w:pos="-700"/>
          <w:tab w:val="left" w:pos="1260"/>
          <w:tab w:val="left" w:pos="1460"/>
          <w:tab w:val="left" w:pos="2180"/>
          <w:tab w:val="left" w:pos="2900"/>
          <w:tab w:val="left" w:pos="3620"/>
          <w:tab w:val="left" w:pos="4340"/>
          <w:tab w:val="left" w:pos="5060"/>
          <w:tab w:val="left" w:pos="5780"/>
          <w:tab w:val="left" w:pos="6500"/>
          <w:tab w:val="left" w:pos="7220"/>
          <w:tab w:val="left" w:pos="7940"/>
          <w:tab w:val="left" w:pos="8660"/>
          <w:tab w:val="left" w:pos="9380"/>
          <w:tab w:val="left" w:pos="10100"/>
          <w:tab w:val="left" w:pos="10820"/>
          <w:tab w:val="left" w:pos="11540"/>
        </w:tabs>
        <w:spacing w:line="480" w:lineRule="auto"/>
        <w:ind w:right="255" w:firstLine="480"/>
        <w:rPr>
          <w:rFonts w:hint="eastAsia" w:ascii="宋体" w:hAnsi="宋体" w:eastAsia="宋体" w:cs="宋体"/>
          <w:color w:val="auto"/>
          <w:sz w:val="24"/>
          <w:highlight w:val="none"/>
          <w:lang w:val="en-GB" w:bidi="ar"/>
        </w:rPr>
      </w:pPr>
      <w:r>
        <w:rPr>
          <w:rFonts w:hint="eastAsia" w:ascii="宋体" w:hAnsi="宋体" w:eastAsia="宋体" w:cs="宋体"/>
          <w:color w:val="auto"/>
          <w:sz w:val="24"/>
          <w:highlight w:val="none"/>
          <w:lang w:val="en-GB" w:bidi="ar"/>
        </w:rPr>
        <w:t>我司郑重承诺：</w:t>
      </w:r>
    </w:p>
    <w:p w14:paraId="3CF2CFBB">
      <w:pPr>
        <w:tabs>
          <w:tab w:val="left" w:pos="-1420"/>
          <w:tab w:val="left" w:pos="-700"/>
          <w:tab w:val="left" w:pos="1260"/>
          <w:tab w:val="left" w:pos="1460"/>
          <w:tab w:val="left" w:pos="2180"/>
          <w:tab w:val="left" w:pos="2900"/>
          <w:tab w:val="left" w:pos="3620"/>
          <w:tab w:val="left" w:pos="4340"/>
          <w:tab w:val="left" w:pos="5060"/>
          <w:tab w:val="left" w:pos="5780"/>
          <w:tab w:val="left" w:pos="6500"/>
          <w:tab w:val="left" w:pos="7220"/>
          <w:tab w:val="left" w:pos="7940"/>
          <w:tab w:val="left" w:pos="8660"/>
          <w:tab w:val="left" w:pos="9380"/>
          <w:tab w:val="left" w:pos="10100"/>
          <w:tab w:val="left" w:pos="10820"/>
          <w:tab w:val="left" w:pos="11540"/>
        </w:tabs>
        <w:spacing w:line="480" w:lineRule="auto"/>
        <w:ind w:right="255" w:firstLine="480"/>
        <w:rPr>
          <w:rFonts w:hint="eastAsia" w:ascii="宋体" w:hAnsi="宋体" w:eastAsia="宋体" w:cs="宋体"/>
          <w:color w:val="auto"/>
          <w:sz w:val="24"/>
          <w:highlight w:val="none"/>
          <w:lang w:val="en-GB" w:bidi="ar"/>
        </w:rPr>
      </w:pPr>
      <w:r>
        <w:rPr>
          <w:rFonts w:hint="eastAsia" w:ascii="宋体" w:hAnsi="宋体" w:eastAsia="宋体" w:cs="宋体"/>
          <w:color w:val="auto"/>
          <w:sz w:val="24"/>
          <w:highlight w:val="none"/>
          <w:lang w:val="en-GB" w:bidi="ar"/>
        </w:rPr>
        <w:t>1、盐城市公安局亭湖分局农村地区智慧安防村居建设（202</w:t>
      </w:r>
      <w:r>
        <w:rPr>
          <w:rFonts w:hint="eastAsia" w:ascii="宋体" w:hAnsi="宋体" w:eastAsia="宋体" w:cs="宋体"/>
          <w:color w:val="auto"/>
          <w:sz w:val="24"/>
          <w:highlight w:val="none"/>
          <w:lang w:val="en-US" w:eastAsia="zh-CN" w:bidi="ar"/>
        </w:rPr>
        <w:t>6</w:t>
      </w:r>
      <w:r>
        <w:rPr>
          <w:rFonts w:hint="eastAsia" w:ascii="宋体" w:hAnsi="宋体" w:eastAsia="宋体" w:cs="宋体"/>
          <w:color w:val="auto"/>
          <w:sz w:val="24"/>
          <w:highlight w:val="none"/>
          <w:lang w:val="en-GB" w:bidi="ar"/>
        </w:rPr>
        <w:t>年度）项目</w:t>
      </w:r>
      <w:r>
        <w:rPr>
          <w:rFonts w:hint="eastAsia" w:ascii="宋体" w:hAnsi="宋体" w:eastAsia="宋体" w:cs="宋体"/>
          <w:bCs/>
          <w:color w:val="auto"/>
          <w:sz w:val="24"/>
          <w:highlight w:val="none"/>
        </w:rPr>
        <w:t>免费售后（含质保及维保）运营服务期</w:t>
      </w:r>
      <w:r>
        <w:rPr>
          <w:rFonts w:hint="eastAsia" w:ascii="宋体" w:hAnsi="宋体" w:eastAsia="宋体" w:cs="宋体"/>
          <w:color w:val="auto"/>
          <w:sz w:val="24"/>
          <w:highlight w:val="none"/>
          <w:lang w:val="en-GB" w:bidi="ar"/>
        </w:rPr>
        <w:t>为自验收竣工之日起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GB" w:bidi="ar"/>
        </w:rPr>
        <w:t>年。</w:t>
      </w:r>
    </w:p>
    <w:p w14:paraId="60DE8ADA">
      <w:pPr>
        <w:tabs>
          <w:tab w:val="left" w:pos="-1420"/>
          <w:tab w:val="left" w:pos="-700"/>
          <w:tab w:val="left" w:pos="1260"/>
          <w:tab w:val="left" w:pos="1460"/>
          <w:tab w:val="left" w:pos="2180"/>
          <w:tab w:val="left" w:pos="2900"/>
          <w:tab w:val="left" w:pos="3620"/>
          <w:tab w:val="left" w:pos="4340"/>
          <w:tab w:val="left" w:pos="5060"/>
          <w:tab w:val="left" w:pos="5780"/>
          <w:tab w:val="left" w:pos="6500"/>
          <w:tab w:val="left" w:pos="7220"/>
          <w:tab w:val="left" w:pos="7940"/>
          <w:tab w:val="left" w:pos="8660"/>
          <w:tab w:val="left" w:pos="9380"/>
          <w:tab w:val="left" w:pos="10100"/>
          <w:tab w:val="left" w:pos="10820"/>
          <w:tab w:val="left" w:pos="11540"/>
        </w:tabs>
        <w:spacing w:line="480" w:lineRule="auto"/>
        <w:ind w:right="255" w:firstLine="480"/>
        <w:rPr>
          <w:rFonts w:hint="eastAsia" w:ascii="宋体" w:hAnsi="宋体" w:eastAsia="宋体" w:cs="宋体"/>
          <w:color w:val="auto"/>
          <w:sz w:val="24"/>
          <w:highlight w:val="none"/>
          <w:lang w:val="en-GB" w:bidi="ar"/>
        </w:rPr>
      </w:pPr>
      <w:r>
        <w:rPr>
          <w:rFonts w:hint="eastAsia" w:ascii="宋体" w:hAnsi="宋体" w:eastAsia="宋体" w:cs="宋体"/>
          <w:color w:val="auto"/>
          <w:sz w:val="24"/>
          <w:highlight w:val="none"/>
          <w:lang w:val="en-GB" w:bidi="ar"/>
        </w:rPr>
        <w:t>2、每年免费为采购人提供不少于30个点位的免费迁移服务，包含但不限于该点位所有设备、杆件、辅材、链路、接电、人工等，具体迁移点位由采购人决定，迁移过程中的所有费用由我司承担，超出上述点位数部分的迁移产生的所有费用由采购人承担；</w:t>
      </w:r>
    </w:p>
    <w:p w14:paraId="4C161F47">
      <w:pPr>
        <w:tabs>
          <w:tab w:val="left" w:pos="-1420"/>
          <w:tab w:val="left" w:pos="-700"/>
          <w:tab w:val="left" w:pos="1260"/>
          <w:tab w:val="left" w:pos="1460"/>
          <w:tab w:val="left" w:pos="2180"/>
          <w:tab w:val="left" w:pos="2900"/>
          <w:tab w:val="left" w:pos="3620"/>
          <w:tab w:val="left" w:pos="4340"/>
          <w:tab w:val="left" w:pos="5060"/>
          <w:tab w:val="left" w:pos="5780"/>
          <w:tab w:val="left" w:pos="6500"/>
          <w:tab w:val="left" w:pos="7220"/>
          <w:tab w:val="left" w:pos="7940"/>
          <w:tab w:val="left" w:pos="8660"/>
          <w:tab w:val="left" w:pos="9380"/>
          <w:tab w:val="left" w:pos="10100"/>
          <w:tab w:val="left" w:pos="10820"/>
          <w:tab w:val="left" w:pos="11540"/>
        </w:tabs>
        <w:spacing w:line="480" w:lineRule="auto"/>
        <w:ind w:right="255" w:firstLine="480"/>
        <w:rPr>
          <w:rFonts w:hint="eastAsia" w:ascii="宋体" w:hAnsi="宋体" w:eastAsia="宋体" w:cs="宋体"/>
          <w:color w:val="auto"/>
          <w:sz w:val="24"/>
          <w:highlight w:val="none"/>
          <w:lang w:val="en-GB" w:bidi="ar"/>
        </w:rPr>
      </w:pPr>
      <w:r>
        <w:rPr>
          <w:rFonts w:hint="eastAsia" w:ascii="宋体" w:hAnsi="宋体" w:eastAsia="宋体" w:cs="宋体"/>
          <w:color w:val="auto"/>
          <w:sz w:val="24"/>
          <w:highlight w:val="none"/>
          <w:lang w:val="en-GB" w:bidi="ar"/>
        </w:rPr>
        <w:t>3、完全按照采购人需求提供每年不少于十场安保活动的链路租赁服务。</w:t>
      </w:r>
    </w:p>
    <w:p w14:paraId="534EF8F1">
      <w:pPr>
        <w:tabs>
          <w:tab w:val="left" w:pos="-1420"/>
          <w:tab w:val="left" w:pos="-700"/>
          <w:tab w:val="left" w:pos="1260"/>
          <w:tab w:val="left" w:pos="1460"/>
          <w:tab w:val="left" w:pos="2180"/>
          <w:tab w:val="left" w:pos="2900"/>
          <w:tab w:val="left" w:pos="3620"/>
          <w:tab w:val="left" w:pos="4340"/>
          <w:tab w:val="left" w:pos="5060"/>
          <w:tab w:val="left" w:pos="5780"/>
          <w:tab w:val="left" w:pos="6500"/>
          <w:tab w:val="left" w:pos="7220"/>
          <w:tab w:val="left" w:pos="7940"/>
          <w:tab w:val="left" w:pos="8660"/>
          <w:tab w:val="left" w:pos="9380"/>
          <w:tab w:val="left" w:pos="10100"/>
          <w:tab w:val="left" w:pos="10820"/>
          <w:tab w:val="left" w:pos="11540"/>
        </w:tabs>
        <w:spacing w:line="240" w:lineRule="atLeast"/>
        <w:ind w:right="255" w:firstLine="960"/>
        <w:rPr>
          <w:rFonts w:hint="eastAsia" w:ascii="宋体" w:hAnsi="宋体" w:eastAsia="宋体" w:cs="宋体"/>
          <w:color w:val="auto"/>
          <w:sz w:val="24"/>
          <w:highlight w:val="none"/>
          <w:lang w:val="en-GB" w:bidi="ar"/>
        </w:rPr>
      </w:pPr>
    </w:p>
    <w:p w14:paraId="3466D3FA">
      <w:pPr>
        <w:tabs>
          <w:tab w:val="left" w:pos="-1420"/>
          <w:tab w:val="left" w:pos="-700"/>
          <w:tab w:val="left" w:pos="1260"/>
          <w:tab w:val="left" w:pos="1460"/>
          <w:tab w:val="left" w:pos="2180"/>
          <w:tab w:val="left" w:pos="2900"/>
          <w:tab w:val="left" w:pos="3620"/>
          <w:tab w:val="left" w:pos="4340"/>
          <w:tab w:val="left" w:pos="5060"/>
          <w:tab w:val="left" w:pos="5780"/>
          <w:tab w:val="left" w:pos="6500"/>
          <w:tab w:val="left" w:pos="7220"/>
          <w:tab w:val="left" w:pos="7940"/>
          <w:tab w:val="left" w:pos="8660"/>
          <w:tab w:val="left" w:pos="9380"/>
          <w:tab w:val="left" w:pos="10100"/>
          <w:tab w:val="left" w:pos="10820"/>
          <w:tab w:val="left" w:pos="11540"/>
        </w:tabs>
        <w:spacing w:line="240" w:lineRule="atLeast"/>
        <w:ind w:right="255"/>
        <w:rPr>
          <w:rFonts w:ascii="黑体" w:hAnsi="Times New Roman" w:eastAsia="黑体" w:cs="Times New Roman"/>
          <w:color w:val="auto"/>
          <w:sz w:val="32"/>
          <w:szCs w:val="32"/>
          <w:highlight w:val="none"/>
        </w:rPr>
      </w:pPr>
    </w:p>
    <w:p w14:paraId="74A9F5F7">
      <w:pPr>
        <w:tabs>
          <w:tab w:val="left" w:pos="-1420"/>
          <w:tab w:val="left" w:pos="-700"/>
          <w:tab w:val="left" w:pos="1260"/>
          <w:tab w:val="left" w:pos="1460"/>
          <w:tab w:val="left" w:pos="2180"/>
          <w:tab w:val="left" w:pos="2900"/>
          <w:tab w:val="left" w:pos="3620"/>
          <w:tab w:val="left" w:pos="4340"/>
          <w:tab w:val="left" w:pos="5060"/>
          <w:tab w:val="left" w:pos="5780"/>
          <w:tab w:val="left" w:pos="6500"/>
          <w:tab w:val="left" w:pos="7220"/>
          <w:tab w:val="left" w:pos="7940"/>
          <w:tab w:val="left" w:pos="8660"/>
          <w:tab w:val="left" w:pos="9380"/>
          <w:tab w:val="left" w:pos="10100"/>
          <w:tab w:val="left" w:pos="10820"/>
          <w:tab w:val="left" w:pos="11540"/>
        </w:tabs>
        <w:spacing w:line="480" w:lineRule="auto"/>
        <w:ind w:right="255" w:firstLine="640"/>
        <w:rPr>
          <w:rFonts w:hint="eastAsia" w:ascii="宋体" w:hAnsi="宋体" w:eastAsia="宋体" w:cs="宋体"/>
          <w:color w:val="auto"/>
          <w:sz w:val="24"/>
          <w:highlight w:val="none"/>
          <w:lang w:val="en-GB" w:bidi="ar"/>
        </w:rPr>
      </w:pPr>
      <w:r>
        <w:rPr>
          <w:rFonts w:hint="eastAsia" w:ascii="黑体" w:hAnsi="Times New Roman" w:eastAsia="黑体" w:cs="Times New Roman"/>
          <w:color w:val="auto"/>
          <w:sz w:val="32"/>
          <w:szCs w:val="32"/>
          <w:highlight w:val="none"/>
        </w:rPr>
        <w:t xml:space="preserve">              </w:t>
      </w:r>
      <w:r>
        <w:rPr>
          <w:rFonts w:hint="eastAsia" w:ascii="宋体" w:hAnsi="宋体" w:eastAsia="宋体" w:cs="宋体"/>
          <w:color w:val="auto"/>
          <w:sz w:val="24"/>
          <w:highlight w:val="none"/>
          <w:lang w:val="en-GB" w:bidi="ar"/>
        </w:rPr>
        <w:t xml:space="preserve">       供应商全称（公章）：     </w:t>
      </w:r>
    </w:p>
    <w:p w14:paraId="26E27A7E">
      <w:pPr>
        <w:spacing w:line="480" w:lineRule="auto"/>
        <w:rPr>
          <w:rFonts w:hint="eastAsia" w:ascii="宋体" w:hAnsi="宋体" w:cs="宋体"/>
          <w:color w:val="auto"/>
          <w:szCs w:val="21"/>
          <w:highlight w:val="none"/>
        </w:rPr>
      </w:pPr>
      <w:r>
        <w:rPr>
          <w:rFonts w:hint="eastAsia" w:ascii="宋体" w:hAnsi="宋体" w:eastAsia="宋体" w:cs="宋体"/>
          <w:color w:val="auto"/>
          <w:sz w:val="24"/>
          <w:highlight w:val="none"/>
          <w:lang w:val="en-GB" w:bidi="ar"/>
        </w:rPr>
        <w:t xml:space="preserve">                           法定代表人或授权代表（签字）： </w:t>
      </w:r>
    </w:p>
    <w:p w14:paraId="63FACD5C">
      <w:pPr>
        <w:pStyle w:val="208"/>
        <w:spacing w:beforeAutospacing="0" w:afterAutospacing="0"/>
        <w:jc w:val="center"/>
        <w:rPr>
          <w:rFonts w:hint="eastAsia" w:ascii="宋体" w:hAnsi="宋体" w:cs="宋体"/>
          <w:b/>
          <w:color w:val="auto"/>
          <w:sz w:val="32"/>
          <w:szCs w:val="32"/>
          <w:highlight w:val="none"/>
        </w:rPr>
      </w:pPr>
    </w:p>
    <w:p w14:paraId="5F9C77F2">
      <w:pPr>
        <w:pStyle w:val="208"/>
        <w:spacing w:beforeAutospacing="0" w:afterAutospacing="0"/>
        <w:jc w:val="center"/>
        <w:rPr>
          <w:rFonts w:hint="eastAsia" w:ascii="宋体" w:hAnsi="宋体" w:cs="宋体"/>
          <w:b/>
          <w:color w:val="auto"/>
          <w:sz w:val="32"/>
          <w:szCs w:val="32"/>
          <w:highlight w:val="none"/>
        </w:rPr>
      </w:pPr>
    </w:p>
    <w:p w14:paraId="43708EF1">
      <w:pPr>
        <w:pStyle w:val="208"/>
        <w:spacing w:beforeAutospacing="0" w:afterAutospacing="0"/>
        <w:jc w:val="center"/>
        <w:rPr>
          <w:rFonts w:hint="eastAsia" w:ascii="宋体" w:hAnsi="宋体" w:cs="宋体"/>
          <w:b/>
          <w:color w:val="auto"/>
          <w:sz w:val="32"/>
          <w:szCs w:val="32"/>
          <w:highlight w:val="none"/>
        </w:rPr>
      </w:pPr>
    </w:p>
    <w:p w14:paraId="7987CB9F">
      <w:pPr>
        <w:pStyle w:val="208"/>
        <w:spacing w:beforeAutospacing="0" w:afterAutospacing="0"/>
        <w:jc w:val="center"/>
        <w:rPr>
          <w:rFonts w:hint="eastAsia" w:ascii="宋体" w:hAnsi="宋体" w:cs="宋体"/>
          <w:b/>
          <w:color w:val="auto"/>
          <w:sz w:val="32"/>
          <w:szCs w:val="32"/>
          <w:highlight w:val="none"/>
        </w:rPr>
      </w:pPr>
    </w:p>
    <w:p w14:paraId="401AC268">
      <w:pPr>
        <w:pStyle w:val="208"/>
        <w:spacing w:beforeAutospacing="0" w:afterAutospacing="0"/>
        <w:jc w:val="center"/>
        <w:rPr>
          <w:rFonts w:hint="eastAsia" w:ascii="宋体" w:hAnsi="宋体" w:cs="宋体"/>
          <w:b/>
          <w:color w:val="auto"/>
          <w:sz w:val="32"/>
          <w:szCs w:val="32"/>
          <w:highlight w:val="none"/>
        </w:rPr>
      </w:pPr>
    </w:p>
    <w:p w14:paraId="54D4DAB3">
      <w:pPr>
        <w:pStyle w:val="208"/>
        <w:spacing w:beforeAutospacing="0" w:afterAutospacing="0"/>
        <w:jc w:val="center"/>
        <w:rPr>
          <w:rFonts w:hint="eastAsia" w:ascii="宋体" w:hAnsi="宋体" w:cs="宋体"/>
          <w:b/>
          <w:color w:val="auto"/>
          <w:sz w:val="32"/>
          <w:szCs w:val="32"/>
          <w:highlight w:val="none"/>
        </w:rPr>
      </w:pPr>
    </w:p>
    <w:p w14:paraId="6BD55D8B">
      <w:pPr>
        <w:pStyle w:val="208"/>
        <w:spacing w:beforeAutospacing="0" w:afterAutospacing="0"/>
        <w:jc w:val="center"/>
        <w:rPr>
          <w:rFonts w:hint="eastAsia" w:ascii="宋体" w:hAnsi="宋体" w:cs="宋体"/>
          <w:b/>
          <w:color w:val="auto"/>
          <w:sz w:val="32"/>
          <w:szCs w:val="32"/>
          <w:highlight w:val="none"/>
        </w:rPr>
      </w:pPr>
    </w:p>
    <w:p w14:paraId="5B5A87C7">
      <w:pPr>
        <w:pStyle w:val="208"/>
        <w:spacing w:beforeAutospacing="0" w:afterAutospacing="0"/>
        <w:jc w:val="center"/>
        <w:rPr>
          <w:rFonts w:hint="eastAsia" w:ascii="宋体" w:hAnsi="宋体" w:cs="宋体"/>
          <w:b/>
          <w:color w:val="auto"/>
          <w:sz w:val="32"/>
          <w:szCs w:val="32"/>
          <w:highlight w:val="none"/>
        </w:rPr>
      </w:pPr>
    </w:p>
    <w:p w14:paraId="7AD72505">
      <w:pPr>
        <w:pStyle w:val="208"/>
        <w:spacing w:beforeAutospacing="0" w:afterAutospacing="0"/>
        <w:jc w:val="center"/>
        <w:rPr>
          <w:rFonts w:hint="eastAsia" w:ascii="宋体" w:hAnsi="宋体" w:cs="宋体"/>
          <w:b/>
          <w:color w:val="auto"/>
          <w:sz w:val="32"/>
          <w:szCs w:val="32"/>
          <w:highlight w:val="none"/>
        </w:rPr>
      </w:pPr>
    </w:p>
    <w:p w14:paraId="71D4B4C5">
      <w:pPr>
        <w:pStyle w:val="208"/>
        <w:spacing w:beforeAutospacing="0" w:afterAutospacing="0"/>
        <w:jc w:val="center"/>
        <w:rPr>
          <w:rFonts w:hint="eastAsia" w:ascii="宋体" w:hAnsi="宋体" w:cs="宋体"/>
          <w:b/>
          <w:color w:val="auto"/>
          <w:sz w:val="32"/>
          <w:szCs w:val="32"/>
          <w:highlight w:val="none"/>
        </w:rPr>
      </w:pPr>
    </w:p>
    <w:p w14:paraId="03D1F2A1">
      <w:pPr>
        <w:pStyle w:val="208"/>
        <w:spacing w:beforeAutospacing="0" w:afterAutospacing="0"/>
        <w:jc w:val="center"/>
        <w:rPr>
          <w:rFonts w:hint="eastAsia" w:ascii="宋体" w:hAnsi="宋体" w:cs="宋体"/>
          <w:b/>
          <w:color w:val="auto"/>
          <w:sz w:val="32"/>
          <w:szCs w:val="32"/>
          <w:highlight w:val="none"/>
        </w:rPr>
      </w:pPr>
    </w:p>
    <w:p w14:paraId="618DEBA7">
      <w:pPr>
        <w:pStyle w:val="208"/>
        <w:spacing w:beforeAutospacing="0" w:afterAutospacing="0"/>
        <w:jc w:val="center"/>
        <w:rPr>
          <w:rFonts w:hint="eastAsia" w:ascii="宋体" w:hAnsi="宋体" w:cs="宋体"/>
          <w:b/>
          <w:color w:val="auto"/>
          <w:sz w:val="32"/>
          <w:szCs w:val="32"/>
          <w:highlight w:val="none"/>
        </w:rPr>
      </w:pPr>
    </w:p>
    <w:p w14:paraId="09CD5B01">
      <w:pPr>
        <w:pStyle w:val="208"/>
        <w:spacing w:beforeAutospacing="0" w:afterAutospacing="0"/>
        <w:jc w:val="center"/>
        <w:rPr>
          <w:rFonts w:hint="eastAsia" w:ascii="宋体" w:hAnsi="宋体" w:cs="宋体"/>
          <w:b/>
          <w:color w:val="auto"/>
          <w:sz w:val="32"/>
          <w:szCs w:val="32"/>
          <w:highlight w:val="none"/>
        </w:rPr>
      </w:pPr>
    </w:p>
    <w:p w14:paraId="01240CE6">
      <w:pPr>
        <w:pStyle w:val="208"/>
        <w:spacing w:beforeAutospacing="0" w:afterAutospacing="0"/>
        <w:jc w:val="center"/>
        <w:rPr>
          <w:rFonts w:hint="eastAsia" w:ascii="黑体" w:hAnsi="宋体" w:eastAsia="黑体" w:cs="黑体"/>
          <w:b/>
          <w:color w:val="auto"/>
          <w:sz w:val="32"/>
          <w:szCs w:val="32"/>
          <w:highlight w:val="none"/>
        </w:rPr>
      </w:pPr>
    </w:p>
    <w:p w14:paraId="4E53260A">
      <w:pPr>
        <w:pStyle w:val="208"/>
        <w:spacing w:beforeAutospacing="0" w:afterAutospacing="0"/>
        <w:jc w:val="center"/>
        <w:rPr>
          <w:rFonts w:hint="eastAsia" w:ascii="黑体" w:hAnsi="宋体" w:eastAsia="黑体" w:cs="黑体"/>
          <w:b/>
          <w:color w:val="auto"/>
          <w:sz w:val="32"/>
          <w:szCs w:val="32"/>
          <w:highlight w:val="none"/>
        </w:rPr>
      </w:pPr>
    </w:p>
    <w:p w14:paraId="77AF27CA">
      <w:pPr>
        <w:pStyle w:val="208"/>
        <w:spacing w:beforeAutospacing="0" w:afterAutospacing="0"/>
        <w:jc w:val="cente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质疑函范本</w:t>
      </w:r>
    </w:p>
    <w:p w14:paraId="5587D96A">
      <w:pPr>
        <w:pStyle w:val="208"/>
        <w:spacing w:before="290"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一、质疑供应商基本信息</w:t>
      </w:r>
    </w:p>
    <w:p w14:paraId="54C12E64">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质疑供应商：</w:t>
      </w:r>
      <w:r>
        <w:rPr>
          <w:rFonts w:hint="eastAsia" w:ascii="宋体" w:hAnsi="宋体" w:cs="宋体"/>
          <w:color w:val="auto"/>
          <w:sz w:val="21"/>
          <w:szCs w:val="21"/>
          <w:highlight w:val="none"/>
          <w:u w:val="single"/>
        </w:rPr>
        <w:t>                    </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 </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 xml:space="preserve">       </w:t>
      </w:r>
    </w:p>
    <w:p w14:paraId="4101C441">
      <w:pPr>
        <w:pStyle w:val="208"/>
        <w:spacing w:beforeAutospacing="0" w:afterAutospacing="0" w:line="360" w:lineRule="auto"/>
        <w:jc w:val="both"/>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地址：</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      </w:t>
      </w:r>
    </w:p>
    <w:p w14:paraId="683AA1EF">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邮编：</w:t>
      </w:r>
      <w:r>
        <w:rPr>
          <w:rFonts w:hint="eastAsia" w:ascii="宋体" w:hAnsi="宋体" w:cs="宋体"/>
          <w:color w:val="auto"/>
          <w:sz w:val="21"/>
          <w:szCs w:val="21"/>
          <w:highlight w:val="none"/>
          <w:u w:val="single"/>
        </w:rPr>
        <w:t>                       </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 xml:space="preserve">        </w:t>
      </w:r>
    </w:p>
    <w:p w14:paraId="019C1132">
      <w:pPr>
        <w:pStyle w:val="208"/>
        <w:spacing w:beforeAutospacing="0" w:afterAutospacing="0" w:line="360" w:lineRule="auto"/>
        <w:jc w:val="both"/>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联系人：</w:t>
      </w:r>
      <w:r>
        <w:rPr>
          <w:rFonts w:hint="eastAsia" w:ascii="宋体" w:hAnsi="宋体" w:cs="宋体"/>
          <w:color w:val="auto"/>
          <w:sz w:val="21"/>
          <w:szCs w:val="21"/>
          <w:highlight w:val="none"/>
          <w:u w:val="single"/>
        </w:rPr>
        <w:t>               </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 xml:space="preserve">       </w:t>
      </w:r>
    </w:p>
    <w:p w14:paraId="24344D47">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联系电话：</w:t>
      </w:r>
      <w:r>
        <w:rPr>
          <w:rFonts w:hint="eastAsia" w:ascii="宋体" w:hAnsi="宋体" w:cs="宋体"/>
          <w:color w:val="auto"/>
          <w:sz w:val="21"/>
          <w:szCs w:val="21"/>
          <w:highlight w:val="none"/>
          <w:u w:val="single"/>
        </w:rPr>
        <w:t xml:space="preserve">                                           </w:t>
      </w:r>
    </w:p>
    <w:p w14:paraId="2124EB9F">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授权代表：</w:t>
      </w:r>
      <w:r>
        <w:rPr>
          <w:rFonts w:hint="eastAsia" w:ascii="宋体" w:hAnsi="宋体" w:cs="宋体"/>
          <w:color w:val="auto"/>
          <w:sz w:val="21"/>
          <w:szCs w:val="21"/>
          <w:highlight w:val="none"/>
          <w:u w:val="single"/>
        </w:rPr>
        <w:t>                 </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 xml:space="preserve">        </w:t>
      </w:r>
    </w:p>
    <w:p w14:paraId="090EF43C">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联系电话：</w:t>
      </w:r>
      <w:r>
        <w:rPr>
          <w:rFonts w:hint="eastAsia" w:ascii="宋体" w:hAnsi="宋体" w:cs="宋体"/>
          <w:color w:val="auto"/>
          <w:sz w:val="21"/>
          <w:szCs w:val="21"/>
          <w:highlight w:val="none"/>
          <w:u w:val="single"/>
        </w:rPr>
        <w:t>                  </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 xml:space="preserve">     </w:t>
      </w:r>
    </w:p>
    <w:p w14:paraId="3AB11388">
      <w:pPr>
        <w:pStyle w:val="208"/>
        <w:spacing w:beforeAutospacing="0" w:afterAutospacing="0" w:line="360" w:lineRule="auto"/>
        <w:jc w:val="both"/>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地址： </w:t>
      </w:r>
      <w:r>
        <w:rPr>
          <w:rFonts w:hint="eastAsia" w:ascii="宋体" w:hAnsi="宋体" w:cs="宋体"/>
          <w:color w:val="auto"/>
          <w:sz w:val="21"/>
          <w:szCs w:val="21"/>
          <w:highlight w:val="none"/>
          <w:u w:val="single"/>
        </w:rPr>
        <w:t>                  </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 xml:space="preserve">        </w:t>
      </w:r>
    </w:p>
    <w:p w14:paraId="3AC18B19">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邮编：</w:t>
      </w:r>
      <w:r>
        <w:rPr>
          <w:rFonts w:hint="eastAsia" w:ascii="宋体" w:hAnsi="宋体" w:cs="宋体"/>
          <w:color w:val="auto"/>
          <w:sz w:val="21"/>
          <w:szCs w:val="21"/>
          <w:highlight w:val="none"/>
          <w:u w:val="single"/>
        </w:rPr>
        <w:t xml:space="preserve">                                </w:t>
      </w:r>
    </w:p>
    <w:p w14:paraId="2C00D3F8">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二、质疑项目基本情况</w:t>
      </w:r>
    </w:p>
    <w:p w14:paraId="5DC4045E">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质疑项目的名称：</w:t>
      </w:r>
      <w:r>
        <w:rPr>
          <w:rFonts w:hint="eastAsia" w:ascii="宋体" w:hAnsi="宋体" w:cs="宋体"/>
          <w:color w:val="auto"/>
          <w:sz w:val="21"/>
          <w:szCs w:val="21"/>
          <w:highlight w:val="none"/>
          <w:u w:val="single"/>
        </w:rPr>
        <w:t xml:space="preserve">                            </w:t>
      </w:r>
    </w:p>
    <w:p w14:paraId="58A90344">
      <w:pPr>
        <w:pStyle w:val="208"/>
        <w:spacing w:beforeAutospacing="0" w:afterAutospacing="0" w:line="360" w:lineRule="auto"/>
        <w:jc w:val="both"/>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质疑项目的编号：</w:t>
      </w:r>
      <w:r>
        <w:rPr>
          <w:rFonts w:hint="eastAsia" w:ascii="宋体" w:hAnsi="宋体" w:cs="宋体"/>
          <w:color w:val="auto"/>
          <w:sz w:val="21"/>
          <w:szCs w:val="21"/>
          <w:highlight w:val="none"/>
          <w:u w:val="single"/>
        </w:rPr>
        <w:t xml:space="preserve">                          </w:t>
      </w:r>
    </w:p>
    <w:p w14:paraId="51F49474">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包号：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 xml:space="preserve">    </w:t>
      </w:r>
    </w:p>
    <w:p w14:paraId="0FC6AC79">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采购人名称：</w:t>
      </w:r>
      <w:r>
        <w:rPr>
          <w:rFonts w:hint="eastAsia" w:ascii="宋体" w:hAnsi="宋体" w:cs="宋体"/>
          <w:color w:val="auto"/>
          <w:sz w:val="21"/>
          <w:szCs w:val="21"/>
          <w:highlight w:val="none"/>
          <w:u w:val="single"/>
        </w:rPr>
        <w:t xml:space="preserve">                            </w:t>
      </w:r>
    </w:p>
    <w:p w14:paraId="20BDE5E4">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采购文件获取日期：</w:t>
      </w:r>
      <w:r>
        <w:rPr>
          <w:rFonts w:hint="eastAsia" w:ascii="宋体" w:hAnsi="宋体" w:cs="宋体"/>
          <w:color w:val="auto"/>
          <w:sz w:val="21"/>
          <w:szCs w:val="21"/>
          <w:highlight w:val="none"/>
          <w:u w:val="single"/>
        </w:rPr>
        <w:t xml:space="preserve">                             </w:t>
      </w:r>
    </w:p>
    <w:p w14:paraId="1E39A107">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三、质疑事项具体内容</w:t>
      </w:r>
    </w:p>
    <w:p w14:paraId="34470004">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质疑事项1：</w:t>
      </w:r>
      <w:r>
        <w:rPr>
          <w:rFonts w:hint="eastAsia" w:ascii="宋体" w:hAnsi="宋体" w:cs="宋体"/>
          <w:color w:val="auto"/>
          <w:sz w:val="21"/>
          <w:szCs w:val="21"/>
          <w:highlight w:val="none"/>
          <w:u w:val="single"/>
        </w:rPr>
        <w:t xml:space="preserve">                             </w:t>
      </w:r>
    </w:p>
    <w:p w14:paraId="5D454D3E">
      <w:pPr>
        <w:pStyle w:val="208"/>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事实依据：</w:t>
      </w:r>
      <w:r>
        <w:rPr>
          <w:rFonts w:hint="eastAsia" w:ascii="宋体" w:hAnsi="宋体" w:cs="宋体"/>
          <w:color w:val="auto"/>
          <w:sz w:val="21"/>
          <w:szCs w:val="21"/>
          <w:highlight w:val="none"/>
          <w:u w:val="single"/>
        </w:rPr>
        <w:t xml:space="preserve">                                                   </w:t>
      </w:r>
    </w:p>
    <w:p w14:paraId="33F6FD8F">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法律依据：</w:t>
      </w:r>
      <w:r>
        <w:rPr>
          <w:rFonts w:hint="eastAsia" w:ascii="宋体" w:hAnsi="宋体" w:cs="宋体"/>
          <w:color w:val="auto"/>
          <w:sz w:val="21"/>
          <w:szCs w:val="21"/>
          <w:highlight w:val="none"/>
          <w:u w:val="single"/>
        </w:rPr>
        <w:t xml:space="preserve">                                                    </w:t>
      </w:r>
    </w:p>
    <w:p w14:paraId="05508FA2">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质疑事项2</w:t>
      </w:r>
    </w:p>
    <w:p w14:paraId="72C57B8D">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w:t>
      </w:r>
    </w:p>
    <w:p w14:paraId="605D32F6">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四、与质疑事项相关的质疑请求</w:t>
      </w:r>
    </w:p>
    <w:p w14:paraId="72A4EBAE">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请求：</w:t>
      </w:r>
      <w:r>
        <w:rPr>
          <w:rFonts w:hint="eastAsia" w:ascii="宋体" w:hAnsi="宋体" w:cs="宋体"/>
          <w:color w:val="auto"/>
          <w:sz w:val="21"/>
          <w:szCs w:val="21"/>
          <w:highlight w:val="none"/>
          <w:u w:val="single"/>
        </w:rPr>
        <w:t xml:space="preserve">                                                          </w:t>
      </w:r>
    </w:p>
    <w:p w14:paraId="5357EDE3">
      <w:pPr>
        <w:pStyle w:val="208"/>
        <w:spacing w:beforeAutospacing="0" w:afterAutospacing="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签字(签章)：                 公章：               日期：    </w:t>
      </w:r>
    </w:p>
    <w:p w14:paraId="7A9BD886">
      <w:pPr>
        <w:pStyle w:val="208"/>
        <w:spacing w:beforeAutospacing="0" w:afterAutospacing="0" w:line="0" w:lineRule="atLeast"/>
        <w:jc w:val="both"/>
        <w:rPr>
          <w:rFonts w:hint="eastAsia" w:ascii="宋体" w:hAnsi="宋体" w:cs="宋体"/>
          <w:color w:val="auto"/>
          <w:sz w:val="21"/>
          <w:szCs w:val="21"/>
          <w:highlight w:val="none"/>
        </w:rPr>
      </w:pPr>
      <w:r>
        <w:rPr>
          <w:rFonts w:hint="eastAsia" w:ascii="宋体" w:hAnsi="宋体" w:cs="宋体"/>
          <w:b/>
          <w:color w:val="auto"/>
          <w:sz w:val="21"/>
          <w:szCs w:val="21"/>
          <w:highlight w:val="none"/>
        </w:rPr>
        <w:t>质疑函制作说明：</w:t>
      </w:r>
    </w:p>
    <w:p w14:paraId="518BF2A9">
      <w:pPr>
        <w:pStyle w:val="208"/>
        <w:widowControl/>
        <w:spacing w:beforeAutospacing="0" w:afterAutospacing="0" w:line="0" w:lineRule="atLeast"/>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t>1.供应商提出质疑时，应提交质疑函和必要的证明材料。</w:t>
      </w:r>
    </w:p>
    <w:p w14:paraId="1C97408C">
      <w:pPr>
        <w:pStyle w:val="208"/>
        <w:widowControl/>
        <w:spacing w:beforeAutospacing="0" w:afterAutospacing="0" w:line="0" w:lineRule="atLeast"/>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DD41A08">
      <w:pPr>
        <w:pStyle w:val="208"/>
        <w:widowControl/>
        <w:spacing w:beforeAutospacing="0" w:afterAutospacing="0" w:line="0" w:lineRule="atLeast"/>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t>3.质疑供应商若对项目的某一分包进行质疑，质疑函中应列明具体分包号。</w:t>
      </w:r>
    </w:p>
    <w:p w14:paraId="538A634F">
      <w:pPr>
        <w:pStyle w:val="208"/>
        <w:widowControl/>
        <w:spacing w:beforeAutospacing="0" w:afterAutospacing="0" w:line="0" w:lineRule="atLeast"/>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t>4.质疑函的质疑事项应具体、明确，并有必要的事实依据和法律依据。</w:t>
      </w:r>
    </w:p>
    <w:p w14:paraId="5A36EDDD">
      <w:pPr>
        <w:pStyle w:val="208"/>
        <w:widowControl/>
        <w:spacing w:beforeAutospacing="0" w:afterAutospacing="0" w:line="0" w:lineRule="atLeast"/>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t>5.质疑函的质疑请求应与质疑事项相关。</w:t>
      </w:r>
    </w:p>
    <w:p w14:paraId="0AA1F30B">
      <w:pPr>
        <w:pStyle w:val="208"/>
        <w:widowControl/>
        <w:spacing w:beforeAutospacing="0" w:afterAutospacing="0" w:line="0" w:lineRule="atLeast"/>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t>6.质疑供应商为自然人的，质疑函应由本人签字；质疑供应商为法人或者其他组织的，质疑函应由法定代表人、主要负责人，或者其授权代表签字或者盖章，并加盖公章。</w:t>
      </w:r>
    </w:p>
    <w:sectPr>
      <w:headerReference r:id="rId4" w:type="first"/>
      <w:footerReference r:id="rId5" w:type="default"/>
      <w:headerReference r:id="rId3" w:type="even"/>
      <w:pgSz w:w="11906" w:h="16838"/>
      <w:pgMar w:top="1440" w:right="1906" w:bottom="1440" w:left="138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Wingdings 2">
    <w:panose1 w:val="05020102010507070707"/>
    <w:charset w:val="00"/>
    <w:family w:val="auto"/>
    <w:pitch w:val="default"/>
    <w:sig w:usb0="00000000" w:usb1="00000000" w:usb2="00000000" w:usb3="00000000" w:csb0="80000000" w:csb1="00000000"/>
  </w:font>
  <w:font w:name="方正仿宋_GBK">
    <w:altName w:val="微软雅黑"/>
    <w:panose1 w:val="03000509000000000000"/>
    <w:charset w:val="86"/>
    <w:family w:val="auto"/>
    <w:pitch w:val="default"/>
    <w:sig w:usb0="00000000" w:usb1="00000000" w:usb2="00000000" w:usb3="00000000" w:csb0="00040000" w:csb1="00000000"/>
  </w:font>
  <w:font w:name="Microsoft Himalaya">
    <w:panose1 w:val="01010100010101010101"/>
    <w:charset w:val="00"/>
    <w:family w:val="auto"/>
    <w:pitch w:val="default"/>
    <w:sig w:usb0="80000003" w:usb1="00010000" w:usb2="00000040" w:usb3="00000000" w:csb0="0000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BE300B">
    <w:pPr>
      <w:pStyle w:val="21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5</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101</w:t>
    </w:r>
    <w:r>
      <w:rPr>
        <w:b/>
        <w:sz w:val="24"/>
        <w:szCs w:val="24"/>
      </w:rPr>
      <w:fldChar w:fldCharType="end"/>
    </w:r>
  </w:p>
  <w:p w14:paraId="26A8422F">
    <w:pPr>
      <w:pStyle w:val="2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0979BE">
    <w:r>
      <mc:AlternateContent>
        <mc:Choice Requires="wps">
          <w:drawing>
            <wp:anchor distT="0" distB="0" distL="114300" distR="114300" simplePos="0" relativeHeight="251665408"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 name="矩形 1"/>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44834921">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100pt;height:25pt;width:200pt;rotation:-1638402f;z-index:251665408;mso-width-relative:page;mso-height-relative:page;" filled="f" stroked="f" coordsize="21600,21600" o:gfxdata="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hdnHa9IAAAAKAQAADwAAAAAAAAABACAAAAAiAAAAZHJzL2Rv&#10;d25yZXYueG1sUEsBAhQAFAAAAAgAh07iQImjIYwHAgAAFAQAAA4AAAAAAAAAAQAgAAAAIQEAAGRy&#10;cy9lMm9Eb2MueG1sUEsFBgAAAAAGAAYAWQEAAJoFAAAAAA==&#10;" adj="10800">
              <v:fill on="f" focussize="0,0"/>
              <v:stroke on="f"/>
              <v:imagedata o:title=""/>
              <o:lock v:ext="edit" aspectratio="f"/>
              <v:textpath on="f" fitpath="t" trim="t" xscale="f" string="" style="font-size:36pt;v-text-align:center;"/>
              <v:textbox inset="0mm,0mm,0mm,0mm">
                <w:txbxContent>
                  <w:p w14:paraId="44834921">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78720"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2" name="矩形 2"/>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30191368">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300pt;height:25pt;width:200pt;rotation:-1638402f;z-index:251678720;mso-width-relative:page;mso-height-relative:page;" filled="f" stroked="f" coordsize="21600,21600" o:gfxdata="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Wgnn59IAAAAKAQAADwAAAAAAAAABACAAAAAiAAAAZHJzL2Rv&#10;d25yZXYueG1sUEsBAhQAFAAAAAgAh07iQEz7eP0HAgAAFAQAAA4AAAAAAAAAAQAgAAAAIQEAAGRy&#10;cy9lMm9Eb2MueG1sUEsFBgAAAAAGAAYAWQEAAJoFAAAAAA==&#10;" adj="10800">
              <v:fill on="f" focussize="0,0"/>
              <v:stroke on="f"/>
              <v:imagedata o:title=""/>
              <o:lock v:ext="edit" aspectratio="f"/>
              <v:textpath on="f" fitpath="t" trim="t" xscale="f" string="" style="font-size:36pt;v-text-align:center;"/>
              <v:textbox inset="0mm,0mm,0mm,0mm">
                <w:txbxContent>
                  <w:p w14:paraId="30191368">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79744"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3" name="矩形 3"/>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6606B957">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500pt;height:25pt;width:200pt;rotation:-1638402f;z-index:251679744;mso-width-relative:page;mso-height-relative:page;" filled="f" stroked="f" coordsize="21600,21600" o:gfxdata="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VwDW+NQAAAAMAQAADwAAAAAAAAABACAAAAAiAAAAZHJz&#10;L2Rvd25yZXYueG1sUEsBAhQAFAAAAAgAh07iQDAxn2QIAgAAFAQAAA4AAAAAAAAAAQAgAAAAIwEA&#10;AGRycy9lMm9Eb2MueG1sUEsFBgAAAAAGAAYAWQEAAJ0FAAAAAA==&#10;" adj="10800">
              <v:fill on="f" focussize="0,0"/>
              <v:stroke on="f"/>
              <v:imagedata o:title=""/>
              <o:lock v:ext="edit" aspectratio="f"/>
              <v:textpath on="f" fitpath="t" trim="t" xscale="f" string="" style="font-size:36pt;v-text-align:center;"/>
              <v:textbox inset="0mm,0mm,0mm,0mm">
                <w:txbxContent>
                  <w:p w14:paraId="6606B957">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80768"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4" name="矩形 4"/>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0E217FB5">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230pt;margin-top:100pt;height:25pt;width:200pt;rotation:-1638402f;z-index:251680768;mso-width-relative:page;mso-height-relative:page;" filled="f" stroked="f" coordsize="21600,21600" o:gfxdata="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ivsb40wAAAAsBAAAPAAAAAAAAAAEAIAAAACIAAABkcnMv&#10;ZG93bnJldi54bWxQSwECFAAUAAAACACHTuJAxkrKHwgCAAAUBAAADgAAAAAAAAABACAAAAAiAQAA&#10;ZHJzL2Uyb0RvYy54bWxQSwUGAAAAAAYABgBZAQAAnAUAAAAA&#10;" adj="10800">
              <v:fill on="f" focussize="0,0"/>
              <v:stroke on="f"/>
              <v:imagedata o:title=""/>
              <o:lock v:ext="edit" aspectratio="f"/>
              <v:textpath on="f" fitpath="t" trim="t" xscale="f" string="" style="font-size:36pt;v-text-align:center;"/>
              <v:textbox inset="0mm,0mm,0mm,0mm">
                <w:txbxContent>
                  <w:p w14:paraId="0E217FB5">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81792"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5" name="矩形 5"/>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round/>
                      </a:ln>
                    </wps:spPr>
                    <wps:txbx>
                      <w:txbxContent>
                        <w:p w14:paraId="15BD1E99">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230pt;margin-top:300pt;height:25pt;width:200pt;rotation:-1638402f;z-index:251681792;mso-width-relative:page;mso-height-relative:page;" filled="f" stroked="f" coordsize="21600,21600" o:gfxdata="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PW7mdNMAAAALAQAADwAAAAAAAAABACAAAAAiAAAA&#10;ZHJzL2Rvd25yZXYueG1sUEsBAhQAFAAAAAgAh07iQHSi9oUMAgAAHgQAAA4AAAAAAAAAAQAgAAAA&#10;IgEAAGRycy9lMm9Eb2MueG1sUEsFBgAAAAAGAAYAWQEAAKAFAAAAAA==&#10;" adj="10800">
              <v:fill on="f" focussize="0,0"/>
              <v:stroke on="f" joinstyle="round"/>
              <v:imagedata o:title=""/>
              <o:lock v:ext="edit" aspectratio="f"/>
              <v:textpath on="f" fitpath="t" trim="t" xscale="f" string="" style="font-size:36pt;v-text-align:center;"/>
              <v:textbox inset="0mm,0mm,0mm,0mm">
                <w:txbxContent>
                  <w:p w14:paraId="15BD1E99">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82816"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6" name="矩形 6"/>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732ED9BB">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230pt;margin-top:500pt;height:25pt;width:200pt;rotation:-1638402f;z-index:251682816;mso-width-relative:page;mso-height-relative:page;" filled="f" stroked="f" coordsize="21600,21600" o:gfxdata="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nYNJNQAAAANAQAADwAAAAAAAAABACAAAAAiAAAAZHJz&#10;L2Rvd25yZXYueG1sUEsBAhQAFAAAAAgAh07iQH/YdPcIAgAAFAQAAA4AAAAAAAAAAQAgAAAAIwEA&#10;AGRycy9lMm9Eb2MueG1sUEsFBgAAAAAGAAYAWQEAAJ0FAAAAAA==&#10;" adj="10800">
              <v:fill on="f" focussize="0,0"/>
              <v:stroke on="f"/>
              <v:imagedata o:title=""/>
              <o:lock v:ext="edit" aspectratio="f"/>
              <v:textpath on="f" fitpath="t" trim="t" xscale="f" string="" style="font-size:36pt;v-text-align:center;"/>
              <v:textbox inset="0mm,0mm,0mm,0mm">
                <w:txbxContent>
                  <w:p w14:paraId="732ED9BB">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p>
  <w:p w14:paraId="524A4C12">
    <w:r>
      <w:pict>
        <v:shape id="_x0000_s4109" o:spid="_x0000_s4109" o:spt="136" type="#_x0000_t136" style="position:absolute;left:0pt;margin-left:30pt;margin-top:100pt;height:25pt;width:200pt;rotation:-1638400f;z-index:251666432;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110" o:spid="_x0000_s4110" o:spt="136" type="#_x0000_t136" style="position:absolute;left:0pt;margin-left:30pt;margin-top:300pt;height:25pt;width:200pt;rotation:-1638400f;z-index:251667456;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111" o:spid="_x0000_s4111" o:spt="136" type="#_x0000_t136" style="position:absolute;left:0pt;margin-left:30pt;margin-top:500pt;height:25pt;width:200pt;rotation:-1638400f;z-index:251668480;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112" o:spid="_x0000_s4112" o:spt="136" type="#_x0000_t136" style="position:absolute;left:0pt;margin-left:230pt;margin-top:100pt;height:25pt;width:200pt;rotation:-1638400f;z-index:251669504;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113" o:spid="_x0000_s4113" o:spt="136" type="#_x0000_t136" style="position:absolute;left:0pt;margin-left:230pt;margin-top:300pt;height:25pt;width:200pt;rotation:-1638400f;z-index:251670528;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114" o:spid="_x0000_s4114" o:spt="136" type="#_x0000_t136" style="position:absolute;left:0pt;margin-left:230pt;margin-top:500pt;height:25pt;width:200pt;rotation:-1638400f;z-index:251671552;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DBD17">
    <w:r>
      <mc:AlternateContent>
        <mc:Choice Requires="wps">
          <w:drawing>
            <wp:anchor distT="0" distB="0" distL="114300" distR="114300" simplePos="0" relativeHeight="251672576"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7" name="矩形 7"/>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405BA171">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100pt;height:25pt;width:200pt;rotation:-1638402f;z-index:251672576;mso-width-relative:page;mso-height-relative:page;" filled="f" stroked="f" coordsize="21600,21600" o:gfxdata="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IXZx2vSAAAACgEAAA8AAAAAAAAAAQAgAAAAIgAAAGRycy9k&#10;b3ducmV2LnhtbFBLAQIUABQAAAAIAIdO4kADEpNuCAIAABQEAAAOAAAAAAAAAAEAIAAAACEBAABk&#10;cnMvZTJvRG9jLnhtbFBLBQYAAAAABgAGAFkBAACbBQAAAAA=&#10;" adj="10800">
              <v:fill on="f" focussize="0,0"/>
              <v:stroke on="f"/>
              <v:imagedata o:title=""/>
              <o:lock v:ext="edit" aspectratio="f"/>
              <v:textpath on="f" fitpath="t" trim="t" xscale="f" string="" style="font-size:36pt;v-text-align:center;"/>
              <v:textbox inset="0mm,0mm,0mm,0mm">
                <w:txbxContent>
                  <w:p w14:paraId="405BA171">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73600"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8" name="矩形 8"/>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6B8D01F5">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300pt;height:25pt;width:200pt;rotation:-1638402f;z-index:251673600;mso-width-relative:page;mso-height-relative:page;" filled="f" stroked="f" coordsize="21600,21600" o:gfxdata="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Wgnn59IAAAAKAQAADwAAAAAAAAABACAAAAAiAAAAZHJzL2Rv&#10;d25yZXYueG1sUEsBAhQAFAAAAAgAh07iQJMv3gEHAgAAFAQAAA4AAAAAAAAAAQAgAAAAIQEAAGRy&#10;cy9lMm9Eb2MueG1sUEsFBgAAAAAGAAYAWQEAAJoFAAAAAA==&#10;" adj="10800">
              <v:fill on="f" focussize="0,0"/>
              <v:stroke on="f"/>
              <v:imagedata o:title=""/>
              <o:lock v:ext="edit" aspectratio="f"/>
              <v:textpath on="f" fitpath="t" trim="t" xscale="f" string="" style="font-size:36pt;v-text-align:center;"/>
              <v:textbox inset="0mm,0mm,0mm,0mm">
                <w:txbxContent>
                  <w:p w14:paraId="6B8D01F5">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74624"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9" name="矩形 9"/>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18D5C436">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500pt;height:25pt;width:200pt;rotation:-1638402f;z-index:251674624;mso-width-relative:page;mso-height-relative:page;" filled="f" stroked="f" coordsize="21600,21600" o:gfxdata="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VwDW+NQAAAAMAQAADwAAAAAAAAABACAAAAAiAAAAZHJz&#10;L2Rvd25yZXYueG1sUEsBAhQAFAAAAAgAh07iQO/lOZgIAgAAFAQAAA4AAAAAAAAAAQAgAAAAIwEA&#10;AGRycy9lMm9Eb2MueG1sUEsFBgAAAAAGAAYAWQEAAJ0FAAAAAA==&#10;" adj="10800">
              <v:fill on="f" focussize="0,0"/>
              <v:stroke on="f"/>
              <v:imagedata o:title=""/>
              <o:lock v:ext="edit" aspectratio="f"/>
              <v:textpath on="f" fitpath="t" trim="t" xscale="f" string="" style="font-size:36pt;v-text-align:center;"/>
              <v:textbox inset="0mm,0mm,0mm,0mm">
                <w:txbxContent>
                  <w:p w14:paraId="18D5C436">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75648"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10" name="矩形 10"/>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3A89FB59">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230pt;margin-top:100pt;height:25pt;width:200pt;rotation:-1638402f;z-index:251675648;mso-width-relative:page;mso-height-relative:page;" filled="f" stroked="f" coordsize="21600,21600" o:gfxdata="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ivsb40wAAAAsBAAAPAAAAAAAAAAEAIAAAACIAAABkcnMv&#10;ZG93bnJldi54bWxQSwECFAAUAAAACACHTuJA3xGSfQgCAAAWBAAADgAAAAAAAAABACAAAAAiAQAA&#10;ZHJzL2Uyb0RvYy54bWxQSwUGAAAAAAYABgBZAQAAnAUAAAAA&#10;" adj="10800">
              <v:fill on="f" focussize="0,0"/>
              <v:stroke on="f"/>
              <v:imagedata o:title=""/>
              <o:lock v:ext="edit" aspectratio="f"/>
              <v:textpath on="f" fitpath="t" trim="t" xscale="f" string="" style="font-size:36pt;v-text-align:center;"/>
              <v:textbox inset="0mm,0mm,0mm,0mm">
                <w:txbxContent>
                  <w:p w14:paraId="3A89FB59">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76672"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11" name="矩形 11"/>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47DD6507">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230pt;margin-top:300pt;height:25pt;width:200pt;rotation:-1638402f;z-index:251676672;mso-width-relative:page;mso-height-relative:page;" filled="f" stroked="f" coordsize="21600,21600" o:gfxdata="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9buZ00wAAAAsBAAAPAAAAAAAAAAEAIAAAACIAAABkcnMv&#10;ZG93bnJldi54bWxQSwECFAAUAAAACACHTuJAeYoVeAgCAAAWBAAADgAAAAAAAAABACAAAAAiAQAA&#10;ZHJzL2Uyb0RvYy54bWxQSwUGAAAAAAYABgBZAQAAnAUAAAAA&#10;" adj="10800">
              <v:fill on="f" focussize="0,0"/>
              <v:stroke on="f"/>
              <v:imagedata o:title=""/>
              <o:lock v:ext="edit" aspectratio="f"/>
              <v:textpath on="f" fitpath="t" trim="t" xscale="f" string="" style="font-size:36pt;v-text-align:center;"/>
              <v:textbox inset="0mm,0mm,0mm,0mm">
                <w:txbxContent>
                  <w:p w14:paraId="47DD6507">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77696"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12" name="矩形 12"/>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round/>
                      </a:ln>
                    </wps:spPr>
                    <wps:txbx>
                      <w:txbxContent>
                        <w:p w14:paraId="6944CB1C">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230pt;margin-top:500pt;height:25pt;width:200pt;rotation:-1638402f;z-index:251677696;mso-width-relative:page;mso-height-relative:page;" filled="f" stroked="f" coordsize="21600,21600" o:gfxdata="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KZ2DSTUAAAADQEAAA8AAAAAAAAAAQAgAAAAIgAA&#10;AGRycy9kb3ducmV2LnhtbFBLAQIUABQAAAAIAIdO4kB2nYgTDAIAACAEAAAOAAAAAAAAAAEAIAAA&#10;ACMBAABkcnMvZTJvRG9jLnhtbFBLBQYAAAAABgAGAFkBAAChBQAAAAA=&#10;" adj="10800">
              <v:fill on="f" focussize="0,0"/>
              <v:stroke on="f" joinstyle="round"/>
              <v:imagedata o:title=""/>
              <o:lock v:ext="edit" aspectratio="f"/>
              <v:textpath on="f" fitpath="t" trim="t" xscale="f" string="" style="font-size:36pt;v-text-align:center;"/>
              <v:textbox inset="0mm,0mm,0mm,0mm">
                <w:txbxContent>
                  <w:p w14:paraId="6944CB1C">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p>
  <w:p w14:paraId="6C0D6C84">
    <w:r>
      <w:pict>
        <v:shape id="_x0000_s4097" o:spid="_x0000_s4097" o:spt="136" type="#_x0000_t136" style="position:absolute;left:0pt;margin-left:30pt;margin-top:100pt;height:25pt;width:200pt;rotation:-1638400f;z-index:251659264;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098" o:spid="_x0000_s4098" o:spt="136" type="#_x0000_t136" style="position:absolute;left:0pt;margin-left:30pt;margin-top:300pt;height:25pt;width:200pt;rotation:-1638400f;z-index:251660288;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099" o:spid="_x0000_s4099" o:spt="136" type="#_x0000_t136" style="position:absolute;left:0pt;margin-left:30pt;margin-top:500pt;height:25pt;width:200pt;rotation:-1638400f;z-index:251661312;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100" o:spid="_x0000_s4100" o:spt="136" type="#_x0000_t136" style="position:absolute;left:0pt;margin-left:230pt;margin-top:100pt;height:25pt;width:200pt;rotation:-1638400f;z-index:251662336;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101" o:spid="_x0000_s4101" o:spt="136" type="#_x0000_t136" style="position:absolute;left:0pt;margin-left:230pt;margin-top:300pt;height:25pt;width:200pt;rotation:-1638400f;z-index:251663360;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102" o:spid="_x0000_s4102" o:spt="136" type="#_x0000_t136" style="position:absolute;left:0pt;margin-left:230pt;margin-top:500pt;height:25pt;width:200pt;rotation:-1638400f;z-index:251664384;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DD2E08"/>
    <w:multiLevelType w:val="singleLevel"/>
    <w:tmpl w:val="90DD2E08"/>
    <w:lvl w:ilvl="0" w:tentative="0">
      <w:start w:val="1"/>
      <w:numFmt w:val="decimal"/>
      <w:suff w:val="nothing"/>
      <w:lvlText w:val="%1、"/>
      <w:lvlJc w:val="left"/>
    </w:lvl>
  </w:abstractNum>
  <w:abstractNum w:abstractNumId="1">
    <w:nsid w:val="CFB1254F"/>
    <w:multiLevelType w:val="singleLevel"/>
    <w:tmpl w:val="CFB1254F"/>
    <w:lvl w:ilvl="0" w:tentative="0">
      <w:start w:val="1"/>
      <w:numFmt w:val="decimal"/>
      <w:suff w:val="nothing"/>
      <w:lvlText w:val="%1、"/>
      <w:lvlJc w:val="left"/>
    </w:lvl>
  </w:abstractNum>
  <w:abstractNum w:abstractNumId="2">
    <w:nsid w:val="0053208E"/>
    <w:multiLevelType w:val="multilevel"/>
    <w:tmpl w:val="0053208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13DEF11"/>
    <w:multiLevelType w:val="singleLevel"/>
    <w:tmpl w:val="013DEF11"/>
    <w:lvl w:ilvl="0" w:tentative="0">
      <w:start w:val="6"/>
      <w:numFmt w:val="chineseCounting"/>
      <w:suff w:val="nothing"/>
      <w:lvlText w:val="%1、"/>
      <w:lvlJc w:val="left"/>
      <w:rPr>
        <w:rFonts w:hint="eastAsia"/>
      </w:rPr>
    </w:lvl>
  </w:abstractNum>
  <w:abstractNum w:abstractNumId="4">
    <w:nsid w:val="38F999AD"/>
    <w:multiLevelType w:val="singleLevel"/>
    <w:tmpl w:val="38F999AD"/>
    <w:lvl w:ilvl="0" w:tentative="0">
      <w:start w:val="4"/>
      <w:numFmt w:val="chineseCounting"/>
      <w:suff w:val="nothing"/>
      <w:lvlText w:val="%1、"/>
      <w:lvlJc w:val="left"/>
      <w:rPr>
        <w:rFonts w:hint="eastAsia"/>
      </w:rPr>
    </w:lvl>
  </w:abstractNum>
  <w:abstractNum w:abstractNumId="5">
    <w:nsid w:val="6A3A7B5A"/>
    <w:multiLevelType w:val="singleLevel"/>
    <w:tmpl w:val="6A3A7B5A"/>
    <w:lvl w:ilvl="0" w:tentative="0">
      <w:start w:val="15"/>
      <w:numFmt w:val="decimal"/>
      <w:suff w:val="nothing"/>
      <w:lvlText w:val="%1）"/>
      <w:lvlJc w:val="left"/>
    </w:lvl>
  </w:abstractNum>
  <w:num w:numId="1">
    <w:abstractNumId w:val="2"/>
  </w:num>
  <w:num w:numId="2">
    <w:abstractNumId w:val="4"/>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0023F1E"/>
    <w:rsid w:val="00143FB8"/>
    <w:rsid w:val="00961554"/>
    <w:rsid w:val="00973FB8"/>
    <w:rsid w:val="00A306BE"/>
    <w:rsid w:val="00BC57CD"/>
    <w:rsid w:val="00DF1953"/>
    <w:rsid w:val="00E57120"/>
    <w:rsid w:val="01393A40"/>
    <w:rsid w:val="01AA085E"/>
    <w:rsid w:val="01BA2B60"/>
    <w:rsid w:val="02847791"/>
    <w:rsid w:val="02B45155"/>
    <w:rsid w:val="02DD05FC"/>
    <w:rsid w:val="02EB3EB1"/>
    <w:rsid w:val="03444BB2"/>
    <w:rsid w:val="034D7EB4"/>
    <w:rsid w:val="0374422E"/>
    <w:rsid w:val="03781604"/>
    <w:rsid w:val="038F541B"/>
    <w:rsid w:val="03B5196C"/>
    <w:rsid w:val="03D2095E"/>
    <w:rsid w:val="040770F3"/>
    <w:rsid w:val="04A6248E"/>
    <w:rsid w:val="04BD1B14"/>
    <w:rsid w:val="04F27C44"/>
    <w:rsid w:val="051D4E44"/>
    <w:rsid w:val="053C4E38"/>
    <w:rsid w:val="058206EA"/>
    <w:rsid w:val="05C52EC7"/>
    <w:rsid w:val="05E12760"/>
    <w:rsid w:val="06206479"/>
    <w:rsid w:val="06496DEA"/>
    <w:rsid w:val="06A46D09"/>
    <w:rsid w:val="06E22F7E"/>
    <w:rsid w:val="072C72D4"/>
    <w:rsid w:val="07750484"/>
    <w:rsid w:val="07820D44"/>
    <w:rsid w:val="07BC46B8"/>
    <w:rsid w:val="07D47FF4"/>
    <w:rsid w:val="07FE4E09"/>
    <w:rsid w:val="081D227E"/>
    <w:rsid w:val="082A67BE"/>
    <w:rsid w:val="08360110"/>
    <w:rsid w:val="08504BB2"/>
    <w:rsid w:val="08534FC3"/>
    <w:rsid w:val="0866448B"/>
    <w:rsid w:val="087979E0"/>
    <w:rsid w:val="087A7437"/>
    <w:rsid w:val="08C473FB"/>
    <w:rsid w:val="08E73603"/>
    <w:rsid w:val="09181829"/>
    <w:rsid w:val="093904C6"/>
    <w:rsid w:val="09485A06"/>
    <w:rsid w:val="09760CC5"/>
    <w:rsid w:val="09C60BCE"/>
    <w:rsid w:val="09E151BF"/>
    <w:rsid w:val="0A347ED8"/>
    <w:rsid w:val="0A4874B2"/>
    <w:rsid w:val="0A5464CD"/>
    <w:rsid w:val="0A802C4F"/>
    <w:rsid w:val="0A9A22AB"/>
    <w:rsid w:val="0A9F4195"/>
    <w:rsid w:val="0AA17496"/>
    <w:rsid w:val="0AAC3FAD"/>
    <w:rsid w:val="0AED5AA7"/>
    <w:rsid w:val="0B090782"/>
    <w:rsid w:val="0B13248D"/>
    <w:rsid w:val="0B17002E"/>
    <w:rsid w:val="0B415214"/>
    <w:rsid w:val="0B70796F"/>
    <w:rsid w:val="0BC67500"/>
    <w:rsid w:val="0CA95432"/>
    <w:rsid w:val="0D3C666E"/>
    <w:rsid w:val="0E0631FF"/>
    <w:rsid w:val="0E0F66E4"/>
    <w:rsid w:val="0E2255E9"/>
    <w:rsid w:val="0E59281B"/>
    <w:rsid w:val="0E823E24"/>
    <w:rsid w:val="0EF75A38"/>
    <w:rsid w:val="0F13283C"/>
    <w:rsid w:val="0F1427B2"/>
    <w:rsid w:val="0F1D5791"/>
    <w:rsid w:val="0F2740D2"/>
    <w:rsid w:val="0F34221E"/>
    <w:rsid w:val="0F4C41C0"/>
    <w:rsid w:val="0F7F10AE"/>
    <w:rsid w:val="0FA26F61"/>
    <w:rsid w:val="0FB40A42"/>
    <w:rsid w:val="0FF30A01"/>
    <w:rsid w:val="10103851"/>
    <w:rsid w:val="102A3EBB"/>
    <w:rsid w:val="102C4A8F"/>
    <w:rsid w:val="104F73B3"/>
    <w:rsid w:val="10685DA1"/>
    <w:rsid w:val="106B0147"/>
    <w:rsid w:val="109A4335"/>
    <w:rsid w:val="10AB38AB"/>
    <w:rsid w:val="10BE422D"/>
    <w:rsid w:val="10ED2DD6"/>
    <w:rsid w:val="111F248A"/>
    <w:rsid w:val="112D3A10"/>
    <w:rsid w:val="113D42B9"/>
    <w:rsid w:val="113E3DA5"/>
    <w:rsid w:val="11577F7F"/>
    <w:rsid w:val="11677D5A"/>
    <w:rsid w:val="11786D0F"/>
    <w:rsid w:val="11CF03C5"/>
    <w:rsid w:val="12236FEF"/>
    <w:rsid w:val="122F6A4E"/>
    <w:rsid w:val="12645AF2"/>
    <w:rsid w:val="127D2FAA"/>
    <w:rsid w:val="12C30815"/>
    <w:rsid w:val="1377630D"/>
    <w:rsid w:val="139A7BF0"/>
    <w:rsid w:val="14011A1D"/>
    <w:rsid w:val="148278C7"/>
    <w:rsid w:val="14DF3042"/>
    <w:rsid w:val="14F73C7E"/>
    <w:rsid w:val="14FC1EFC"/>
    <w:rsid w:val="153F1690"/>
    <w:rsid w:val="1546720E"/>
    <w:rsid w:val="154B7376"/>
    <w:rsid w:val="15603DFF"/>
    <w:rsid w:val="15623A3F"/>
    <w:rsid w:val="15A23462"/>
    <w:rsid w:val="15F1161D"/>
    <w:rsid w:val="15F66C34"/>
    <w:rsid w:val="16066057"/>
    <w:rsid w:val="162B0ED3"/>
    <w:rsid w:val="168144C9"/>
    <w:rsid w:val="169246EF"/>
    <w:rsid w:val="169B375F"/>
    <w:rsid w:val="16CC2B0F"/>
    <w:rsid w:val="170F6A96"/>
    <w:rsid w:val="172920E0"/>
    <w:rsid w:val="17387850"/>
    <w:rsid w:val="17480FD9"/>
    <w:rsid w:val="17747196"/>
    <w:rsid w:val="177C62FA"/>
    <w:rsid w:val="177D6E25"/>
    <w:rsid w:val="17CD7124"/>
    <w:rsid w:val="18176A80"/>
    <w:rsid w:val="183D07D6"/>
    <w:rsid w:val="18457225"/>
    <w:rsid w:val="184F55AF"/>
    <w:rsid w:val="18556FF9"/>
    <w:rsid w:val="18A255E1"/>
    <w:rsid w:val="18B903B2"/>
    <w:rsid w:val="198A6E91"/>
    <w:rsid w:val="19A075E2"/>
    <w:rsid w:val="1A115AC2"/>
    <w:rsid w:val="1A462CAB"/>
    <w:rsid w:val="1A4F3E44"/>
    <w:rsid w:val="1A703192"/>
    <w:rsid w:val="1ABB24EB"/>
    <w:rsid w:val="1AD258B4"/>
    <w:rsid w:val="1AEC7217"/>
    <w:rsid w:val="1B025474"/>
    <w:rsid w:val="1B254F07"/>
    <w:rsid w:val="1B2D10E7"/>
    <w:rsid w:val="1BA76144"/>
    <w:rsid w:val="1BDF66E4"/>
    <w:rsid w:val="1BFB36E8"/>
    <w:rsid w:val="1C15118C"/>
    <w:rsid w:val="1C1662CA"/>
    <w:rsid w:val="1C4C33DE"/>
    <w:rsid w:val="1C850D11"/>
    <w:rsid w:val="1CEB5018"/>
    <w:rsid w:val="1CED3684"/>
    <w:rsid w:val="1D9C4564"/>
    <w:rsid w:val="1E99255E"/>
    <w:rsid w:val="1EB27BD0"/>
    <w:rsid w:val="1EC13C7A"/>
    <w:rsid w:val="1EC20705"/>
    <w:rsid w:val="1F066843"/>
    <w:rsid w:val="1FAD3617"/>
    <w:rsid w:val="1FCD62AF"/>
    <w:rsid w:val="200F7A29"/>
    <w:rsid w:val="201523AC"/>
    <w:rsid w:val="2043524F"/>
    <w:rsid w:val="20656A2F"/>
    <w:rsid w:val="20865F13"/>
    <w:rsid w:val="20A92F74"/>
    <w:rsid w:val="20AB0A75"/>
    <w:rsid w:val="20B43E38"/>
    <w:rsid w:val="20BE4664"/>
    <w:rsid w:val="20C964AA"/>
    <w:rsid w:val="21007E4F"/>
    <w:rsid w:val="213230CE"/>
    <w:rsid w:val="216955FA"/>
    <w:rsid w:val="218F6A5B"/>
    <w:rsid w:val="21A734D8"/>
    <w:rsid w:val="21BF3F6C"/>
    <w:rsid w:val="21E87AB6"/>
    <w:rsid w:val="21F069DD"/>
    <w:rsid w:val="220942A4"/>
    <w:rsid w:val="2228440D"/>
    <w:rsid w:val="226E6A2C"/>
    <w:rsid w:val="22DB23C7"/>
    <w:rsid w:val="22DC584D"/>
    <w:rsid w:val="234C3DF7"/>
    <w:rsid w:val="23A86648"/>
    <w:rsid w:val="23F8626D"/>
    <w:rsid w:val="23FC3FAF"/>
    <w:rsid w:val="243B38DB"/>
    <w:rsid w:val="24531BD9"/>
    <w:rsid w:val="24717101"/>
    <w:rsid w:val="248534F0"/>
    <w:rsid w:val="24A3268B"/>
    <w:rsid w:val="24EB794A"/>
    <w:rsid w:val="25476CEB"/>
    <w:rsid w:val="25741E93"/>
    <w:rsid w:val="25A36391"/>
    <w:rsid w:val="25C50504"/>
    <w:rsid w:val="25D47135"/>
    <w:rsid w:val="25E20EAD"/>
    <w:rsid w:val="261B2DFE"/>
    <w:rsid w:val="26A02D09"/>
    <w:rsid w:val="26D50567"/>
    <w:rsid w:val="272658AF"/>
    <w:rsid w:val="27661A6C"/>
    <w:rsid w:val="27711F3F"/>
    <w:rsid w:val="279C4EA9"/>
    <w:rsid w:val="27BB65B8"/>
    <w:rsid w:val="28037A6B"/>
    <w:rsid w:val="28332FEF"/>
    <w:rsid w:val="283579C1"/>
    <w:rsid w:val="286A6E9E"/>
    <w:rsid w:val="28862099"/>
    <w:rsid w:val="288B3B53"/>
    <w:rsid w:val="28BE1833"/>
    <w:rsid w:val="28C90318"/>
    <w:rsid w:val="28CD539E"/>
    <w:rsid w:val="292C0E92"/>
    <w:rsid w:val="293E5DCA"/>
    <w:rsid w:val="29551F1A"/>
    <w:rsid w:val="295C7931"/>
    <w:rsid w:val="29D022A7"/>
    <w:rsid w:val="29D44BF6"/>
    <w:rsid w:val="29DA08EE"/>
    <w:rsid w:val="29DE3385"/>
    <w:rsid w:val="2A011B23"/>
    <w:rsid w:val="2A1536D4"/>
    <w:rsid w:val="2A46678C"/>
    <w:rsid w:val="2A474D53"/>
    <w:rsid w:val="2A6D395F"/>
    <w:rsid w:val="2AFD6AFB"/>
    <w:rsid w:val="2B071C87"/>
    <w:rsid w:val="2B3C0CCB"/>
    <w:rsid w:val="2BCD3161"/>
    <w:rsid w:val="2BDA5D34"/>
    <w:rsid w:val="2C7E2617"/>
    <w:rsid w:val="2C7F25B0"/>
    <w:rsid w:val="2CAE0565"/>
    <w:rsid w:val="2CB772A2"/>
    <w:rsid w:val="2CD92BEE"/>
    <w:rsid w:val="2CE850D0"/>
    <w:rsid w:val="2D3F4972"/>
    <w:rsid w:val="2D53536C"/>
    <w:rsid w:val="2D771B21"/>
    <w:rsid w:val="2DB47C89"/>
    <w:rsid w:val="2DD90EBD"/>
    <w:rsid w:val="2DD91A0E"/>
    <w:rsid w:val="2DE75D11"/>
    <w:rsid w:val="2E25009E"/>
    <w:rsid w:val="2E371A7C"/>
    <w:rsid w:val="2E6E7045"/>
    <w:rsid w:val="2E845873"/>
    <w:rsid w:val="2F025089"/>
    <w:rsid w:val="2F35161A"/>
    <w:rsid w:val="2F367725"/>
    <w:rsid w:val="2F477631"/>
    <w:rsid w:val="2F655A7B"/>
    <w:rsid w:val="2F6A1BF1"/>
    <w:rsid w:val="2F997260"/>
    <w:rsid w:val="2FC03607"/>
    <w:rsid w:val="2FC64924"/>
    <w:rsid w:val="30701433"/>
    <w:rsid w:val="3081261A"/>
    <w:rsid w:val="30856441"/>
    <w:rsid w:val="308C5D5A"/>
    <w:rsid w:val="30BA54DD"/>
    <w:rsid w:val="30C36E5E"/>
    <w:rsid w:val="30DF1B37"/>
    <w:rsid w:val="30EA2141"/>
    <w:rsid w:val="30F5430D"/>
    <w:rsid w:val="311F4E9C"/>
    <w:rsid w:val="31447CA9"/>
    <w:rsid w:val="31D6798F"/>
    <w:rsid w:val="31F25817"/>
    <w:rsid w:val="31F33DF2"/>
    <w:rsid w:val="325522C1"/>
    <w:rsid w:val="32FE2181"/>
    <w:rsid w:val="32FE7B1F"/>
    <w:rsid w:val="3314752A"/>
    <w:rsid w:val="33274478"/>
    <w:rsid w:val="333F0CA1"/>
    <w:rsid w:val="334540E6"/>
    <w:rsid w:val="33730967"/>
    <w:rsid w:val="339A3320"/>
    <w:rsid w:val="33DC1707"/>
    <w:rsid w:val="33E800AC"/>
    <w:rsid w:val="342C4E17"/>
    <w:rsid w:val="346D4264"/>
    <w:rsid w:val="34C74165"/>
    <w:rsid w:val="34EC28B8"/>
    <w:rsid w:val="350C1745"/>
    <w:rsid w:val="35164968"/>
    <w:rsid w:val="351E2AB9"/>
    <w:rsid w:val="35593A1A"/>
    <w:rsid w:val="355E55DD"/>
    <w:rsid w:val="356F7214"/>
    <w:rsid w:val="357B1341"/>
    <w:rsid w:val="35A30929"/>
    <w:rsid w:val="35B1407B"/>
    <w:rsid w:val="35CA577F"/>
    <w:rsid w:val="35CC4DB5"/>
    <w:rsid w:val="35D72186"/>
    <w:rsid w:val="36B83A6B"/>
    <w:rsid w:val="36B867BD"/>
    <w:rsid w:val="36C950F3"/>
    <w:rsid w:val="36D344F7"/>
    <w:rsid w:val="37361E91"/>
    <w:rsid w:val="37A97611"/>
    <w:rsid w:val="37C67A3E"/>
    <w:rsid w:val="37DA0B92"/>
    <w:rsid w:val="37E0391B"/>
    <w:rsid w:val="37E9573D"/>
    <w:rsid w:val="37EA0216"/>
    <w:rsid w:val="38015D24"/>
    <w:rsid w:val="38252D14"/>
    <w:rsid w:val="387E0FDF"/>
    <w:rsid w:val="388A0F10"/>
    <w:rsid w:val="389B56ED"/>
    <w:rsid w:val="38AE2EE2"/>
    <w:rsid w:val="38CF4EB1"/>
    <w:rsid w:val="38E0400A"/>
    <w:rsid w:val="392A5859"/>
    <w:rsid w:val="395B4FE9"/>
    <w:rsid w:val="3964634F"/>
    <w:rsid w:val="398D4184"/>
    <w:rsid w:val="3994598B"/>
    <w:rsid w:val="399D596C"/>
    <w:rsid w:val="39C646AC"/>
    <w:rsid w:val="39CF64CC"/>
    <w:rsid w:val="39DE4642"/>
    <w:rsid w:val="3A157451"/>
    <w:rsid w:val="3A292AD3"/>
    <w:rsid w:val="3A426090"/>
    <w:rsid w:val="3A5145DC"/>
    <w:rsid w:val="3A5474D3"/>
    <w:rsid w:val="3A6F0BDF"/>
    <w:rsid w:val="3A976388"/>
    <w:rsid w:val="3ABF44A6"/>
    <w:rsid w:val="3AF81870"/>
    <w:rsid w:val="3B1D265E"/>
    <w:rsid w:val="3B451C40"/>
    <w:rsid w:val="3BCC56A6"/>
    <w:rsid w:val="3C08525A"/>
    <w:rsid w:val="3C325B86"/>
    <w:rsid w:val="3C5F1EF6"/>
    <w:rsid w:val="3C8B3CCA"/>
    <w:rsid w:val="3CC633B8"/>
    <w:rsid w:val="3D257C7B"/>
    <w:rsid w:val="3D68221C"/>
    <w:rsid w:val="3DDB1CD3"/>
    <w:rsid w:val="3E2B65AB"/>
    <w:rsid w:val="3E4E30BB"/>
    <w:rsid w:val="3E5177D9"/>
    <w:rsid w:val="3E5D515E"/>
    <w:rsid w:val="3E9F7719"/>
    <w:rsid w:val="3F314ACC"/>
    <w:rsid w:val="3FCB6526"/>
    <w:rsid w:val="3FDE578F"/>
    <w:rsid w:val="40073F99"/>
    <w:rsid w:val="405E106E"/>
    <w:rsid w:val="406A1871"/>
    <w:rsid w:val="408401B1"/>
    <w:rsid w:val="408E0D0B"/>
    <w:rsid w:val="40AF442B"/>
    <w:rsid w:val="40B20017"/>
    <w:rsid w:val="40C74447"/>
    <w:rsid w:val="41012622"/>
    <w:rsid w:val="413D47AA"/>
    <w:rsid w:val="41830729"/>
    <w:rsid w:val="419C3870"/>
    <w:rsid w:val="41CD6CC1"/>
    <w:rsid w:val="41DF49AC"/>
    <w:rsid w:val="41E9232C"/>
    <w:rsid w:val="42091F04"/>
    <w:rsid w:val="426B22C9"/>
    <w:rsid w:val="429531AD"/>
    <w:rsid w:val="42C85EBB"/>
    <w:rsid w:val="42CA47DF"/>
    <w:rsid w:val="42D8519B"/>
    <w:rsid w:val="430D368B"/>
    <w:rsid w:val="435B28AD"/>
    <w:rsid w:val="43712DDC"/>
    <w:rsid w:val="43851C82"/>
    <w:rsid w:val="43CF6B92"/>
    <w:rsid w:val="43EB71E3"/>
    <w:rsid w:val="4496250E"/>
    <w:rsid w:val="44B804F6"/>
    <w:rsid w:val="45084269"/>
    <w:rsid w:val="452627E2"/>
    <w:rsid w:val="45303954"/>
    <w:rsid w:val="45663883"/>
    <w:rsid w:val="45B42C24"/>
    <w:rsid w:val="46202A9A"/>
    <w:rsid w:val="46600945"/>
    <w:rsid w:val="46676599"/>
    <w:rsid w:val="46B300A5"/>
    <w:rsid w:val="46B60064"/>
    <w:rsid w:val="46D61BCA"/>
    <w:rsid w:val="46EA5546"/>
    <w:rsid w:val="47AA514B"/>
    <w:rsid w:val="47CB25D0"/>
    <w:rsid w:val="47E80223"/>
    <w:rsid w:val="48180165"/>
    <w:rsid w:val="48201405"/>
    <w:rsid w:val="48324F29"/>
    <w:rsid w:val="485E533F"/>
    <w:rsid w:val="489A3099"/>
    <w:rsid w:val="48B14AB8"/>
    <w:rsid w:val="48CE5DE0"/>
    <w:rsid w:val="48D118F2"/>
    <w:rsid w:val="48F60B83"/>
    <w:rsid w:val="492D450B"/>
    <w:rsid w:val="492D795E"/>
    <w:rsid w:val="49551C16"/>
    <w:rsid w:val="4A282B58"/>
    <w:rsid w:val="4A462381"/>
    <w:rsid w:val="4A5029FD"/>
    <w:rsid w:val="4A8027DD"/>
    <w:rsid w:val="4A9646AB"/>
    <w:rsid w:val="4A9E3488"/>
    <w:rsid w:val="4ACC4760"/>
    <w:rsid w:val="4ACE168F"/>
    <w:rsid w:val="4B2D2F15"/>
    <w:rsid w:val="4B3A68F5"/>
    <w:rsid w:val="4B3F15A1"/>
    <w:rsid w:val="4B840CE8"/>
    <w:rsid w:val="4B865D88"/>
    <w:rsid w:val="4B9C357C"/>
    <w:rsid w:val="4BE30121"/>
    <w:rsid w:val="4C195314"/>
    <w:rsid w:val="4C2F48B5"/>
    <w:rsid w:val="4C475D0F"/>
    <w:rsid w:val="4C6161AA"/>
    <w:rsid w:val="4C6D4C87"/>
    <w:rsid w:val="4CD80AB7"/>
    <w:rsid w:val="4CED67AD"/>
    <w:rsid w:val="4D896004"/>
    <w:rsid w:val="4D9947C8"/>
    <w:rsid w:val="4DD94E74"/>
    <w:rsid w:val="4DEB6377"/>
    <w:rsid w:val="4E3E643B"/>
    <w:rsid w:val="4E847D44"/>
    <w:rsid w:val="4E8A3F5E"/>
    <w:rsid w:val="4E9F71AC"/>
    <w:rsid w:val="4ECB57C7"/>
    <w:rsid w:val="4EE94210"/>
    <w:rsid w:val="4EF602B2"/>
    <w:rsid w:val="4EF754B4"/>
    <w:rsid w:val="4F4D2FB1"/>
    <w:rsid w:val="4F660147"/>
    <w:rsid w:val="4F8A0762"/>
    <w:rsid w:val="4F911E60"/>
    <w:rsid w:val="4FC31EA2"/>
    <w:rsid w:val="4FE060B5"/>
    <w:rsid w:val="50126ED7"/>
    <w:rsid w:val="503F6ECA"/>
    <w:rsid w:val="5129656C"/>
    <w:rsid w:val="51905E35"/>
    <w:rsid w:val="51C16CF3"/>
    <w:rsid w:val="52052E40"/>
    <w:rsid w:val="52C67750"/>
    <w:rsid w:val="52EF7F9E"/>
    <w:rsid w:val="531002D1"/>
    <w:rsid w:val="53167ACA"/>
    <w:rsid w:val="53176BB8"/>
    <w:rsid w:val="531F1E04"/>
    <w:rsid w:val="533D0252"/>
    <w:rsid w:val="539B7857"/>
    <w:rsid w:val="53E126F6"/>
    <w:rsid w:val="53FF2609"/>
    <w:rsid w:val="54113999"/>
    <w:rsid w:val="54267F9B"/>
    <w:rsid w:val="542C7D94"/>
    <w:rsid w:val="54722357"/>
    <w:rsid w:val="54A7665B"/>
    <w:rsid w:val="54AE5F27"/>
    <w:rsid w:val="54B624FC"/>
    <w:rsid w:val="54D12908"/>
    <w:rsid w:val="54F621D1"/>
    <w:rsid w:val="55360D32"/>
    <w:rsid w:val="555F522A"/>
    <w:rsid w:val="559A3305"/>
    <w:rsid w:val="55BE4344"/>
    <w:rsid w:val="55EA5E35"/>
    <w:rsid w:val="561671AD"/>
    <w:rsid w:val="56375D92"/>
    <w:rsid w:val="56457822"/>
    <w:rsid w:val="565C4D7D"/>
    <w:rsid w:val="56662CDD"/>
    <w:rsid w:val="56A941CC"/>
    <w:rsid w:val="56B16EB1"/>
    <w:rsid w:val="56C42528"/>
    <w:rsid w:val="571570C6"/>
    <w:rsid w:val="574057AF"/>
    <w:rsid w:val="57812D56"/>
    <w:rsid w:val="57A41612"/>
    <w:rsid w:val="57C309E4"/>
    <w:rsid w:val="57C81ABA"/>
    <w:rsid w:val="57CD4D3F"/>
    <w:rsid w:val="57FB7DAC"/>
    <w:rsid w:val="582165A1"/>
    <w:rsid w:val="58224012"/>
    <w:rsid w:val="58560DCA"/>
    <w:rsid w:val="58821591"/>
    <w:rsid w:val="58BB78BF"/>
    <w:rsid w:val="58D7727E"/>
    <w:rsid w:val="58F25B17"/>
    <w:rsid w:val="593F5891"/>
    <w:rsid w:val="59694B3F"/>
    <w:rsid w:val="59945B14"/>
    <w:rsid w:val="599C0754"/>
    <w:rsid w:val="5A041FE3"/>
    <w:rsid w:val="5A2504F7"/>
    <w:rsid w:val="5A2C05B1"/>
    <w:rsid w:val="5A855A52"/>
    <w:rsid w:val="5A9C0D1C"/>
    <w:rsid w:val="5A9F0097"/>
    <w:rsid w:val="5AD80139"/>
    <w:rsid w:val="5AEC6CFC"/>
    <w:rsid w:val="5B3F5777"/>
    <w:rsid w:val="5B6E4214"/>
    <w:rsid w:val="5BAC183B"/>
    <w:rsid w:val="5BAE12E8"/>
    <w:rsid w:val="5BF80F9A"/>
    <w:rsid w:val="5C06393C"/>
    <w:rsid w:val="5C3675E8"/>
    <w:rsid w:val="5C714FB1"/>
    <w:rsid w:val="5C9B0FAB"/>
    <w:rsid w:val="5CC05393"/>
    <w:rsid w:val="5D430046"/>
    <w:rsid w:val="5D505E9A"/>
    <w:rsid w:val="5DA126A5"/>
    <w:rsid w:val="5DA404B8"/>
    <w:rsid w:val="5DC3164B"/>
    <w:rsid w:val="5DF61588"/>
    <w:rsid w:val="5DF94AE0"/>
    <w:rsid w:val="5DFB5CCC"/>
    <w:rsid w:val="5E1B4400"/>
    <w:rsid w:val="5E240ADC"/>
    <w:rsid w:val="5E39536F"/>
    <w:rsid w:val="5E69057D"/>
    <w:rsid w:val="5E825B46"/>
    <w:rsid w:val="5EBC018F"/>
    <w:rsid w:val="5EFF4E4E"/>
    <w:rsid w:val="5F421DC7"/>
    <w:rsid w:val="5F906D7E"/>
    <w:rsid w:val="5FA13760"/>
    <w:rsid w:val="5FB24F46"/>
    <w:rsid w:val="5FD759DF"/>
    <w:rsid w:val="5FF26CA8"/>
    <w:rsid w:val="5FF55686"/>
    <w:rsid w:val="5FFB425E"/>
    <w:rsid w:val="60044398"/>
    <w:rsid w:val="600F1FAE"/>
    <w:rsid w:val="60270EF4"/>
    <w:rsid w:val="6038586E"/>
    <w:rsid w:val="60432042"/>
    <w:rsid w:val="607E307A"/>
    <w:rsid w:val="609C2E3B"/>
    <w:rsid w:val="60E13CAF"/>
    <w:rsid w:val="616C6292"/>
    <w:rsid w:val="617D31BC"/>
    <w:rsid w:val="61BA152C"/>
    <w:rsid w:val="61BC02FE"/>
    <w:rsid w:val="61BD0CA1"/>
    <w:rsid w:val="61D84E5F"/>
    <w:rsid w:val="61F925B4"/>
    <w:rsid w:val="620A5A72"/>
    <w:rsid w:val="62375BD7"/>
    <w:rsid w:val="62594DE3"/>
    <w:rsid w:val="625D58CB"/>
    <w:rsid w:val="628A03FC"/>
    <w:rsid w:val="6333375C"/>
    <w:rsid w:val="633A3DF9"/>
    <w:rsid w:val="63C92E4B"/>
    <w:rsid w:val="63DE27AE"/>
    <w:rsid w:val="63E461DC"/>
    <w:rsid w:val="63FD0BB9"/>
    <w:rsid w:val="64604146"/>
    <w:rsid w:val="6465428E"/>
    <w:rsid w:val="64870F07"/>
    <w:rsid w:val="648D2B54"/>
    <w:rsid w:val="648E32AE"/>
    <w:rsid w:val="64986E00"/>
    <w:rsid w:val="64B81584"/>
    <w:rsid w:val="64D64502"/>
    <w:rsid w:val="64FC1AAB"/>
    <w:rsid w:val="65BE2C4F"/>
    <w:rsid w:val="65DF1A13"/>
    <w:rsid w:val="6612610A"/>
    <w:rsid w:val="66384800"/>
    <w:rsid w:val="66682258"/>
    <w:rsid w:val="667747F4"/>
    <w:rsid w:val="66B126D4"/>
    <w:rsid w:val="66BE22C1"/>
    <w:rsid w:val="66D15C32"/>
    <w:rsid w:val="66E52C2C"/>
    <w:rsid w:val="672D4457"/>
    <w:rsid w:val="675110E9"/>
    <w:rsid w:val="67937B17"/>
    <w:rsid w:val="67A22957"/>
    <w:rsid w:val="6811146F"/>
    <w:rsid w:val="682B092E"/>
    <w:rsid w:val="683F48B6"/>
    <w:rsid w:val="687E630D"/>
    <w:rsid w:val="68805688"/>
    <w:rsid w:val="6886716F"/>
    <w:rsid w:val="689A2A1B"/>
    <w:rsid w:val="68A30BEF"/>
    <w:rsid w:val="68AA71F6"/>
    <w:rsid w:val="68F94311"/>
    <w:rsid w:val="69214DC3"/>
    <w:rsid w:val="692A0A50"/>
    <w:rsid w:val="693D367A"/>
    <w:rsid w:val="69780017"/>
    <w:rsid w:val="697D0190"/>
    <w:rsid w:val="69970061"/>
    <w:rsid w:val="69BE470A"/>
    <w:rsid w:val="69CD1E3B"/>
    <w:rsid w:val="6A2A0E16"/>
    <w:rsid w:val="6A481F89"/>
    <w:rsid w:val="6AAE0425"/>
    <w:rsid w:val="6B325192"/>
    <w:rsid w:val="6B3C600C"/>
    <w:rsid w:val="6BBC16D2"/>
    <w:rsid w:val="6C18062D"/>
    <w:rsid w:val="6C557FC1"/>
    <w:rsid w:val="6C6D6791"/>
    <w:rsid w:val="6C762D25"/>
    <w:rsid w:val="6CAA2075"/>
    <w:rsid w:val="6D201BB4"/>
    <w:rsid w:val="6D2535FA"/>
    <w:rsid w:val="6D296327"/>
    <w:rsid w:val="6D4764F1"/>
    <w:rsid w:val="6D8240C4"/>
    <w:rsid w:val="6D911B4B"/>
    <w:rsid w:val="6D911D60"/>
    <w:rsid w:val="6DF16F6F"/>
    <w:rsid w:val="6E113780"/>
    <w:rsid w:val="6E45599A"/>
    <w:rsid w:val="6E8453A3"/>
    <w:rsid w:val="6EAA5557"/>
    <w:rsid w:val="6EAE2FFB"/>
    <w:rsid w:val="6F70512A"/>
    <w:rsid w:val="6FFC0367"/>
    <w:rsid w:val="70192154"/>
    <w:rsid w:val="706400BA"/>
    <w:rsid w:val="70716758"/>
    <w:rsid w:val="70917F47"/>
    <w:rsid w:val="70AC79AE"/>
    <w:rsid w:val="71131321"/>
    <w:rsid w:val="7133368B"/>
    <w:rsid w:val="71460704"/>
    <w:rsid w:val="71593014"/>
    <w:rsid w:val="71941AAC"/>
    <w:rsid w:val="719B3A18"/>
    <w:rsid w:val="71BE63FC"/>
    <w:rsid w:val="71C201B6"/>
    <w:rsid w:val="71CB330A"/>
    <w:rsid w:val="71D91B41"/>
    <w:rsid w:val="71F04EF0"/>
    <w:rsid w:val="722319F2"/>
    <w:rsid w:val="72A7258E"/>
    <w:rsid w:val="72DA6B2F"/>
    <w:rsid w:val="72FD0A46"/>
    <w:rsid w:val="730075F6"/>
    <w:rsid w:val="73284A73"/>
    <w:rsid w:val="732C0082"/>
    <w:rsid w:val="73304390"/>
    <w:rsid w:val="733A29F3"/>
    <w:rsid w:val="734A1CE3"/>
    <w:rsid w:val="73BF3F52"/>
    <w:rsid w:val="73E53FEE"/>
    <w:rsid w:val="73F95328"/>
    <w:rsid w:val="74264E1B"/>
    <w:rsid w:val="744214AF"/>
    <w:rsid w:val="745D771F"/>
    <w:rsid w:val="74A80EFC"/>
    <w:rsid w:val="74DC28B9"/>
    <w:rsid w:val="75186486"/>
    <w:rsid w:val="7566647A"/>
    <w:rsid w:val="75B6202C"/>
    <w:rsid w:val="75E42D77"/>
    <w:rsid w:val="75E874BC"/>
    <w:rsid w:val="762646E1"/>
    <w:rsid w:val="768A6318"/>
    <w:rsid w:val="76A07D46"/>
    <w:rsid w:val="76B17E13"/>
    <w:rsid w:val="76EC6F1F"/>
    <w:rsid w:val="773250C0"/>
    <w:rsid w:val="7751028F"/>
    <w:rsid w:val="77922D86"/>
    <w:rsid w:val="77AA4DD8"/>
    <w:rsid w:val="784A1BDC"/>
    <w:rsid w:val="78837DCE"/>
    <w:rsid w:val="78D22F04"/>
    <w:rsid w:val="79371842"/>
    <w:rsid w:val="7938302F"/>
    <w:rsid w:val="79A47C1A"/>
    <w:rsid w:val="7A105D42"/>
    <w:rsid w:val="7A36248D"/>
    <w:rsid w:val="7A4F6B85"/>
    <w:rsid w:val="7A643918"/>
    <w:rsid w:val="7A8042E7"/>
    <w:rsid w:val="7A8F78F9"/>
    <w:rsid w:val="7AA80FC8"/>
    <w:rsid w:val="7AD94611"/>
    <w:rsid w:val="7AFC22C7"/>
    <w:rsid w:val="7B6E0354"/>
    <w:rsid w:val="7BE07596"/>
    <w:rsid w:val="7C167FFB"/>
    <w:rsid w:val="7C205C8B"/>
    <w:rsid w:val="7C6E164B"/>
    <w:rsid w:val="7C8757E9"/>
    <w:rsid w:val="7C903599"/>
    <w:rsid w:val="7CA57924"/>
    <w:rsid w:val="7CD008E4"/>
    <w:rsid w:val="7CDE33C7"/>
    <w:rsid w:val="7CFE7534"/>
    <w:rsid w:val="7D044D39"/>
    <w:rsid w:val="7D07647A"/>
    <w:rsid w:val="7D2242CC"/>
    <w:rsid w:val="7D351D85"/>
    <w:rsid w:val="7D494CE4"/>
    <w:rsid w:val="7D4C20DE"/>
    <w:rsid w:val="7D7325DB"/>
    <w:rsid w:val="7DDF44A9"/>
    <w:rsid w:val="7E5D7D7C"/>
    <w:rsid w:val="7E6727AA"/>
    <w:rsid w:val="7F0D3AEF"/>
    <w:rsid w:val="7F1D6010"/>
    <w:rsid w:val="7FE8198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01"/>
    <w:qFormat/>
    <w:uiPriority w:val="0"/>
    <w:pPr>
      <w:widowControl w:val="0"/>
      <w:jc w:val="both"/>
    </w:pPr>
    <w:rPr>
      <w:rFonts w:hint="default" w:ascii="Calibri" w:hAnsi="Calibri" w:eastAsia="宋体" w:cs="Times New Roman"/>
      <w:sz w:val="21"/>
      <w:szCs w:val="24"/>
      <w:lang w:val="en-US" w:eastAsia="zh-CN" w:bidi="ar-SA"/>
    </w:rPr>
  </w:style>
  <w:style w:type="paragraph" w:styleId="2">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unhideWhenUsed/>
    <w:qFormat/>
    <w:uiPriority w:val="1"/>
  </w:style>
  <w:style w:type="table" w:default="1" w:styleId="31">
    <w:name w:val="Normal Table"/>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style>
  <w:style w:type="paragraph" w:styleId="13">
    <w:name w:val="caption"/>
    <w:basedOn w:val="1"/>
    <w:next w:val="1"/>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unhideWhenUsed/>
    <w:qFormat/>
    <w:uiPriority w:val="99"/>
    <w:pPr>
      <w:jc w:val="left"/>
    </w:p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6"/>
    <w:unhideWhenUsed/>
    <w:qFormat/>
    <w:uiPriority w:val="99"/>
    <w:pPr>
      <w:spacing w:after="0" w:line="240" w:lineRule="auto"/>
    </w:pPr>
    <w:rPr>
      <w:sz w:val="20"/>
    </w:rPr>
  </w:style>
  <w:style w:type="paragraph" w:styleId="19">
    <w:name w:val="footer"/>
    <w:basedOn w:val="1"/>
    <w:link w:val="59"/>
    <w:unhideWhenUsed/>
    <w:qFormat/>
    <w:uiPriority w:val="99"/>
    <w:pPr>
      <w:tabs>
        <w:tab w:val="center" w:pos="7143"/>
        <w:tab w:val="right" w:pos="14287"/>
      </w:tabs>
      <w:spacing w:after="0" w:line="240" w:lineRule="auto"/>
    </w:pPr>
  </w:style>
  <w:style w:type="paragraph" w:styleId="20">
    <w:name w:val="header"/>
    <w:basedOn w:val="1"/>
    <w:link w:val="57"/>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52"/>
    <w:qFormat/>
    <w:uiPriority w:val="11"/>
    <w:pPr>
      <w:spacing w:before="200" w:after="200"/>
    </w:pPr>
    <w:rPr>
      <w:sz w:val="24"/>
      <w:szCs w:val="24"/>
    </w:rPr>
  </w:style>
  <w:style w:type="paragraph" w:styleId="24">
    <w:name w:val="footnote text"/>
    <w:basedOn w:val="1"/>
    <w:link w:val="185"/>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Normal (Web)"/>
    <w:basedOn w:val="1"/>
    <w:unhideWhenUsed/>
    <w:qFormat/>
    <w:uiPriority w:val="99"/>
    <w:pPr>
      <w:spacing w:before="0" w:beforeAutospacing="1" w:after="0" w:afterAutospacing="1"/>
      <w:ind w:left="0" w:right="0"/>
      <w:jc w:val="left"/>
    </w:pPr>
    <w:rPr>
      <w:kern w:val="0"/>
      <w:sz w:val="24"/>
      <w:lang w:val="en-US" w:eastAsia="zh-CN" w:bidi="ar"/>
    </w:rPr>
  </w:style>
  <w:style w:type="paragraph" w:styleId="30">
    <w:name w:val="Title"/>
    <w:basedOn w:val="1"/>
    <w:next w:val="1"/>
    <w:link w:val="51"/>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Strong"/>
    <w:basedOn w:val="33"/>
    <w:qFormat/>
    <w:uiPriority w:val="22"/>
    <w:rPr>
      <w:b/>
    </w:rPr>
  </w:style>
  <w:style w:type="character" w:styleId="35">
    <w:name w:val="endnote reference"/>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paragraph" w:customStyle="1" w:styleId="38">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39">
    <w:name w:val="正文文本缩进111"/>
    <w:basedOn w:val="1"/>
    <w:next w:val="1"/>
    <w:unhideWhenUsed/>
    <w:qFormat/>
    <w:uiPriority w:val="99"/>
    <w:pPr>
      <w:ind w:left="-105" w:firstLine="742"/>
    </w:pPr>
    <w:rPr>
      <w:rFonts w:eastAsia="仿宋_GB2312"/>
      <w:sz w:val="32"/>
      <w:szCs w:val="24"/>
    </w:rPr>
  </w:style>
  <w:style w:type="character" w:customStyle="1" w:styleId="40">
    <w:name w:val="Heading 1 Char"/>
    <w:link w:val="2"/>
    <w:qFormat/>
    <w:uiPriority w:val="9"/>
    <w:rPr>
      <w:rFonts w:ascii="Arial" w:hAnsi="Arial" w:eastAsia="Arial" w:cs="Arial"/>
      <w:sz w:val="40"/>
      <w:szCs w:val="40"/>
    </w:rPr>
  </w:style>
  <w:style w:type="character" w:customStyle="1" w:styleId="41">
    <w:name w:val="Heading 2 Char"/>
    <w:link w:val="3"/>
    <w:qFormat/>
    <w:uiPriority w:val="9"/>
    <w:rPr>
      <w:rFonts w:ascii="Arial" w:hAnsi="Arial" w:eastAsia="Arial" w:cs="Arial"/>
      <w:sz w:val="34"/>
    </w:rPr>
  </w:style>
  <w:style w:type="character" w:customStyle="1" w:styleId="42">
    <w:name w:val="Heading 3 Char"/>
    <w:link w:val="4"/>
    <w:qFormat/>
    <w:uiPriority w:val="9"/>
    <w:rPr>
      <w:rFonts w:ascii="Arial" w:hAnsi="Arial" w:eastAsia="Arial" w:cs="Arial"/>
      <w:sz w:val="30"/>
      <w:szCs w:val="30"/>
    </w:rPr>
  </w:style>
  <w:style w:type="character" w:customStyle="1" w:styleId="43">
    <w:name w:val="Heading 4 Char"/>
    <w:link w:val="5"/>
    <w:qFormat/>
    <w:uiPriority w:val="9"/>
    <w:rPr>
      <w:rFonts w:ascii="Arial" w:hAnsi="Arial" w:eastAsia="Arial" w:cs="Arial"/>
      <w:b/>
      <w:bCs/>
      <w:sz w:val="26"/>
      <w:szCs w:val="26"/>
    </w:rPr>
  </w:style>
  <w:style w:type="character" w:customStyle="1" w:styleId="44">
    <w:name w:val="Heading 5 Char"/>
    <w:link w:val="6"/>
    <w:qFormat/>
    <w:uiPriority w:val="9"/>
    <w:rPr>
      <w:rFonts w:ascii="Arial" w:hAnsi="Arial" w:eastAsia="Arial" w:cs="Arial"/>
      <w:b/>
      <w:bCs/>
      <w:sz w:val="24"/>
      <w:szCs w:val="24"/>
    </w:rPr>
  </w:style>
  <w:style w:type="character" w:customStyle="1" w:styleId="45">
    <w:name w:val="Heading 6 Char"/>
    <w:link w:val="7"/>
    <w:qFormat/>
    <w:uiPriority w:val="9"/>
    <w:rPr>
      <w:rFonts w:ascii="Arial" w:hAnsi="Arial" w:eastAsia="Arial" w:cs="Arial"/>
      <w:b/>
      <w:bCs/>
      <w:sz w:val="22"/>
      <w:szCs w:val="22"/>
    </w:rPr>
  </w:style>
  <w:style w:type="character" w:customStyle="1" w:styleId="46">
    <w:name w:val="Heading 7 Char"/>
    <w:link w:val="8"/>
    <w:qFormat/>
    <w:uiPriority w:val="9"/>
    <w:rPr>
      <w:rFonts w:ascii="Arial" w:hAnsi="Arial" w:eastAsia="Arial" w:cs="Arial"/>
      <w:b/>
      <w:bCs/>
      <w:i/>
      <w:iCs/>
      <w:sz w:val="22"/>
      <w:szCs w:val="22"/>
    </w:rPr>
  </w:style>
  <w:style w:type="character" w:customStyle="1" w:styleId="47">
    <w:name w:val="Heading 8 Char"/>
    <w:link w:val="9"/>
    <w:qFormat/>
    <w:uiPriority w:val="9"/>
    <w:rPr>
      <w:rFonts w:ascii="Arial" w:hAnsi="Arial" w:eastAsia="Arial" w:cs="Arial"/>
      <w:i/>
      <w:iCs/>
      <w:sz w:val="22"/>
      <w:szCs w:val="22"/>
    </w:rPr>
  </w:style>
  <w:style w:type="character" w:customStyle="1" w:styleId="48">
    <w:name w:val="Heading 9 Char"/>
    <w:link w:val="10"/>
    <w:qFormat/>
    <w:uiPriority w:val="9"/>
    <w:rPr>
      <w:rFonts w:ascii="Arial" w:hAnsi="Arial" w:eastAsia="Arial" w:cs="Arial"/>
      <w:i/>
      <w:iCs/>
      <w:sz w:val="21"/>
      <w:szCs w:val="21"/>
    </w:rPr>
  </w:style>
  <w:style w:type="paragraph" w:customStyle="1" w:styleId="49">
    <w:name w:val="List Paragraph"/>
    <w:basedOn w:val="1"/>
    <w:qFormat/>
    <w:uiPriority w:val="34"/>
    <w:pPr>
      <w:ind w:left="720"/>
      <w:contextualSpacing/>
    </w:pPr>
  </w:style>
  <w:style w:type="paragraph" w:customStyle="1" w:styleId="50">
    <w:name w:val="No Spacing"/>
    <w:qFormat/>
    <w:uiPriority w:val="1"/>
    <w:pPr>
      <w:spacing w:before="0" w:after="0" w:line="240" w:lineRule="auto"/>
    </w:pPr>
    <w:rPr>
      <w:rFonts w:hint="default" w:ascii="Times New Roman" w:hAnsi="Times New Roman" w:eastAsia="宋体" w:cs="Times New Roman"/>
      <w:lang w:val="en-US" w:eastAsia="en-US" w:bidi="ar-SA"/>
    </w:rPr>
  </w:style>
  <w:style w:type="character" w:customStyle="1" w:styleId="51">
    <w:name w:val="Title Char"/>
    <w:link w:val="30"/>
    <w:qFormat/>
    <w:uiPriority w:val="10"/>
    <w:rPr>
      <w:sz w:val="48"/>
      <w:szCs w:val="48"/>
    </w:rPr>
  </w:style>
  <w:style w:type="character" w:customStyle="1" w:styleId="52">
    <w:name w:val="Subtitle Char"/>
    <w:link w:val="23"/>
    <w:qFormat/>
    <w:uiPriority w:val="11"/>
    <w:rPr>
      <w:sz w:val="24"/>
      <w:szCs w:val="24"/>
    </w:rPr>
  </w:style>
  <w:style w:type="paragraph" w:customStyle="1"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customStyle="1"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link w:val="20"/>
    <w:qFormat/>
    <w:uiPriority w:val="99"/>
  </w:style>
  <w:style w:type="character" w:customStyle="1" w:styleId="58">
    <w:name w:val="Footer Char"/>
    <w:link w:val="19"/>
    <w:qFormat/>
    <w:uiPriority w:val="99"/>
  </w:style>
  <w:style w:type="character" w:customStyle="1" w:styleId="59">
    <w:name w:val="Caption Char"/>
    <w:link w:val="19"/>
    <w:qFormat/>
    <w:uiPriority w:val="99"/>
  </w:style>
  <w:style w:type="table" w:customStyle="1" w:styleId="6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qFormat/>
    <w:uiPriority w:val="59"/>
    <w:pPr>
      <w:spacing w:after="0" w:line="240" w:lineRule="auto"/>
    </w:pPr>
    <w:tblPr>
      <w:tblBorders>
        <w:top w:val="single" w:color="000000" w:themeColor="text1" w:sz="4" w:space="0"/>
        <w:bottom w:val="singl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Footnote Text Char"/>
    <w:link w:val="24"/>
    <w:qFormat/>
    <w:uiPriority w:val="99"/>
    <w:rPr>
      <w:sz w:val="18"/>
    </w:rPr>
  </w:style>
  <w:style w:type="character" w:customStyle="1" w:styleId="186">
    <w:name w:val="Endnote Text Char"/>
    <w:link w:val="18"/>
    <w:qFormat/>
    <w:uiPriority w:val="99"/>
    <w:rPr>
      <w:sz w:val="20"/>
    </w:rPr>
  </w:style>
  <w:style w:type="paragraph" w:customStyle="1" w:styleId="187">
    <w:name w:val="TOC Heading"/>
    <w:unhideWhenUsed/>
    <w:qFormat/>
    <w:uiPriority w:val="39"/>
    <w:rPr>
      <w:rFonts w:hint="default" w:ascii="Times New Roman" w:hAnsi="Times New Roman" w:eastAsia="宋体" w:cs="Times New Roman"/>
      <w:lang w:val="en-US" w:eastAsia="en-US" w:bidi="ar-SA"/>
    </w:rPr>
  </w:style>
  <w:style w:type="paragraph" w:customStyle="1" w:styleId="188">
    <w:name w:val="标题 21"/>
    <w:basedOn w:val="1"/>
    <w:next w:val="189"/>
    <w:qFormat/>
    <w:uiPriority w:val="0"/>
    <w:pPr>
      <w:spacing w:beforeAutospacing="1" w:afterAutospacing="1"/>
      <w:jc w:val="left"/>
      <w:outlineLvl w:val="1"/>
    </w:pPr>
    <w:rPr>
      <w:rFonts w:hint="eastAsia" w:ascii="宋体" w:hAnsi="宋体" w:eastAsia="宋体" w:cs="Times New Roman"/>
      <w:b/>
      <w:bCs/>
      <w:sz w:val="36"/>
      <w:szCs w:val="36"/>
    </w:rPr>
  </w:style>
  <w:style w:type="paragraph" w:customStyle="1" w:styleId="189">
    <w:name w:val="正文缩进1"/>
    <w:basedOn w:val="1"/>
    <w:qFormat/>
    <w:uiPriority w:val="0"/>
    <w:pPr>
      <w:ind w:firstLine="420"/>
    </w:pPr>
    <w:rPr>
      <w:szCs w:val="20"/>
    </w:rPr>
  </w:style>
  <w:style w:type="character" w:customStyle="1" w:styleId="190">
    <w:name w:val="默认段落字体1"/>
    <w:link w:val="1"/>
    <w:unhideWhenUsed/>
    <w:qFormat/>
    <w:uiPriority w:val="1"/>
  </w:style>
  <w:style w:type="table" w:customStyle="1" w:styleId="191">
    <w:name w:val="普通表格1"/>
    <w:unhideWhenUsed/>
    <w:qFormat/>
    <w:uiPriority w:val="99"/>
  </w:style>
  <w:style w:type="character" w:customStyle="1" w:styleId="192">
    <w:name w:val="批注引用1"/>
    <w:basedOn w:val="190"/>
    <w:link w:val="1"/>
    <w:qFormat/>
    <w:uiPriority w:val="0"/>
    <w:rPr>
      <w:sz w:val="21"/>
      <w:szCs w:val="21"/>
    </w:rPr>
  </w:style>
  <w:style w:type="character" w:customStyle="1" w:styleId="193">
    <w:name w:val="NormalCharacter1"/>
    <w:link w:val="1"/>
    <w:semiHidden/>
    <w:qFormat/>
    <w:uiPriority w:val="0"/>
    <w:rPr>
      <w:rFonts w:ascii="Calibri" w:hAnsi="Calibri" w:eastAsia="宋体" w:cs="Times New Roman"/>
      <w:sz w:val="21"/>
      <w:szCs w:val="24"/>
      <w:lang w:val="en-US" w:eastAsia="zh-CN" w:bidi="ar-SA"/>
    </w:rPr>
  </w:style>
  <w:style w:type="character" w:customStyle="1" w:styleId="194">
    <w:name w:val="页眉 Char"/>
    <w:basedOn w:val="190"/>
    <w:link w:val="195"/>
    <w:qFormat/>
    <w:uiPriority w:val="0"/>
    <w:rPr>
      <w:rFonts w:ascii="Calibri" w:hAnsi="Calibri" w:eastAsia="宋体" w:cs="Times New Roman"/>
      <w:sz w:val="18"/>
      <w:szCs w:val="18"/>
    </w:rPr>
  </w:style>
  <w:style w:type="paragraph" w:customStyle="1" w:styleId="195">
    <w:name w:val="页眉1"/>
    <w:basedOn w:val="1"/>
    <w:link w:val="194"/>
    <w:qFormat/>
    <w:uiPriority w:val="0"/>
    <w:pPr>
      <w:pBdr>
        <w:bottom w:val="single" w:color="000000" w:sz="6" w:space="1"/>
      </w:pBdr>
      <w:tabs>
        <w:tab w:val="center" w:pos="4153"/>
        <w:tab w:val="right" w:pos="8306"/>
      </w:tabs>
      <w:jc w:val="center"/>
    </w:pPr>
    <w:rPr>
      <w:sz w:val="18"/>
      <w:szCs w:val="18"/>
    </w:rPr>
  </w:style>
  <w:style w:type="character" w:customStyle="1" w:styleId="196">
    <w:name w:val="页脚 Char"/>
    <w:basedOn w:val="190"/>
    <w:link w:val="197"/>
    <w:qFormat/>
    <w:uiPriority w:val="0"/>
    <w:rPr>
      <w:rFonts w:ascii="Calibri" w:hAnsi="Calibri" w:eastAsia="宋体" w:cs="Times New Roman"/>
      <w:sz w:val="18"/>
      <w:szCs w:val="18"/>
    </w:rPr>
  </w:style>
  <w:style w:type="paragraph" w:customStyle="1" w:styleId="197">
    <w:name w:val="页脚11"/>
    <w:basedOn w:val="1"/>
    <w:link w:val="196"/>
    <w:qFormat/>
    <w:uiPriority w:val="0"/>
    <w:pPr>
      <w:tabs>
        <w:tab w:val="center" w:pos="4153"/>
        <w:tab w:val="right" w:pos="8306"/>
      </w:tabs>
      <w:jc w:val="left"/>
    </w:pPr>
    <w:rPr>
      <w:sz w:val="18"/>
      <w:szCs w:val="18"/>
    </w:rPr>
  </w:style>
  <w:style w:type="character" w:customStyle="1" w:styleId="198">
    <w:name w:val="font11"/>
    <w:basedOn w:val="190"/>
    <w:link w:val="1"/>
    <w:qFormat/>
    <w:uiPriority w:val="0"/>
    <w:rPr>
      <w:rFonts w:hint="eastAsia" w:ascii="微软雅黑" w:hAnsi="微软雅黑" w:eastAsia="微软雅黑" w:cs="微软雅黑"/>
      <w:color w:val="000000"/>
      <w:sz w:val="24"/>
      <w:szCs w:val="24"/>
      <w:u w:val="none"/>
    </w:rPr>
  </w:style>
  <w:style w:type="character" w:customStyle="1" w:styleId="199">
    <w:name w:val="font31"/>
    <w:basedOn w:val="190"/>
    <w:link w:val="1"/>
    <w:qFormat/>
    <w:uiPriority w:val="0"/>
    <w:rPr>
      <w:rFonts w:hint="eastAsia" w:ascii="宋体" w:hAnsi="宋体" w:eastAsia="宋体" w:cs="宋体"/>
      <w:color w:val="000000"/>
      <w:sz w:val="24"/>
      <w:szCs w:val="24"/>
      <w:u w:val="none"/>
    </w:rPr>
  </w:style>
  <w:style w:type="character" w:customStyle="1" w:styleId="200">
    <w:name w:val="custom-tag-placeholder-class"/>
    <w:basedOn w:val="190"/>
    <w:link w:val="1"/>
    <w:qFormat/>
    <w:uiPriority w:val="0"/>
  </w:style>
  <w:style w:type="character" w:customStyle="1" w:styleId="201">
    <w:name w:val="font21"/>
    <w:basedOn w:val="190"/>
    <w:link w:val="1"/>
    <w:qFormat/>
    <w:uiPriority w:val="0"/>
    <w:rPr>
      <w:rFonts w:hint="eastAsia" w:ascii="宋体" w:hAnsi="宋体" w:eastAsia="宋体" w:cs="宋体"/>
      <w:color w:val="000000"/>
      <w:sz w:val="24"/>
      <w:szCs w:val="24"/>
      <w:u w:val="none"/>
    </w:rPr>
  </w:style>
  <w:style w:type="paragraph" w:customStyle="1" w:styleId="202">
    <w:name w:val="纯文本1"/>
    <w:basedOn w:val="1"/>
    <w:unhideWhenUsed/>
    <w:qFormat/>
    <w:uiPriority w:val="0"/>
    <w:rPr>
      <w:rFonts w:ascii="宋体" w:hAnsi="Courier New" w:cs="Courier New"/>
      <w:szCs w:val="21"/>
    </w:rPr>
  </w:style>
  <w:style w:type="paragraph" w:customStyle="1" w:styleId="203">
    <w:name w:val="批注文字1"/>
    <w:basedOn w:val="1"/>
    <w:qFormat/>
    <w:uiPriority w:val="0"/>
    <w:pPr>
      <w:jc w:val="left"/>
    </w:pPr>
  </w:style>
  <w:style w:type="paragraph" w:customStyle="1" w:styleId="204">
    <w:name w:val="引文目录标题1"/>
    <w:basedOn w:val="1"/>
    <w:next w:val="1"/>
    <w:unhideWhenUsed/>
    <w:qFormat/>
    <w:uiPriority w:val="99"/>
    <w:pPr>
      <w:spacing w:before="120"/>
    </w:pPr>
    <w:rPr>
      <w:rFonts w:ascii="Cambria" w:hAnsi="Cambria" w:eastAsia="宋体" w:cs="Times New Roman"/>
      <w:sz w:val="24"/>
      <w:szCs w:val="21"/>
    </w:rPr>
  </w:style>
  <w:style w:type="paragraph" w:customStyle="1" w:styleId="205">
    <w:name w:val="正文首行缩进 2111"/>
    <w:basedOn w:val="39"/>
    <w:qFormat/>
    <w:uiPriority w:val="0"/>
    <w:pPr>
      <w:ind w:firstLine="420"/>
    </w:pPr>
    <w:rPr>
      <w:sz w:val="20"/>
      <w:szCs w:val="20"/>
    </w:rPr>
  </w:style>
  <w:style w:type="paragraph" w:customStyle="1" w:styleId="206">
    <w:name w:val="正文文本1"/>
    <w:basedOn w:val="1"/>
    <w:next w:val="1"/>
    <w:unhideWhenUsed/>
    <w:qFormat/>
    <w:uiPriority w:val="0"/>
    <w:pPr>
      <w:spacing w:after="120"/>
    </w:pPr>
    <w:rPr>
      <w:rFonts w:ascii="Calibri" w:hAnsi="Calibri"/>
      <w:szCs w:val="22"/>
    </w:rPr>
  </w:style>
  <w:style w:type="paragraph" w:customStyle="1" w:styleId="207">
    <w:name w:val="正文首行缩进1"/>
    <w:basedOn w:val="206"/>
    <w:next w:val="205"/>
    <w:qFormat/>
    <w:uiPriority w:val="0"/>
    <w:pPr>
      <w:spacing w:line="360" w:lineRule="auto"/>
      <w:ind w:firstLine="200"/>
    </w:pPr>
    <w:rPr>
      <w:rFonts w:ascii="仿宋_GB2312" w:eastAsia="仿宋_GB2312"/>
      <w:sz w:val="30"/>
      <w:szCs w:val="30"/>
    </w:rPr>
  </w:style>
  <w:style w:type="paragraph" w:customStyle="1" w:styleId="208">
    <w:name w:val="普通(网站)1"/>
    <w:basedOn w:val="1"/>
    <w:qFormat/>
    <w:uiPriority w:val="0"/>
    <w:pPr>
      <w:spacing w:beforeAutospacing="1" w:afterAutospacing="1"/>
      <w:jc w:val="left"/>
    </w:pPr>
    <w:rPr>
      <w:rFonts w:cs="Times New Roman"/>
      <w:sz w:val="24"/>
    </w:rPr>
  </w:style>
  <w:style w:type="paragraph" w:customStyle="1" w:styleId="209">
    <w:name w:val="正文首行缩进 21"/>
    <w:basedOn w:val="210"/>
    <w:qFormat/>
    <w:uiPriority w:val="0"/>
    <w:pPr>
      <w:ind w:firstLine="420"/>
    </w:pPr>
  </w:style>
  <w:style w:type="paragraph" w:customStyle="1" w:styleId="210">
    <w:name w:val="正文文本缩进1"/>
    <w:basedOn w:val="1"/>
    <w:qFormat/>
    <w:uiPriority w:val="0"/>
    <w:pPr>
      <w:spacing w:after="120"/>
      <w:ind w:left="420"/>
    </w:pPr>
  </w:style>
  <w:style w:type="paragraph" w:customStyle="1" w:styleId="211">
    <w:name w:val="页脚1"/>
    <w:basedOn w:val="1"/>
    <w:unhideWhenUsed/>
    <w:qFormat/>
    <w:uiPriority w:val="99"/>
    <w:pPr>
      <w:tabs>
        <w:tab w:val="center" w:pos="4153"/>
        <w:tab w:val="right" w:pos="8306"/>
      </w:tabs>
      <w:jc w:val="left"/>
    </w:pPr>
    <w:rPr>
      <w:sz w:val="18"/>
      <w:szCs w:val="18"/>
    </w:rPr>
  </w:style>
  <w:style w:type="paragraph" w:customStyle="1" w:styleId="212">
    <w:name w:val="样式 标题 3 + (中文) 黑体 小四 非加粗 段前: 7.8 磅 段后: 0 磅 行距: 固定值 20 磅_0"/>
    <w:basedOn w:val="1"/>
    <w:qFormat/>
    <w:uiPriority w:val="0"/>
    <w:pPr>
      <w:keepNext/>
      <w:keepLines/>
      <w:spacing w:line="400" w:lineRule="exact"/>
      <w:outlineLvl w:val="2"/>
    </w:pPr>
    <w:rPr>
      <w:rFonts w:eastAsia="黑体" w:cs="宋体"/>
      <w:szCs w:val="21"/>
    </w:rPr>
  </w:style>
  <w:style w:type="paragraph" w:customStyle="1" w:styleId="213">
    <w:name w:val="段"/>
    <w:next w:val="1"/>
    <w:qFormat/>
    <w:uiPriority w:val="0"/>
    <w:pPr>
      <w:widowControl w:val="0"/>
      <w:ind w:firstLine="200"/>
      <w:jc w:val="both"/>
    </w:pPr>
    <w:rPr>
      <w:rFonts w:hint="default" w:ascii="宋体" w:hAnsi="宋体" w:eastAsia="宋体" w:cs="宋体"/>
      <w:color w:val="000000"/>
      <w:sz w:val="21"/>
      <w:szCs w:val="21"/>
      <w:lang w:val="en-US" w:eastAsia="zh-CN" w:bidi="ar-SA"/>
    </w:rPr>
  </w:style>
  <w:style w:type="paragraph" w:customStyle="1" w:styleId="214">
    <w:name w:val="正文首行缩进 211"/>
    <w:basedOn w:val="215"/>
    <w:next w:val="212"/>
    <w:qFormat/>
    <w:uiPriority w:val="0"/>
    <w:pPr>
      <w:spacing w:after="120"/>
      <w:ind w:left="420" w:firstLine="420"/>
    </w:pPr>
    <w:rPr>
      <w:sz w:val="21"/>
      <w:szCs w:val="24"/>
    </w:rPr>
  </w:style>
  <w:style w:type="paragraph" w:customStyle="1" w:styleId="215">
    <w:name w:val="正文文本缩进11"/>
    <w:basedOn w:val="1"/>
    <w:next w:val="216"/>
    <w:qFormat/>
    <w:uiPriority w:val="99"/>
    <w:pPr>
      <w:ind w:left="-105" w:firstLine="232"/>
    </w:pPr>
    <w:rPr>
      <w:rFonts w:eastAsia="仿宋_GB2312"/>
      <w:sz w:val="32"/>
      <w:szCs w:val="32"/>
    </w:rPr>
  </w:style>
  <w:style w:type="paragraph" w:customStyle="1" w:styleId="216">
    <w:name w:val="寄信人地址11"/>
    <w:basedOn w:val="1"/>
    <w:qFormat/>
    <w:uiPriority w:val="0"/>
    <w:rPr>
      <w:rFonts w:ascii="Arial" w:hAnsi="Arial" w:cs="Arial"/>
    </w:rPr>
  </w:style>
  <w:style w:type="paragraph" w:customStyle="1" w:styleId="217">
    <w:name w:val="Default"/>
    <w:basedOn w:val="1"/>
    <w:semiHidden/>
    <w:qFormat/>
    <w:uiPriority w:val="0"/>
    <w:pPr>
      <w:jc w:val="left"/>
    </w:pPr>
    <w:rPr>
      <w:rFonts w:ascii="宋体" w:hAnsi="Calibri" w:cs="宋体"/>
      <w:color w:val="000000"/>
      <w:sz w:val="24"/>
    </w:rPr>
  </w:style>
  <w:style w:type="paragraph" w:customStyle="1" w:styleId="218">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19">
    <w:name w:val="一级条标题"/>
    <w:basedOn w:val="220"/>
    <w:next w:val="213"/>
    <w:qFormat/>
    <w:uiPriority w:val="0"/>
    <w:pPr>
      <w:tabs>
        <w:tab w:val="left" w:pos="810"/>
        <w:tab w:val="left" w:pos="907"/>
        <w:tab w:val="left" w:pos="1265"/>
      </w:tabs>
      <w:ind w:left="907" w:hanging="907"/>
      <w:outlineLvl w:val="2"/>
    </w:pPr>
    <w:rPr>
      <w:rFonts w:hAnsi="宋体"/>
      <w:sz w:val="20"/>
      <w:szCs w:val="20"/>
    </w:rPr>
  </w:style>
  <w:style w:type="paragraph" w:customStyle="1" w:styleId="220">
    <w:name w:val="章标题"/>
    <w:next w:val="1"/>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221">
    <w:name w:val="Table Text"/>
    <w:basedOn w:val="1"/>
    <w:semiHidden/>
    <w:qFormat/>
    <w:uiPriority w:val="0"/>
    <w:rPr>
      <w:rFonts w:ascii="宋体" w:hAnsi="宋体" w:eastAsia="宋体" w:cs="宋体"/>
      <w:sz w:val="24"/>
      <w:szCs w:val="24"/>
    </w:rPr>
  </w:style>
  <w:style w:type="table" w:customStyle="1" w:styleId="222">
    <w:name w:val="网格型1"/>
    <w:basedOn w:val="191"/>
    <w:qFormat/>
    <w:uiPriority w:val="0"/>
    <w:pPr>
      <w:widowControl w:val="0"/>
      <w:jc w:val="both"/>
    </w:pPr>
  </w:style>
  <w:style w:type="character" w:customStyle="1" w:styleId="223">
    <w:name w:val="font91"/>
    <w:basedOn w:val="33"/>
    <w:qFormat/>
    <w:uiPriority w:val="0"/>
    <w:rPr>
      <w:rFonts w:hint="eastAsia" w:ascii="宋体" w:hAnsi="宋体" w:eastAsia="宋体" w:cs="宋体"/>
      <w:color w:val="000000"/>
      <w:sz w:val="20"/>
      <w:szCs w:val="20"/>
      <w:u w:val="none"/>
    </w:rPr>
  </w:style>
  <w:style w:type="character" w:customStyle="1" w:styleId="224">
    <w:name w:val="font41"/>
    <w:basedOn w:val="33"/>
    <w:qFormat/>
    <w:uiPriority w:val="0"/>
    <w:rPr>
      <w:rFonts w:hint="eastAsia" w:ascii="微软雅黑" w:hAnsi="微软雅黑" w:eastAsia="微软雅黑" w:cs="微软雅黑"/>
      <w:color w:val="000000"/>
      <w:sz w:val="20"/>
      <w:szCs w:val="20"/>
      <w:u w:val="none"/>
    </w:rPr>
  </w:style>
  <w:style w:type="character" w:customStyle="1" w:styleId="225">
    <w:name w:val="font101"/>
    <w:basedOn w:val="33"/>
    <w:qFormat/>
    <w:uiPriority w:val="0"/>
    <w:rPr>
      <w:rFonts w:hint="eastAsia" w:ascii="微软雅黑" w:hAnsi="微软雅黑" w:eastAsia="微软雅黑" w:cs="微软雅黑"/>
      <w:color w:val="FF0000"/>
      <w:sz w:val="20"/>
      <w:szCs w:val="20"/>
      <w:u w:val="none"/>
    </w:rPr>
  </w:style>
  <w:style w:type="character" w:customStyle="1" w:styleId="226">
    <w:name w:val="font81"/>
    <w:basedOn w:val="33"/>
    <w:qFormat/>
    <w:uiPriority w:val="0"/>
    <w:rPr>
      <w:rFonts w:hint="eastAsia" w:ascii="微软雅黑" w:hAnsi="微软雅黑" w:eastAsia="微软雅黑" w:cs="微软雅黑"/>
      <w:color w:val="FF0000"/>
      <w:sz w:val="20"/>
      <w:szCs w:val="20"/>
      <w:u w:val="none"/>
    </w:rPr>
  </w:style>
  <w:style w:type="character" w:customStyle="1" w:styleId="227">
    <w:name w:val="font112"/>
    <w:basedOn w:val="33"/>
    <w:qFormat/>
    <w:uiPriority w:val="0"/>
    <w:rPr>
      <w:rFonts w:ascii="Wingdings 2" w:hAnsi="Wingdings 2" w:eastAsia="Wingdings 2" w:cs="Wingdings 2"/>
      <w:color w:val="000000"/>
      <w:sz w:val="20"/>
      <w:szCs w:val="20"/>
      <w:u w:val="none"/>
    </w:rPr>
  </w:style>
  <w:style w:type="character" w:customStyle="1" w:styleId="228">
    <w:name w:val="font121"/>
    <w:basedOn w:val="33"/>
    <w:qFormat/>
    <w:uiPriority w:val="0"/>
    <w:rPr>
      <w:rFonts w:hint="default" w:ascii="方正仿宋_GBK" w:hAnsi="方正仿宋_GBK" w:eastAsia="方正仿宋_GBK" w:cs="方正仿宋_GBK"/>
      <w:color w:val="000000"/>
      <w:sz w:val="16"/>
      <w:szCs w:val="16"/>
      <w:u w:val="none"/>
    </w:rPr>
  </w:style>
  <w:style w:type="character" w:customStyle="1" w:styleId="229">
    <w:name w:val="font71"/>
    <w:basedOn w:val="33"/>
    <w:qFormat/>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Info spid="_x0000_s4109"/>
    <customShpInfo spid="_x0000_s4110"/>
    <customShpInfo spid="_x0000_s4111"/>
    <customShpInfo spid="_x0000_s4112"/>
    <customShpInfo spid="_x0000_s4113"/>
    <customShpInfo spid="_x0000_s4114"/>
    <customShpInfo spid="_x0000_s4097"/>
    <customShpInfo spid="_x0000_s4098"/>
    <customShpInfo spid="_x0000_s4099"/>
    <customShpInfo spid="_x0000_s4100"/>
    <customShpInfo spid="_x0000_s4101"/>
    <customShpInfo spid="_x0000_s410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King</Company>
  <Pages>174</Pages>
  <Words>18410</Words>
  <Characters>19644</Characters>
  <Lines>0</Lines>
  <Paragraphs>0</Paragraphs>
  <TotalTime>41</TotalTime>
  <ScaleCrop>false</ScaleCrop>
  <LinksUpToDate>false</LinksUpToDate>
  <CharactersWithSpaces>19779</CharactersWithSpaces>
  <Application>WPS Office_12.1.0.26946_F1E327BC-269C-435d-A152-05C5408002CA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2025-12-18T07:48:00Z</dcterms:created>
  <dc:creator>正式环境陈</dc:creator>
  <cp:lastModifiedBy>华为</cp:lastModifiedBy>
  <cp:lastPrinted>2026-04-23T03:26:00Z</cp:lastPrinted>
  <dcterms:modified xsi:type="dcterms:W3CDTF">2026-08-20T03:13:14Z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C4C2988DA00E4611861C0FBB56BB336F_13</vt:lpwstr>
  </property>
  <property fmtid="{D5CDD505-2E9C-101B-9397-08002B2CF9AE}" pid="3" name="KSOProductBuildVer">
    <vt:lpwstr>2052-12.1.0.26946</vt:lpwstr>
  </property>
  <property fmtid="{D5CDD505-2E9C-101B-9397-08002B2CF9AE}" pid="4" name="KSOTemplateDocerSaveRecord">
    <vt:lpwstr>eyJoZGlkIjoiZTNiMmJjMGUyMDNhMGI0MjllZTc4OTE3ODRjOTBjMWQiLCJ1c2VySWQiOiIzMDcwOTE0NDQifQ==</vt:lpwstr>
  </property>
</Properties>
</file>