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963CB3">
      <w:pPr>
        <w:pStyle w:val="9"/>
        <w:spacing w:before="120" w:beforeAutospacing="0" w:after="120" w:afterAutospacing="0" w:line="360" w:lineRule="auto"/>
        <w:rPr>
          <w:color w:val="auto"/>
          <w:highlight w:val="none"/>
        </w:rPr>
      </w:pPr>
      <w:r>
        <w:rPr>
          <w:color w:val="auto"/>
          <w:highlight w:val="none"/>
        </w:rPr>
        <w:t> </w:t>
      </w:r>
    </w:p>
    <w:p w14:paraId="6BA37A83">
      <w:pPr>
        <w:pStyle w:val="9"/>
        <w:spacing w:before="120" w:beforeAutospacing="0" w:after="120" w:afterAutospacing="0" w:line="360" w:lineRule="auto"/>
        <w:jc w:val="center"/>
        <w:rPr>
          <w:color w:val="auto"/>
          <w:highlight w:val="none"/>
        </w:rPr>
      </w:pPr>
      <w:r>
        <w:rPr>
          <w:rFonts w:ascii="Arial" w:hAnsi="Arial" w:cs="Arial"/>
          <w:b/>
          <w:color w:val="auto"/>
          <w:sz w:val="84"/>
          <w:szCs w:val="84"/>
          <w:highlight w:val="none"/>
        </w:rPr>
        <w:t>单一来源采购文件</w:t>
      </w:r>
    </w:p>
    <w:p w14:paraId="799FEB79">
      <w:pPr>
        <w:pStyle w:val="9"/>
        <w:spacing w:before="120" w:beforeAutospacing="0" w:after="120" w:afterAutospacing="0" w:line="360" w:lineRule="auto"/>
        <w:rPr>
          <w:rFonts w:ascii="Arial" w:hAnsi="Arial" w:cs="Arial"/>
          <w:b/>
          <w:color w:val="auto"/>
          <w:sz w:val="32"/>
          <w:szCs w:val="32"/>
          <w:highlight w:val="none"/>
        </w:rPr>
      </w:pPr>
    </w:p>
    <w:p w14:paraId="071972C7">
      <w:pPr>
        <w:pStyle w:val="9"/>
        <w:spacing w:before="120" w:beforeAutospacing="0" w:after="120" w:afterAutospacing="0" w:line="360" w:lineRule="auto"/>
        <w:rPr>
          <w:rFonts w:ascii="Arial" w:hAnsi="Arial" w:cs="Arial"/>
          <w:b/>
          <w:color w:val="auto"/>
          <w:sz w:val="32"/>
          <w:szCs w:val="32"/>
          <w:highlight w:val="none"/>
        </w:rPr>
      </w:pPr>
    </w:p>
    <w:p w14:paraId="7654EC78">
      <w:pPr>
        <w:pStyle w:val="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项目名称：</w:t>
      </w:r>
      <w:r>
        <w:rPr>
          <w:rFonts w:hint="eastAsia" w:ascii="Arial" w:hAnsi="Arial" w:cs="Arial"/>
          <w:b/>
          <w:color w:val="auto"/>
          <w:sz w:val="32"/>
          <w:szCs w:val="32"/>
          <w:highlight w:val="none"/>
        </w:rPr>
        <w:t>2026年-2027年东台市城乡居民医保参保人群长期护理保险服务机构采购项目</w:t>
      </w:r>
    </w:p>
    <w:p w14:paraId="3300AFEE">
      <w:pPr>
        <w:pStyle w:val="9"/>
        <w:spacing w:before="120" w:beforeAutospacing="0" w:after="120" w:afterAutospacing="0" w:line="360" w:lineRule="auto"/>
        <w:rPr>
          <w:color w:val="auto"/>
          <w:highlight w:val="none"/>
        </w:rPr>
      </w:pPr>
      <w:r>
        <w:rPr>
          <w:rFonts w:ascii="Arial" w:hAnsi="Arial" w:cs="Arial"/>
          <w:b/>
          <w:color w:val="auto"/>
          <w:sz w:val="32"/>
          <w:szCs w:val="32"/>
          <w:highlight w:val="none"/>
        </w:rPr>
        <w:t>项目编号：</w:t>
      </w:r>
      <w:r>
        <w:rPr>
          <w:rFonts w:ascii="Times New Roman" w:hAnsi="Times New Roman"/>
          <w:color w:val="auto"/>
          <w:sz w:val="21"/>
          <w:szCs w:val="21"/>
          <w:highlight w:val="none"/>
        </w:rPr>
        <w:t> </w:t>
      </w:r>
      <w:r>
        <w:rPr>
          <w:rFonts w:hint="eastAsia" w:ascii="Arial" w:hAnsi="Arial" w:cs="Arial"/>
          <w:b/>
          <w:color w:val="auto"/>
          <w:sz w:val="32"/>
          <w:szCs w:val="32"/>
          <w:highlight w:val="none"/>
        </w:rPr>
        <w:t>JSZC-320981-DTHS-D2026-0001</w:t>
      </w:r>
      <w:r>
        <w:rPr>
          <w:rFonts w:ascii="Arial" w:hAnsi="Arial" w:cs="Arial"/>
          <w:b/>
          <w:color w:val="auto"/>
          <w:sz w:val="32"/>
          <w:szCs w:val="32"/>
          <w:highlight w:val="none"/>
        </w:rPr>
        <w:t> </w:t>
      </w:r>
      <w:r>
        <w:rPr>
          <w:rFonts w:ascii="Times New Roman" w:hAnsi="Times New Roman"/>
          <w:color w:val="auto"/>
          <w:sz w:val="21"/>
          <w:szCs w:val="21"/>
          <w:highlight w:val="none"/>
        </w:rPr>
        <w:t xml:space="preserve">        </w:t>
      </w:r>
      <w:r>
        <w:rPr>
          <w:rFonts w:ascii="Times New Roman" w:hAnsi="Times New Roman"/>
          <w:b/>
          <w:color w:val="auto"/>
          <w:sz w:val="30"/>
          <w:szCs w:val="30"/>
          <w:highlight w:val="none"/>
        </w:rPr>
        <w:t xml:space="preserve">     </w:t>
      </w:r>
    </w:p>
    <w:p w14:paraId="3C6A0C83">
      <w:pPr>
        <w:pStyle w:val="9"/>
        <w:spacing w:beforeAutospacing="0" w:afterAutospacing="0" w:line="360" w:lineRule="auto"/>
        <w:rPr>
          <w:color w:val="auto"/>
          <w:highlight w:val="none"/>
        </w:rPr>
      </w:pPr>
      <w:r>
        <w:rPr>
          <w:color w:val="auto"/>
          <w:highlight w:val="none"/>
        </w:rPr>
        <w:t> </w:t>
      </w:r>
    </w:p>
    <w:p w14:paraId="4B6EC944">
      <w:pPr>
        <w:pStyle w:val="9"/>
        <w:spacing w:beforeAutospacing="0" w:afterAutospacing="0" w:line="360" w:lineRule="auto"/>
        <w:rPr>
          <w:color w:val="auto"/>
          <w:highlight w:val="none"/>
        </w:rPr>
      </w:pPr>
      <w:r>
        <w:rPr>
          <w:color w:val="auto"/>
          <w:highlight w:val="none"/>
        </w:rPr>
        <w:t> </w:t>
      </w:r>
    </w:p>
    <w:p w14:paraId="742C2113">
      <w:pPr>
        <w:pStyle w:val="9"/>
        <w:spacing w:beforeAutospacing="0" w:afterAutospacing="0" w:line="360" w:lineRule="auto"/>
        <w:rPr>
          <w:color w:val="auto"/>
          <w:highlight w:val="none"/>
        </w:rPr>
      </w:pPr>
      <w:r>
        <w:rPr>
          <w:color w:val="auto"/>
          <w:highlight w:val="none"/>
        </w:rPr>
        <w:t> </w:t>
      </w:r>
    </w:p>
    <w:p w14:paraId="5BFDBAE8">
      <w:pPr>
        <w:pStyle w:val="9"/>
        <w:spacing w:beforeAutospacing="0" w:afterAutospacing="0" w:line="360" w:lineRule="auto"/>
        <w:rPr>
          <w:color w:val="auto"/>
          <w:highlight w:val="none"/>
        </w:rPr>
      </w:pPr>
      <w:r>
        <w:rPr>
          <w:color w:val="auto"/>
          <w:highlight w:val="none"/>
        </w:rPr>
        <w:t> </w:t>
      </w:r>
    </w:p>
    <w:p w14:paraId="2FF82A6D">
      <w:pPr>
        <w:pStyle w:val="9"/>
        <w:spacing w:beforeAutospacing="0" w:afterAutospacing="0" w:line="360" w:lineRule="auto"/>
        <w:rPr>
          <w:color w:val="auto"/>
          <w:highlight w:val="none"/>
        </w:rPr>
      </w:pPr>
      <w:r>
        <w:rPr>
          <w:color w:val="auto"/>
          <w:highlight w:val="none"/>
        </w:rPr>
        <w:t> </w:t>
      </w:r>
    </w:p>
    <w:p w14:paraId="5E8070C3">
      <w:pPr>
        <w:pStyle w:val="9"/>
        <w:spacing w:beforeAutospacing="0" w:afterAutospacing="0" w:line="360" w:lineRule="auto"/>
        <w:rPr>
          <w:color w:val="auto"/>
          <w:highlight w:val="none"/>
        </w:rPr>
      </w:pPr>
      <w:r>
        <w:rPr>
          <w:color w:val="auto"/>
          <w:highlight w:val="none"/>
        </w:rPr>
        <w:t> </w:t>
      </w:r>
    </w:p>
    <w:p w14:paraId="0072C887">
      <w:pPr>
        <w:pStyle w:val="9"/>
        <w:spacing w:beforeAutospacing="0" w:afterAutospacing="0" w:line="360" w:lineRule="auto"/>
        <w:rPr>
          <w:color w:val="auto"/>
          <w:highlight w:val="none"/>
        </w:rPr>
      </w:pPr>
      <w:r>
        <w:rPr>
          <w:color w:val="auto"/>
          <w:highlight w:val="none"/>
        </w:rPr>
        <w:t> </w:t>
      </w:r>
    </w:p>
    <w:p w14:paraId="4E8394CB">
      <w:pPr>
        <w:pStyle w:val="9"/>
        <w:spacing w:beforeAutospacing="0" w:afterAutospacing="0" w:line="360" w:lineRule="auto"/>
        <w:rPr>
          <w:color w:val="auto"/>
          <w:highlight w:val="none"/>
        </w:rPr>
      </w:pPr>
    </w:p>
    <w:p w14:paraId="28F020F7">
      <w:pPr>
        <w:pStyle w:val="9"/>
        <w:spacing w:beforeAutospacing="0" w:afterAutospacing="0" w:line="360" w:lineRule="auto"/>
        <w:rPr>
          <w:color w:val="auto"/>
          <w:highlight w:val="none"/>
        </w:rPr>
      </w:pPr>
    </w:p>
    <w:p w14:paraId="1F2D7448">
      <w:pPr>
        <w:pStyle w:val="9"/>
        <w:spacing w:beforeAutospacing="0" w:afterAutospacing="0" w:line="360" w:lineRule="auto"/>
        <w:rPr>
          <w:color w:val="auto"/>
          <w:highlight w:val="none"/>
        </w:rPr>
      </w:pPr>
    </w:p>
    <w:p w14:paraId="2DD2ABC0">
      <w:pPr>
        <w:pStyle w:val="9"/>
        <w:spacing w:beforeAutospacing="0" w:afterAutospacing="0" w:line="360" w:lineRule="auto"/>
        <w:rPr>
          <w:color w:val="auto"/>
          <w:highlight w:val="none"/>
        </w:rPr>
      </w:pPr>
    </w:p>
    <w:p w14:paraId="0613A411">
      <w:pPr>
        <w:pStyle w:val="9"/>
        <w:spacing w:beforeAutospacing="0" w:afterAutospacing="0" w:line="360" w:lineRule="auto"/>
        <w:rPr>
          <w:color w:val="auto"/>
          <w:highlight w:val="none"/>
        </w:rPr>
      </w:pPr>
    </w:p>
    <w:p w14:paraId="3A89E64F">
      <w:pPr>
        <w:pStyle w:val="9"/>
        <w:spacing w:before="120" w:beforeAutospacing="0" w:after="120" w:afterAutospacing="0" w:line="360" w:lineRule="auto"/>
        <w:jc w:val="center"/>
        <w:rPr>
          <w:rFonts w:ascii="Arial" w:hAnsi="Arial" w:cs="Arial"/>
          <w:b/>
          <w:color w:val="auto"/>
          <w:sz w:val="32"/>
          <w:szCs w:val="32"/>
          <w:highlight w:val="none"/>
        </w:rPr>
      </w:pPr>
      <w:r>
        <w:rPr>
          <w:rFonts w:hint="eastAsia" w:ascii="Arial" w:hAnsi="Arial" w:cs="Arial"/>
          <w:b/>
          <w:color w:val="auto"/>
          <w:sz w:val="32"/>
          <w:szCs w:val="32"/>
          <w:highlight w:val="none"/>
        </w:rPr>
        <w:t>东台市医疗保险基金管理中心</w:t>
      </w:r>
    </w:p>
    <w:p w14:paraId="57553F23">
      <w:pPr>
        <w:pStyle w:val="9"/>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u w:val="single"/>
        </w:rPr>
        <w:t>2026</w:t>
      </w:r>
      <w:r>
        <w:rPr>
          <w:rFonts w:ascii="Arial" w:hAnsi="Arial" w:cs="Arial"/>
          <w:b/>
          <w:color w:val="auto"/>
          <w:sz w:val="32"/>
          <w:szCs w:val="32"/>
          <w:highlight w:val="none"/>
        </w:rPr>
        <w:t>年</w:t>
      </w:r>
      <w:r>
        <w:rPr>
          <w:rFonts w:hint="eastAsia" w:ascii="Arial" w:hAnsi="Arial" w:cs="Arial"/>
          <w:b/>
          <w:color w:val="auto"/>
          <w:sz w:val="32"/>
          <w:szCs w:val="32"/>
          <w:highlight w:val="none"/>
          <w:u w:val="single"/>
          <w:lang w:val="en-US" w:eastAsia="zh-CN"/>
        </w:rPr>
        <w:t>6</w:t>
      </w:r>
      <w:r>
        <w:rPr>
          <w:rFonts w:ascii="Arial" w:hAnsi="Arial" w:cs="Arial"/>
          <w:b/>
          <w:color w:val="auto"/>
          <w:sz w:val="32"/>
          <w:szCs w:val="32"/>
          <w:highlight w:val="none"/>
        </w:rPr>
        <w:t>月</w:t>
      </w:r>
    </w:p>
    <w:p w14:paraId="7C6404C4">
      <w:pPr>
        <w:pStyle w:val="9"/>
        <w:spacing w:before="120" w:beforeAutospacing="0" w:after="120" w:afterAutospacing="0" w:line="360" w:lineRule="auto"/>
        <w:rPr>
          <w:color w:val="auto"/>
          <w:highlight w:val="none"/>
        </w:rPr>
      </w:pPr>
      <w:r>
        <w:rPr>
          <w:rFonts w:ascii="Arial" w:hAnsi="Arial" w:cs="Arial"/>
          <w:color w:val="auto"/>
          <w:highlight w:val="none"/>
        </w:rPr>
        <w:t xml:space="preserve">                        </w:t>
      </w:r>
    </w:p>
    <w:p w14:paraId="2417D85A">
      <w:pPr>
        <w:pStyle w:val="9"/>
        <w:spacing w:before="120" w:beforeAutospacing="0" w:after="120" w:afterAutospacing="0" w:line="360" w:lineRule="auto"/>
        <w:jc w:val="center"/>
        <w:rPr>
          <w:color w:val="auto"/>
          <w:highlight w:val="none"/>
        </w:rPr>
      </w:pPr>
      <w:r>
        <w:rPr>
          <w:color w:val="auto"/>
          <w:highlight w:val="none"/>
        </w:rPr>
        <w:t> </w:t>
      </w:r>
    </w:p>
    <w:p w14:paraId="41D3C5FE">
      <w:pPr>
        <w:pStyle w:val="9"/>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120614210"/>
      <w:bookmarkStart w:id="1" w:name="_Toc523127445"/>
      <w:bookmarkStart w:id="2" w:name="_Toc479757206"/>
      <w:bookmarkStart w:id="3" w:name="_Toc16938516"/>
      <w:bookmarkStart w:id="4" w:name="_Toc513029200"/>
      <w:bookmarkStart w:id="5" w:name="_Toc20823272"/>
      <w:r>
        <w:rPr>
          <w:rFonts w:ascii="黑体" w:hAnsi="宋体" w:eastAsia="黑体" w:cs="黑体"/>
          <w:b/>
          <w:color w:val="auto"/>
          <w:sz w:val="44"/>
          <w:szCs w:val="44"/>
          <w:highlight w:val="none"/>
        </w:rPr>
        <w:t>总  目  录</w:t>
      </w:r>
      <w:bookmarkEnd w:id="0"/>
      <w:bookmarkEnd w:id="1"/>
      <w:bookmarkEnd w:id="2"/>
      <w:bookmarkEnd w:id="3"/>
      <w:bookmarkEnd w:id="4"/>
      <w:bookmarkEnd w:id="5"/>
    </w:p>
    <w:p w14:paraId="745F7E2F">
      <w:pPr>
        <w:pStyle w:val="9"/>
        <w:spacing w:beforeAutospacing="0" w:afterAutospacing="0" w:line="480" w:lineRule="auto"/>
        <w:jc w:val="both"/>
        <w:rPr>
          <w:color w:val="auto"/>
          <w:highlight w:val="none"/>
        </w:rPr>
      </w:pPr>
      <w:r>
        <w:rPr>
          <w:color w:val="auto"/>
          <w:highlight w:val="none"/>
        </w:rPr>
        <w:t> </w:t>
      </w:r>
    </w:p>
    <w:p w14:paraId="0E78B3E8">
      <w:pPr>
        <w:pStyle w:val="9"/>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单一来源采购邀请…………………………</w:t>
      </w:r>
    </w:p>
    <w:p w14:paraId="479A953C">
      <w:pPr>
        <w:pStyle w:val="9"/>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供应商须知…………………………………  </w:t>
      </w:r>
    </w:p>
    <w:p w14:paraId="105C035B">
      <w:pPr>
        <w:pStyle w:val="9"/>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合同文本……………………………………</w:t>
      </w:r>
    </w:p>
    <w:p w14:paraId="34F96465">
      <w:pPr>
        <w:pStyle w:val="9"/>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5E8D4238">
      <w:pPr>
        <w:pStyle w:val="9"/>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响应文件格式………………………………</w:t>
      </w:r>
    </w:p>
    <w:p w14:paraId="6C323BC7">
      <w:pPr>
        <w:pStyle w:val="9"/>
        <w:spacing w:beforeAutospacing="0" w:afterAutospacing="0"/>
        <w:jc w:val="both"/>
        <w:rPr>
          <w:color w:val="auto"/>
          <w:highlight w:val="none"/>
        </w:rPr>
      </w:pPr>
      <w:r>
        <w:rPr>
          <w:color w:val="auto"/>
          <w:highlight w:val="none"/>
        </w:rPr>
        <w:t> </w:t>
      </w:r>
    </w:p>
    <w:p w14:paraId="5E2C2E89">
      <w:pPr>
        <w:pStyle w:val="9"/>
        <w:spacing w:beforeAutospacing="0" w:afterAutospacing="0"/>
        <w:jc w:val="both"/>
        <w:rPr>
          <w:color w:val="auto"/>
          <w:highlight w:val="none"/>
        </w:rPr>
      </w:pPr>
      <w:r>
        <w:rPr>
          <w:color w:val="auto"/>
          <w:highlight w:val="none"/>
        </w:rPr>
        <w:t> </w:t>
      </w:r>
    </w:p>
    <w:p w14:paraId="600237AD">
      <w:pPr>
        <w:pStyle w:val="9"/>
        <w:spacing w:beforeAutospacing="0" w:afterAutospacing="0"/>
        <w:jc w:val="both"/>
        <w:rPr>
          <w:color w:val="auto"/>
          <w:highlight w:val="none"/>
        </w:rPr>
      </w:pPr>
      <w:r>
        <w:rPr>
          <w:color w:val="auto"/>
          <w:highlight w:val="none"/>
        </w:rPr>
        <w:t> </w:t>
      </w:r>
    </w:p>
    <w:p w14:paraId="501ED5FE">
      <w:pPr>
        <w:pStyle w:val="9"/>
        <w:spacing w:beforeAutospacing="0" w:afterAutospacing="0"/>
        <w:jc w:val="both"/>
        <w:rPr>
          <w:color w:val="auto"/>
          <w:highlight w:val="none"/>
        </w:rPr>
      </w:pPr>
      <w:r>
        <w:rPr>
          <w:color w:val="auto"/>
          <w:highlight w:val="none"/>
        </w:rPr>
        <w:t> </w:t>
      </w:r>
    </w:p>
    <w:p w14:paraId="4A044B90">
      <w:pPr>
        <w:pStyle w:val="9"/>
        <w:spacing w:beforeAutospacing="0" w:afterAutospacing="0"/>
        <w:jc w:val="both"/>
        <w:rPr>
          <w:color w:val="auto"/>
          <w:highlight w:val="none"/>
        </w:rPr>
      </w:pPr>
      <w:r>
        <w:rPr>
          <w:color w:val="auto"/>
          <w:highlight w:val="none"/>
        </w:rPr>
        <w:t> </w:t>
      </w:r>
    </w:p>
    <w:p w14:paraId="21D3A86F">
      <w:pPr>
        <w:pStyle w:val="9"/>
        <w:spacing w:beforeAutospacing="0" w:afterAutospacing="0"/>
        <w:jc w:val="both"/>
        <w:rPr>
          <w:color w:val="auto"/>
          <w:highlight w:val="none"/>
        </w:rPr>
      </w:pPr>
      <w:r>
        <w:rPr>
          <w:color w:val="auto"/>
          <w:highlight w:val="none"/>
        </w:rPr>
        <w:t> </w:t>
      </w:r>
    </w:p>
    <w:p w14:paraId="4FF16AFD">
      <w:pPr>
        <w:pStyle w:val="9"/>
        <w:spacing w:beforeAutospacing="0" w:afterAutospacing="0"/>
        <w:jc w:val="both"/>
        <w:rPr>
          <w:color w:val="auto"/>
          <w:highlight w:val="none"/>
        </w:rPr>
      </w:pPr>
      <w:r>
        <w:rPr>
          <w:color w:val="auto"/>
          <w:highlight w:val="none"/>
        </w:rPr>
        <w:t> </w:t>
      </w:r>
    </w:p>
    <w:p w14:paraId="7BA23C61">
      <w:pPr>
        <w:pStyle w:val="9"/>
        <w:spacing w:beforeAutospacing="0" w:afterAutospacing="0"/>
        <w:jc w:val="both"/>
        <w:rPr>
          <w:color w:val="auto"/>
          <w:highlight w:val="none"/>
        </w:rPr>
      </w:pPr>
      <w:r>
        <w:rPr>
          <w:color w:val="auto"/>
          <w:highlight w:val="none"/>
        </w:rPr>
        <w:t> </w:t>
      </w:r>
    </w:p>
    <w:p w14:paraId="19F35897">
      <w:pPr>
        <w:pStyle w:val="9"/>
        <w:spacing w:beforeAutospacing="0" w:afterAutospacing="0"/>
        <w:jc w:val="both"/>
        <w:rPr>
          <w:color w:val="auto"/>
          <w:highlight w:val="none"/>
        </w:rPr>
      </w:pPr>
      <w:r>
        <w:rPr>
          <w:color w:val="auto"/>
          <w:highlight w:val="none"/>
        </w:rPr>
        <w:t> </w:t>
      </w:r>
    </w:p>
    <w:p w14:paraId="279A5C5E">
      <w:pPr>
        <w:pStyle w:val="9"/>
        <w:spacing w:beforeAutospacing="0" w:afterAutospacing="0"/>
        <w:jc w:val="both"/>
        <w:rPr>
          <w:color w:val="auto"/>
          <w:highlight w:val="none"/>
        </w:rPr>
      </w:pPr>
      <w:r>
        <w:rPr>
          <w:color w:val="auto"/>
          <w:highlight w:val="none"/>
        </w:rPr>
        <w:t> </w:t>
      </w:r>
    </w:p>
    <w:p w14:paraId="67D64EDF">
      <w:pPr>
        <w:pStyle w:val="9"/>
        <w:spacing w:beforeAutospacing="0" w:afterAutospacing="0"/>
        <w:jc w:val="both"/>
        <w:rPr>
          <w:color w:val="auto"/>
          <w:highlight w:val="none"/>
        </w:rPr>
      </w:pPr>
      <w:r>
        <w:rPr>
          <w:color w:val="auto"/>
          <w:highlight w:val="none"/>
        </w:rPr>
        <w:t> </w:t>
      </w:r>
    </w:p>
    <w:p w14:paraId="239CC137">
      <w:pPr>
        <w:pStyle w:val="9"/>
        <w:spacing w:beforeAutospacing="0" w:afterAutospacing="0"/>
        <w:jc w:val="both"/>
        <w:rPr>
          <w:color w:val="auto"/>
          <w:highlight w:val="none"/>
        </w:rPr>
      </w:pPr>
      <w:r>
        <w:rPr>
          <w:color w:val="auto"/>
          <w:highlight w:val="none"/>
        </w:rPr>
        <w:t> </w:t>
      </w:r>
    </w:p>
    <w:p w14:paraId="4FAD2CA7">
      <w:pPr>
        <w:pStyle w:val="9"/>
        <w:spacing w:beforeAutospacing="0" w:afterAutospacing="0"/>
        <w:jc w:val="both"/>
        <w:rPr>
          <w:color w:val="auto"/>
          <w:highlight w:val="none"/>
        </w:rPr>
      </w:pPr>
      <w:r>
        <w:rPr>
          <w:color w:val="auto"/>
          <w:highlight w:val="none"/>
        </w:rPr>
        <w:t> </w:t>
      </w:r>
    </w:p>
    <w:p w14:paraId="4196DC0F">
      <w:pPr>
        <w:pStyle w:val="9"/>
        <w:spacing w:beforeAutospacing="0" w:afterAutospacing="0"/>
        <w:jc w:val="both"/>
        <w:rPr>
          <w:color w:val="auto"/>
          <w:highlight w:val="none"/>
        </w:rPr>
      </w:pPr>
      <w:r>
        <w:rPr>
          <w:color w:val="auto"/>
          <w:highlight w:val="none"/>
        </w:rPr>
        <w:t> </w:t>
      </w:r>
    </w:p>
    <w:p w14:paraId="5384F9AC">
      <w:pPr>
        <w:pStyle w:val="9"/>
        <w:spacing w:beforeAutospacing="0" w:afterAutospacing="0"/>
        <w:jc w:val="both"/>
        <w:rPr>
          <w:color w:val="auto"/>
          <w:highlight w:val="none"/>
        </w:rPr>
      </w:pPr>
      <w:r>
        <w:rPr>
          <w:color w:val="auto"/>
          <w:highlight w:val="none"/>
        </w:rPr>
        <w:t> </w:t>
      </w:r>
    </w:p>
    <w:p w14:paraId="2F6B2D9A">
      <w:pPr>
        <w:pStyle w:val="9"/>
        <w:spacing w:beforeAutospacing="0" w:afterAutospacing="0"/>
        <w:jc w:val="both"/>
        <w:rPr>
          <w:color w:val="auto"/>
          <w:highlight w:val="none"/>
        </w:rPr>
      </w:pPr>
      <w:r>
        <w:rPr>
          <w:color w:val="auto"/>
          <w:highlight w:val="none"/>
        </w:rPr>
        <w:t> </w:t>
      </w:r>
    </w:p>
    <w:p w14:paraId="3DC138EC">
      <w:pPr>
        <w:pStyle w:val="9"/>
        <w:spacing w:beforeAutospacing="0" w:afterAutospacing="0"/>
        <w:jc w:val="both"/>
        <w:rPr>
          <w:color w:val="auto"/>
          <w:highlight w:val="none"/>
        </w:rPr>
      </w:pPr>
      <w:r>
        <w:rPr>
          <w:color w:val="auto"/>
          <w:highlight w:val="none"/>
        </w:rPr>
        <w:t> </w:t>
      </w:r>
    </w:p>
    <w:p w14:paraId="38B1969E">
      <w:pPr>
        <w:pStyle w:val="9"/>
        <w:spacing w:beforeAutospacing="0" w:afterAutospacing="0"/>
        <w:jc w:val="both"/>
        <w:rPr>
          <w:color w:val="auto"/>
          <w:highlight w:val="none"/>
        </w:rPr>
      </w:pPr>
      <w:r>
        <w:rPr>
          <w:color w:val="auto"/>
          <w:highlight w:val="none"/>
        </w:rPr>
        <w:t> </w:t>
      </w:r>
    </w:p>
    <w:p w14:paraId="0FEBFFEC">
      <w:pPr>
        <w:pStyle w:val="9"/>
        <w:spacing w:beforeAutospacing="0" w:afterAutospacing="0"/>
        <w:jc w:val="both"/>
        <w:rPr>
          <w:color w:val="auto"/>
          <w:highlight w:val="none"/>
        </w:rPr>
      </w:pPr>
      <w:r>
        <w:rPr>
          <w:color w:val="auto"/>
          <w:highlight w:val="none"/>
        </w:rPr>
        <w:t> </w:t>
      </w:r>
    </w:p>
    <w:p w14:paraId="6BC5B003">
      <w:pPr>
        <w:pStyle w:val="9"/>
        <w:spacing w:beforeAutospacing="0" w:afterAutospacing="0"/>
        <w:jc w:val="both"/>
        <w:rPr>
          <w:color w:val="auto"/>
          <w:highlight w:val="none"/>
        </w:rPr>
      </w:pPr>
      <w:r>
        <w:rPr>
          <w:color w:val="auto"/>
          <w:highlight w:val="none"/>
        </w:rPr>
        <w:t> </w:t>
      </w:r>
    </w:p>
    <w:p w14:paraId="19FE5489">
      <w:pPr>
        <w:pStyle w:val="9"/>
        <w:spacing w:beforeAutospacing="0" w:afterAutospacing="0"/>
        <w:jc w:val="both"/>
        <w:rPr>
          <w:color w:val="auto"/>
          <w:highlight w:val="none"/>
        </w:rPr>
      </w:pPr>
      <w:r>
        <w:rPr>
          <w:color w:val="auto"/>
          <w:highlight w:val="none"/>
        </w:rPr>
        <w:t> </w:t>
      </w:r>
    </w:p>
    <w:p w14:paraId="4CFDBF8B">
      <w:pPr>
        <w:pStyle w:val="9"/>
        <w:spacing w:beforeAutospacing="0" w:afterAutospacing="0"/>
        <w:jc w:val="both"/>
        <w:rPr>
          <w:color w:val="auto"/>
          <w:highlight w:val="none"/>
        </w:rPr>
      </w:pPr>
      <w:r>
        <w:rPr>
          <w:color w:val="auto"/>
          <w:highlight w:val="none"/>
        </w:rPr>
        <w:t> </w:t>
      </w:r>
    </w:p>
    <w:p w14:paraId="3DAA250B">
      <w:pPr>
        <w:pStyle w:val="9"/>
        <w:spacing w:beforeAutospacing="0" w:afterAutospacing="0"/>
        <w:jc w:val="both"/>
        <w:rPr>
          <w:color w:val="auto"/>
          <w:highlight w:val="none"/>
        </w:rPr>
      </w:pPr>
      <w:r>
        <w:rPr>
          <w:color w:val="auto"/>
          <w:highlight w:val="none"/>
        </w:rPr>
        <w:t> </w:t>
      </w:r>
    </w:p>
    <w:p w14:paraId="435BDFE7">
      <w:pPr>
        <w:pStyle w:val="9"/>
        <w:spacing w:beforeAutospacing="0" w:afterAutospacing="0"/>
        <w:jc w:val="both"/>
        <w:rPr>
          <w:color w:val="auto"/>
          <w:highlight w:val="none"/>
        </w:rPr>
      </w:pPr>
      <w:r>
        <w:rPr>
          <w:color w:val="auto"/>
          <w:highlight w:val="none"/>
        </w:rPr>
        <w:t> </w:t>
      </w:r>
    </w:p>
    <w:p w14:paraId="36A970A4">
      <w:pPr>
        <w:pStyle w:val="9"/>
        <w:spacing w:beforeAutospacing="0" w:afterAutospacing="0"/>
        <w:jc w:val="both"/>
        <w:rPr>
          <w:color w:val="auto"/>
          <w:highlight w:val="none"/>
        </w:rPr>
      </w:pPr>
      <w:r>
        <w:rPr>
          <w:color w:val="auto"/>
          <w:highlight w:val="none"/>
        </w:rPr>
        <w:t> </w:t>
      </w:r>
    </w:p>
    <w:p w14:paraId="1D53279C">
      <w:pPr>
        <w:pStyle w:val="9"/>
        <w:spacing w:beforeAutospacing="0" w:afterAutospacing="0"/>
        <w:jc w:val="both"/>
        <w:rPr>
          <w:color w:val="auto"/>
          <w:highlight w:val="none"/>
        </w:rPr>
      </w:pPr>
      <w:r>
        <w:rPr>
          <w:color w:val="auto"/>
          <w:highlight w:val="none"/>
        </w:rPr>
        <w:t> </w:t>
      </w:r>
    </w:p>
    <w:p w14:paraId="1A2351F5">
      <w:pPr>
        <w:pStyle w:val="9"/>
        <w:spacing w:beforeAutospacing="0" w:afterAutospacing="0"/>
        <w:jc w:val="both"/>
        <w:rPr>
          <w:color w:val="auto"/>
          <w:highlight w:val="none"/>
        </w:rPr>
      </w:pPr>
      <w:r>
        <w:rPr>
          <w:color w:val="auto"/>
          <w:highlight w:val="none"/>
        </w:rPr>
        <w:t> </w:t>
      </w:r>
    </w:p>
    <w:p w14:paraId="580BE604">
      <w:pPr>
        <w:pStyle w:val="9"/>
        <w:spacing w:beforeAutospacing="0" w:afterAutospacing="0"/>
        <w:jc w:val="both"/>
        <w:rPr>
          <w:color w:val="auto"/>
          <w:highlight w:val="none"/>
        </w:rPr>
      </w:pPr>
      <w:r>
        <w:rPr>
          <w:color w:val="auto"/>
          <w:highlight w:val="none"/>
        </w:rPr>
        <w:t> </w:t>
      </w:r>
    </w:p>
    <w:p w14:paraId="5B840244">
      <w:pPr>
        <w:pStyle w:val="9"/>
        <w:spacing w:beforeAutospacing="0" w:afterAutospacing="0"/>
        <w:jc w:val="both"/>
        <w:rPr>
          <w:color w:val="auto"/>
          <w:highlight w:val="none"/>
        </w:rPr>
      </w:pPr>
      <w:r>
        <w:rPr>
          <w:color w:val="auto"/>
          <w:highlight w:val="none"/>
        </w:rPr>
        <w:t> </w:t>
      </w:r>
    </w:p>
    <w:p w14:paraId="7257CA3C">
      <w:pPr>
        <w:pStyle w:val="9"/>
        <w:keepNext/>
        <w:spacing w:beforeAutospacing="0" w:afterAutospacing="0"/>
        <w:jc w:val="center"/>
        <w:rPr>
          <w:color w:val="auto"/>
          <w:highlight w:val="none"/>
        </w:rPr>
      </w:pPr>
      <w:r>
        <w:rPr>
          <w:color w:val="auto"/>
          <w:highlight w:val="none"/>
        </w:rPr>
        <w:t> </w:t>
      </w:r>
    </w:p>
    <w:p w14:paraId="2CF65057">
      <w:pPr>
        <w:pStyle w:val="9"/>
        <w:keepNext/>
        <w:spacing w:beforeAutospacing="0" w:afterAutospacing="0"/>
        <w:jc w:val="center"/>
        <w:rPr>
          <w:color w:val="auto"/>
          <w:highlight w:val="none"/>
        </w:rPr>
      </w:pPr>
      <w:r>
        <w:rPr>
          <w:rFonts w:hint="eastAsia" w:ascii="黑体" w:hAnsi="宋体" w:eastAsia="黑体" w:cs="黑体"/>
          <w:color w:val="auto"/>
          <w:sz w:val="44"/>
          <w:szCs w:val="44"/>
          <w:highlight w:val="none"/>
        </w:rPr>
        <w:t>第一章  单一来源采购邀请</w:t>
      </w:r>
    </w:p>
    <w:p w14:paraId="0074ECDB">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受东台市医疗保险基金管理中心的委托，东台市汇盛工程咨询有限公司就2026年-2027年东台市城乡居民医保参保人群长期护理保险服务机构采购项目(JSZC-320981-DTHS-D2026-0001)进行单一来源采购，欢迎符合相关条件的合格供应商参加采购活动。</w:t>
      </w:r>
    </w:p>
    <w:p w14:paraId="20AF3978">
      <w:pPr>
        <w:pStyle w:val="9"/>
        <w:keepNext/>
        <w:keepLines/>
        <w:spacing w:before="145" w:beforeAutospacing="0" w:after="145" w:afterAutospacing="0" w:line="360" w:lineRule="auto"/>
        <w:ind w:firstLine="498"/>
        <w:jc w:val="both"/>
        <w:rPr>
          <w:rFonts w:hint="eastAsia" w:ascii="宋体" w:hAnsi="宋体" w:eastAsia="宋体" w:cs="宋体"/>
          <w:color w:val="auto"/>
          <w:highlight w:val="none"/>
        </w:rPr>
      </w:pPr>
      <w:bookmarkStart w:id="6" w:name="_Toc35393621"/>
      <w:bookmarkStart w:id="7" w:name="_Hlk24379207"/>
      <w:bookmarkStart w:id="8" w:name="_Toc38985263"/>
      <w:bookmarkStart w:id="9" w:name="_Toc28359079"/>
      <w:bookmarkStart w:id="10" w:name="_Toc35393790"/>
      <w:bookmarkStart w:id="11" w:name="_Toc28359002"/>
      <w:r>
        <w:rPr>
          <w:rFonts w:hint="eastAsia" w:ascii="宋体" w:hAnsi="宋体" w:eastAsia="宋体" w:cs="宋体"/>
          <w:b/>
          <w:color w:val="auto"/>
          <w:highlight w:val="none"/>
        </w:rPr>
        <w:t>一、项目基本情况</w:t>
      </w:r>
      <w:bookmarkEnd w:id="6"/>
      <w:bookmarkEnd w:id="7"/>
      <w:bookmarkEnd w:id="8"/>
      <w:bookmarkEnd w:id="9"/>
      <w:bookmarkEnd w:id="10"/>
      <w:bookmarkEnd w:id="11"/>
    </w:p>
    <w:p w14:paraId="7D3C7500">
      <w:pPr>
        <w:pStyle w:val="9"/>
        <w:spacing w:beforeAutospacing="0" w:afterAutospacing="0"/>
        <w:ind w:firstLine="480"/>
        <w:jc w:val="both"/>
        <w:rPr>
          <w:rFonts w:hint="eastAsia" w:ascii="宋体" w:hAnsi="宋体" w:eastAsia="宋体" w:cs="宋体"/>
          <w:color w:val="auto"/>
          <w:highlight w:val="none"/>
        </w:rPr>
      </w:pPr>
      <w:bookmarkStart w:id="12" w:name="_Toc28359080"/>
      <w:bookmarkStart w:id="13" w:name="_Toc28359003"/>
      <w:bookmarkStart w:id="14" w:name="_Toc35393791"/>
      <w:bookmarkStart w:id="15" w:name="_Toc38985264"/>
      <w:bookmarkStart w:id="16" w:name="_Toc35393622"/>
      <w:r>
        <w:rPr>
          <w:rFonts w:hint="eastAsia" w:ascii="宋体" w:hAnsi="宋体" w:eastAsia="宋体" w:cs="宋体"/>
          <w:color w:val="auto"/>
          <w:highlight w:val="none"/>
        </w:rPr>
        <w:t>1.项目编号：JSZC-320981-DTHS-D2026-0001</w:t>
      </w:r>
    </w:p>
    <w:p w14:paraId="1361867D">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2.项目名称：2026年-2027年东台市城乡居民医保参保人群长期护理保险服务机构采购项目</w:t>
      </w:r>
    </w:p>
    <w:p w14:paraId="1F71207C">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3.采购方式：单一来源采购</w:t>
      </w:r>
    </w:p>
    <w:p w14:paraId="51F7FBEE">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4.预算金额：380万元。</w:t>
      </w:r>
    </w:p>
    <w:p w14:paraId="0C224664">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5.拟采用</w:t>
      </w:r>
      <w:r>
        <w:rPr>
          <w:rFonts w:hint="eastAsia" w:ascii="宋体" w:hAnsi="宋体" w:eastAsia="宋体" w:cs="宋体"/>
          <w:color w:val="auto"/>
          <w:highlight w:val="none"/>
        </w:rPr>
        <w:t>单一来源采购</w:t>
      </w:r>
      <w:r>
        <w:rPr>
          <w:rFonts w:hint="eastAsia" w:ascii="宋体" w:hAnsi="宋体" w:eastAsia="宋体" w:cs="宋体"/>
          <w:color w:val="auto"/>
          <w:highlight w:val="none"/>
          <w:lang w:val="en-US" w:eastAsia="zh-CN"/>
        </w:rPr>
        <w:t>的理由：</w:t>
      </w:r>
    </w:p>
    <w:p w14:paraId="52560963">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5.1、盐城市医疗保险基金管理中心于2024年11月经发布2025—2027年度盐城市长期护理保险服务机构采购项目，其中分包2：盐都区、盐南高新区、东台市、建湖县，并于2024年11月28日9时30分进行开标评标，分包2中标单位为：由紫金财产保险股份有限公司盐城中心支公司（主承办，80%）、中国平安财产保险股份有限公司盐城中心支公司（15%）及大家财产保险有限责任公司盐城中心支公司（5%）。项目服务合同期限3年，从2025年1月1日至2027年12月31日止。</w:t>
      </w:r>
    </w:p>
    <w:p w14:paraId="73C1E7C1">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5.2、中标优惠率：</w:t>
      </w:r>
    </w:p>
    <w:p w14:paraId="3847FE13">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主承保供应商：紫金财产保险股份有限公司盐城中心支公司（主承办，80%）中标优惠率为0%，</w:t>
      </w:r>
    </w:p>
    <w:p w14:paraId="74CDEF93">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第一共保人供应商：中国平安财产保险股份有限公司盐城中心支公司（15%）中标优惠率为9%，</w:t>
      </w:r>
    </w:p>
    <w:p w14:paraId="49436729">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第二共保人供应商：大家财产保险有限责任公司盐城中心支公司（5%）中标优惠率为15%。</w:t>
      </w:r>
    </w:p>
    <w:p w14:paraId="0AA11AD0">
      <w:pPr>
        <w:pStyle w:val="9"/>
        <w:spacing w:beforeAutospacing="0" w:afterAutospacing="0"/>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三家供应商加权平均优惠率：2.1%，其计算过程为：1-[1*80%*100%+1*15%*(1-9%)+1*5%*(1-15%)]/1=2.1%</w:t>
      </w:r>
    </w:p>
    <w:p w14:paraId="32023438">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5.3、自2025年开始，东台市职工医保参保对象实施长期护理保险，由以上中标单位承办。按照我市“医共体+护理型养老”改革要求，长护险向居民覆盖，2026年7月1日起享受待遇。</w:t>
      </w:r>
    </w:p>
    <w:p w14:paraId="687F63DD">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5.4采购人于2026年4月23日抽取江苏政府采购网库内专家进行本项目拟采用单一来源采购进行专家论证，专家论证结果拟同意采用单一来源方式进行采购，并于2026年4月24日在江苏政府采购网发布单一来源采购公示，在公示期限（2026年4月24日至2026年5月6日）内采购人未收到质疑。</w:t>
      </w:r>
    </w:p>
    <w:p w14:paraId="6A0E5AF4">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5.5采购人于2026年4月24日在江苏政府采购网进行本项目政府采购意向公告，截止2026年5月25日已满足采购意向公告时限。</w:t>
      </w:r>
    </w:p>
    <w:p w14:paraId="6C15DEE3">
      <w:pPr>
        <w:pStyle w:val="9"/>
        <w:spacing w:beforeAutospacing="0" w:afterAutospacing="0"/>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单一来源采购邀请对象：主承保供应商紫金财产保险股份有限公司盐城中心支公司（主承办，80%），第一共保人供应商中国平安财产保险股份有限公司盐城中心支公司（15%），第二共保人供应商大家财产保险有限责任公司盐城中心支公司（5%）。因“苏采云”系统功能受限，只能向一家单位发出单一来源采购邀请，故本次采购只向主承保供应商发出单一来源采购邀请，</w:t>
      </w:r>
      <w:r>
        <w:rPr>
          <w:rFonts w:hint="eastAsia" w:ascii="宋体" w:hAnsi="宋体" w:eastAsia="宋体" w:cs="宋体"/>
          <w:b/>
          <w:bCs/>
          <w:color w:val="auto"/>
          <w:highlight w:val="none"/>
          <w:lang w:val="en-US" w:eastAsia="zh-CN"/>
        </w:rPr>
        <w:t>共保人的投标文件打印盖章后彩色扫描成PDF形式上传主承保人投标文件中。</w:t>
      </w:r>
    </w:p>
    <w:p w14:paraId="3188ACDB">
      <w:pPr>
        <w:pStyle w:val="9"/>
        <w:spacing w:beforeAutospacing="0" w:afterAutospacing="0"/>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7.最高限价：本项目采用优惠率报价，投标人所报优惠率低于本章第5.2款三家供应商加权平均优惠率(2.1%)，或总服务费高于预算金额380万元的作为无效投标处理。</w:t>
      </w:r>
    </w:p>
    <w:p w14:paraId="635C2DC4">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.采购需求：本项目预算金额为筹资总额的4.5%（该预算金额为长期护理保险的承办服务费，2026年7月1日至2026年12月31日为第一期97万元，2027年1月1日至2027年12月31日为第二期283万元）</w:t>
      </w:r>
    </w:p>
    <w:p w14:paraId="62549ABB">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东台市城乡居民医保参保人群长期护理保险（以下简称“长护险”），是为长期失能人员基本生活照料和与基本生活密切相关的医疗护理提供保障的制度。通过实施长护险制度，建立健全多层次医疗保障体系，积极应对人口老龄化，促进“医养融合”新型养老服务体系发展，解决失能人员的护理和日常照料难题，减轻因年老、疾病、伤残等导致失能人员家庭照护的事务性及经济负担，提高参保人员的生活质量和人文关怀水平，共享东台经济社会发展成果。</w:t>
      </w:r>
    </w:p>
    <w:p w14:paraId="62C0F2AA">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长护险筹资标准：基金由个人缴费、财政补助、医保统筹基金划拨三部分组成，其中个人缴费标准为每人每年30元、财政补助标准为每人每年40元，医保统筹基金划拨标准为每人每年30元。1至6级残疾军人、建国前老工人、学生及其他未成年人个人缴费部分暂免征缴。借鉴盐城市区经验，初始半年不收取个人缴费部分，按照半年人均35元计算。企业、单位、慈善机构等社会团体和个人给予支持或捐助，纳入长护险基金管理。今后，可根据经济社会发展水平和医疗保障实际需要，由市医疗保障局会同市财政局适时调整筹资标准。如国家、省、市调整参保筹资政策，按新政策执行。（详细内容见本单一来源文件第四章）</w:t>
      </w:r>
    </w:p>
    <w:p w14:paraId="1F2A51D4">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合同履行期限：本项目服务期限1.5年，自2026年7月1日起至2027年12月31日止，分为两个独立且连续的保险周期（2026年7月1日至2026年12月31日为第一期，2027年1月1日至2027年12月31日为第二期）。合同一期一签，每期通过考核后，可续签下一期合同。</w:t>
      </w:r>
    </w:p>
    <w:p w14:paraId="35920556">
      <w:pPr>
        <w:pStyle w:val="9"/>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.本项目不接受联合体参与单一来源采购活动</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接受共保体参与投标</w:t>
      </w:r>
      <w:r>
        <w:rPr>
          <w:rFonts w:hint="eastAsia" w:ascii="宋体" w:hAnsi="宋体" w:eastAsia="宋体" w:cs="宋体"/>
          <w:color w:val="auto"/>
          <w:highlight w:val="none"/>
        </w:rPr>
        <w:t>。</w:t>
      </w:r>
    </w:p>
    <w:p w14:paraId="3DE38D7B">
      <w:pPr>
        <w:pStyle w:val="9"/>
        <w:keepNext/>
        <w:keepLines/>
        <w:spacing w:before="145" w:beforeAutospacing="0" w:after="145" w:afterAutospacing="0" w:line="360" w:lineRule="auto"/>
        <w:ind w:firstLine="498"/>
        <w:jc w:val="both"/>
        <w:rPr>
          <w:rFonts w:hint="eastAsia" w:ascii="宋体" w:hAnsi="宋体" w:eastAsia="宋体" w:cs="宋体"/>
          <w:color w:val="auto"/>
          <w:highlight w:val="none"/>
        </w:rPr>
      </w:pPr>
      <w:r>
        <w:rPr>
          <w:rFonts w:hint="eastAsia" w:ascii="宋体" w:hAnsi="宋体" w:eastAsia="宋体" w:cs="宋体"/>
          <w:b/>
          <w:color w:val="auto"/>
          <w:highlight w:val="none"/>
        </w:rPr>
        <w:t>二、</w:t>
      </w:r>
      <w:bookmarkEnd w:id="12"/>
      <w:bookmarkEnd w:id="13"/>
      <w:bookmarkEnd w:id="14"/>
      <w:bookmarkEnd w:id="15"/>
      <w:bookmarkEnd w:id="16"/>
      <w:r>
        <w:rPr>
          <w:rFonts w:hint="eastAsia" w:ascii="宋体" w:hAnsi="宋体" w:eastAsia="宋体" w:cs="宋体"/>
          <w:b/>
          <w:color w:val="auto"/>
          <w:highlight w:val="none"/>
        </w:rPr>
        <w:t>合格单一来源供应商资格要求</w:t>
      </w:r>
    </w:p>
    <w:p w14:paraId="5DB78E55">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65DC4D3C">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法人或者其他组织的营业执照等证明文件，自然人的身份证明；</w:t>
      </w:r>
    </w:p>
    <w:p w14:paraId="4F8BE863">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1.2上一年度的财务状况报告（成立不满一年无需提供）；</w:t>
      </w:r>
    </w:p>
    <w:p w14:paraId="455F05E4">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6971D331">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EBFF70F">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3575E8BF">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076EA941">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B5FC921">
      <w:pPr>
        <w:pStyle w:val="9"/>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1.8单位负责人为同一人或者存在直接控股、管理关系的不同供应商，不得参加同一合同项下的政府采购活动</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格式自拟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64B3B866">
      <w:pPr>
        <w:pStyle w:val="9"/>
        <w:numPr>
          <w:ilvl w:val="0"/>
          <w:numId w:val="1"/>
        </w:numPr>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落实政府采购政策需满足的资格要求：本项目现对小型和微型企业报价给予20%的扣除，用扣除后的价格参与评审。</w:t>
      </w:r>
    </w:p>
    <w:p w14:paraId="5DB610D9">
      <w:pPr>
        <w:pStyle w:val="9"/>
        <w:numPr>
          <w:ilvl w:val="0"/>
          <w:numId w:val="1"/>
        </w:numPr>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本项目的特定资格要求：</w:t>
      </w:r>
    </w:p>
    <w:p w14:paraId="2CB12EF9">
      <w:pPr>
        <w:pStyle w:val="9"/>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3.1投标人为保险监督管理机构批准设立的保险公司，且具备健康保险资质（提供《保险许可证》复印件或扫描件)。</w:t>
      </w:r>
    </w:p>
    <w:p w14:paraId="2463CDA4">
      <w:pPr>
        <w:pStyle w:val="9"/>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3.2本项目接受总公司、地市级及以上的分公司（支公司）投标，若为分公司（支公司）进行投标的，须提供总公司的授权书。</w:t>
      </w:r>
    </w:p>
    <w:p w14:paraId="23D4D57C">
      <w:pPr>
        <w:pStyle w:val="9"/>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3.3投标人书面承诺在2026年7月1日至2027年12月31日均符合国家金融监督管理局规定的相应条件。</w:t>
      </w:r>
    </w:p>
    <w:p w14:paraId="370EC5C5">
      <w:pPr>
        <w:pStyle w:val="9"/>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3.4同一保险集团公司的不同分（子）公司，不得同时参加本项目投标</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格式自拟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4CC5FA98">
      <w:pPr>
        <w:pStyle w:val="9"/>
        <w:keepNext/>
        <w:keepLines/>
        <w:spacing w:before="145" w:beforeAutospacing="0" w:after="145" w:afterAutospacing="0" w:line="360" w:lineRule="auto"/>
        <w:ind w:firstLine="498"/>
        <w:jc w:val="both"/>
        <w:rPr>
          <w:rFonts w:hint="eastAsia" w:ascii="宋体" w:hAnsi="宋体" w:eastAsia="宋体" w:cs="宋体"/>
          <w:color w:val="auto"/>
          <w:highlight w:val="none"/>
        </w:rPr>
      </w:pPr>
      <w:r>
        <w:rPr>
          <w:rFonts w:hint="eastAsia" w:ascii="宋体" w:hAnsi="宋体" w:eastAsia="宋体" w:cs="宋体"/>
          <w:b/>
          <w:color w:val="auto"/>
          <w:highlight w:val="none"/>
        </w:rPr>
        <w:t>三、获取单一来源文件</w:t>
      </w:r>
    </w:p>
    <w:p w14:paraId="622B85DD">
      <w:pPr>
        <w:pStyle w:val="9"/>
        <w:widowControl/>
        <w:shd w:val="clear" w:color="auto" w:fill="FFFFFF"/>
        <w:spacing w:beforeAutospacing="0" w:afterAutospacing="0" w:line="23" w:lineRule="atLeast"/>
        <w:ind w:firstLine="540"/>
        <w:jc w:val="both"/>
        <w:rPr>
          <w:rFonts w:hint="eastAsia" w:ascii="宋体" w:hAnsi="宋体" w:eastAsia="宋体" w:cs="宋体"/>
          <w:color w:val="auto"/>
          <w:highlight w:val="none"/>
        </w:rPr>
      </w:pPr>
      <w:r>
        <w:rPr>
          <w:rFonts w:hint="eastAsia" w:ascii="宋体" w:hAnsi="宋体" w:eastAsia="宋体" w:cs="宋体"/>
          <w:color w:val="auto"/>
          <w:highlight w:val="none"/>
        </w:rPr>
        <w:t>1.时间：自采购文件在苏采云系统发布之日起至投标截止时间前。</w:t>
      </w:r>
    </w:p>
    <w:p w14:paraId="3ABB57A9">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2.地点：“苏采云”系统内免费下载（投标人必须在苏采云系统中获取采购文件，方能参与政府采购项目）；</w:t>
      </w:r>
    </w:p>
    <w:p w14:paraId="401EC935">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3.方式：本项目采用网上注册登记方式。 </w:t>
      </w:r>
    </w:p>
    <w:p w14:paraId="7819D5C9">
      <w:pPr>
        <w:widowControl/>
        <w:spacing w:line="5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4.售价：0元</w:t>
      </w:r>
    </w:p>
    <w:p w14:paraId="122B7091">
      <w:pPr>
        <w:pStyle w:val="9"/>
        <w:keepNext/>
        <w:keepLines/>
        <w:spacing w:before="145" w:beforeAutospacing="0" w:after="145" w:afterAutospacing="0" w:line="360" w:lineRule="auto"/>
        <w:ind w:firstLine="498"/>
        <w:jc w:val="both"/>
        <w:rPr>
          <w:rFonts w:hint="eastAsia" w:ascii="宋体" w:hAnsi="宋体" w:eastAsia="宋体" w:cs="宋体"/>
          <w:color w:val="auto"/>
          <w:highlight w:val="none"/>
        </w:rPr>
      </w:pPr>
      <w:bookmarkStart w:id="17" w:name="_Toc38985266"/>
      <w:bookmarkStart w:id="18" w:name="_Toc35393624"/>
      <w:bookmarkStart w:id="19" w:name="_Toc35393793"/>
      <w:bookmarkStart w:id="20" w:name="_Toc28359082"/>
      <w:bookmarkStart w:id="21" w:name="_Toc28359005"/>
      <w:r>
        <w:rPr>
          <w:rFonts w:hint="eastAsia" w:ascii="宋体" w:hAnsi="宋体" w:eastAsia="宋体" w:cs="宋体"/>
          <w:b/>
          <w:color w:val="auto"/>
          <w:highlight w:val="none"/>
        </w:rPr>
        <w:t>三、提交</w:t>
      </w:r>
      <w:bookmarkEnd w:id="17"/>
      <w:bookmarkEnd w:id="18"/>
      <w:r>
        <w:rPr>
          <w:rFonts w:hint="eastAsia" w:ascii="宋体" w:hAnsi="宋体" w:eastAsia="宋体" w:cs="宋体"/>
          <w:b/>
          <w:color w:val="auto"/>
          <w:highlight w:val="none"/>
        </w:rPr>
        <w:t>响应文件截止时间</w:t>
      </w:r>
      <w:bookmarkEnd w:id="19"/>
      <w:bookmarkEnd w:id="20"/>
      <w:bookmarkEnd w:id="21"/>
    </w:p>
    <w:p w14:paraId="278A178F">
      <w:pPr>
        <w:pStyle w:val="9"/>
        <w:spacing w:beforeAutospacing="0" w:afterAutospacing="0"/>
        <w:ind w:firstLine="480"/>
        <w:jc w:val="both"/>
        <w:rPr>
          <w:rFonts w:hint="eastAsia" w:ascii="宋体" w:hAnsi="宋体" w:eastAsia="宋体" w:cs="宋体"/>
          <w:color w:val="auto"/>
          <w:highlight w:val="none"/>
        </w:rPr>
      </w:pPr>
      <w:bookmarkStart w:id="22" w:name="_Toc38985269"/>
      <w:bookmarkStart w:id="23" w:name="_Toc35393796"/>
      <w:bookmarkStart w:id="24" w:name="_Toc35393627"/>
      <w:bookmarkStart w:id="25" w:name="_Toc28359008"/>
      <w:bookmarkStart w:id="26" w:name="_Toc28359085"/>
      <w:r>
        <w:rPr>
          <w:rFonts w:hint="eastAsia" w:ascii="宋体" w:hAnsi="宋体" w:eastAsia="宋体" w:cs="宋体"/>
          <w:color w:val="auto"/>
          <w:highlight w:val="none"/>
        </w:rPr>
        <w:t>1.截止时间：</w:t>
      </w:r>
      <w:r>
        <w:rPr>
          <w:rFonts w:hint="eastAsia" w:ascii="宋体" w:hAnsi="宋体" w:eastAsia="宋体" w:cs="宋体"/>
          <w:color w:val="auto"/>
          <w:highlight w:val="none"/>
          <w:u w:val="single"/>
        </w:rPr>
        <w:t>2026年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16</w:t>
      </w:r>
      <w:r>
        <w:rPr>
          <w:rFonts w:hint="eastAsia" w:ascii="宋体" w:hAnsi="宋体" w:eastAsia="宋体" w:cs="宋体"/>
          <w:color w:val="auto"/>
          <w:highlight w:val="none"/>
          <w:u w:val="single"/>
        </w:rPr>
        <w:t>日</w:t>
      </w:r>
      <w:r>
        <w:rPr>
          <w:rFonts w:hint="eastAsia" w:ascii="宋体" w:hAnsi="宋体" w:eastAsia="宋体" w:cs="宋体"/>
          <w:color w:val="auto"/>
          <w:highlight w:val="none"/>
          <w:u w:val="single"/>
          <w:lang w:val="en-US" w:eastAsia="zh-CN"/>
        </w:rPr>
        <w:t>14</w:t>
      </w:r>
      <w:r>
        <w:rPr>
          <w:rFonts w:hint="eastAsia"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w:t>
      </w:r>
      <w:bookmarkStart w:id="188" w:name="_GoBack"/>
      <w:bookmarkEnd w:id="188"/>
      <w:r>
        <w:rPr>
          <w:rFonts w:hint="eastAsia" w:ascii="宋体" w:hAnsi="宋体" w:eastAsia="宋体" w:cs="宋体"/>
          <w:color w:val="auto"/>
          <w:highlight w:val="none"/>
          <w:u w:val="single"/>
          <w:lang w:val="en-US" w:eastAsia="zh-CN"/>
        </w:rPr>
        <w:t>0</w:t>
      </w:r>
      <w:r>
        <w:rPr>
          <w:rFonts w:hint="eastAsia" w:ascii="宋体" w:hAnsi="宋体" w:eastAsia="宋体" w:cs="宋体"/>
          <w:color w:val="auto"/>
          <w:highlight w:val="none"/>
          <w:u w:val="single"/>
        </w:rPr>
        <w:t>分</w:t>
      </w:r>
      <w:r>
        <w:rPr>
          <w:rFonts w:hint="eastAsia" w:ascii="宋体" w:hAnsi="宋体" w:eastAsia="宋体" w:cs="宋体"/>
          <w:color w:val="auto"/>
          <w:highlight w:val="none"/>
        </w:rPr>
        <w:t>（北京时间）。</w:t>
      </w:r>
    </w:p>
    <w:p w14:paraId="77B69B38">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2.地点：“苏采云”政府采购交易系统网上开标大厅。</w:t>
      </w:r>
    </w:p>
    <w:p w14:paraId="336D9E1E">
      <w:pPr>
        <w:pStyle w:val="9"/>
        <w:keepNext/>
        <w:keepLines/>
        <w:spacing w:before="145" w:beforeAutospacing="0" w:after="145" w:afterAutospacing="0" w:line="360" w:lineRule="auto"/>
        <w:ind w:firstLine="498"/>
        <w:jc w:val="both"/>
        <w:rPr>
          <w:rFonts w:hint="eastAsia" w:ascii="宋体" w:hAnsi="宋体" w:eastAsia="宋体" w:cs="宋体"/>
          <w:b/>
          <w:color w:val="auto"/>
          <w:highlight w:val="none"/>
        </w:rPr>
      </w:pPr>
      <w:r>
        <w:rPr>
          <w:rFonts w:hint="eastAsia" w:ascii="宋体" w:hAnsi="宋体" w:eastAsia="宋体" w:cs="宋体"/>
          <w:b/>
          <w:color w:val="auto"/>
          <w:highlight w:val="none"/>
        </w:rPr>
        <w:t>四、其他</w:t>
      </w:r>
    </w:p>
    <w:bookmarkEnd w:id="22"/>
    <w:bookmarkEnd w:id="23"/>
    <w:bookmarkEnd w:id="24"/>
    <w:bookmarkEnd w:id="25"/>
    <w:bookmarkEnd w:id="26"/>
    <w:p w14:paraId="0F57B899">
      <w:pPr>
        <w:pStyle w:val="9"/>
        <w:widowControl/>
        <w:shd w:val="clear" w:color="auto" w:fill="FFFFFF"/>
        <w:spacing w:beforeAutospacing="0" w:afterAutospacing="0"/>
        <w:ind w:firstLine="560"/>
        <w:jc w:val="both"/>
        <w:rPr>
          <w:rFonts w:hint="eastAsia" w:ascii="宋体" w:hAnsi="宋体" w:eastAsia="宋体" w:cs="宋体"/>
          <w:color w:val="auto"/>
          <w:highlight w:val="none"/>
        </w:rPr>
      </w:pPr>
      <w:bookmarkStart w:id="27" w:name="_Toc28359086"/>
      <w:r>
        <w:rPr>
          <w:rFonts w:hint="eastAsia" w:ascii="宋体" w:hAnsi="宋体" w:eastAsia="宋体" w:cs="宋体"/>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35174F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下载地址：在盐城市政府采购网点击【办事指南】-【供应商参与政府采购活动相关资料】。</w:t>
      </w:r>
    </w:p>
    <w:p w14:paraId="56FFED3C">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2.潜在供应商访问电子招标响应交易平台的网络地址和方法： </w:t>
      </w:r>
    </w:p>
    <w:p w14:paraId="333CECAA">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35015BE">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2.2 潜在投标人访问“苏采云”系统方法：江苏省政府采购网首页-“苏采云”链接。 </w:t>
      </w:r>
    </w:p>
    <w:p w14:paraId="725EE7A5">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2.3 采购文件（后缀名为“.kedt”）、供应商操作手册及政府采购客户端 工具可通过“苏采云”系统相应链接进行下载。 </w:t>
      </w:r>
    </w:p>
    <w:p w14:paraId="3DE9AC0A">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2.4 采购代理机构将数据电文形式的采购文件加载至“苏采云”系统，供潜在供应商下载或者查阅。 </w:t>
      </w:r>
    </w:p>
    <w:p w14:paraId="4879C24A">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2.5 请潜在投标单位提前安装相应的控件（详见《“苏采云”系统供应商操作手册》）并使用谷歌浏览器登录“苏采云”系统参与不见面开评标。 </w:t>
      </w:r>
    </w:p>
    <w:p w14:paraId="021F75BE">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如潜在投标人未按上述要求操作，将自行承担所产生的风险。</w:t>
      </w:r>
    </w:p>
    <w:p w14:paraId="0BF499DF">
      <w:pPr>
        <w:pStyle w:val="9"/>
        <w:tabs>
          <w:tab w:val="left" w:pos="901"/>
        </w:tabs>
        <w:spacing w:beforeAutospacing="0" w:afterAutospacing="0" w:line="0" w:lineRule="atLeast"/>
        <w:ind w:firstLine="480"/>
        <w:jc w:val="both"/>
        <w:rPr>
          <w:rFonts w:hint="eastAsia" w:ascii="宋体" w:hAnsi="宋体" w:eastAsia="宋体" w:cs="宋体"/>
          <w:color w:val="auto"/>
          <w:kern w:val="2"/>
          <w:highlight w:val="none"/>
        </w:rPr>
      </w:pPr>
      <w:r>
        <w:rPr>
          <w:rFonts w:hint="eastAsia" w:ascii="宋体" w:hAnsi="宋体" w:eastAsia="宋体" w:cs="宋体"/>
          <w:color w:val="auto"/>
          <w:highlight w:val="none"/>
        </w:rPr>
        <w:t>3</w:t>
      </w:r>
      <w:r>
        <w:rPr>
          <w:rFonts w:hint="eastAsia" w:ascii="宋体" w:hAnsi="宋体" w:eastAsia="宋体" w:cs="宋体"/>
          <w:color w:val="auto"/>
          <w:kern w:val="2"/>
          <w:highlight w:val="none"/>
        </w:rPr>
        <w:t>. 本次单一来源采购不收取投标保证金，不收取质量保证金。</w:t>
      </w:r>
    </w:p>
    <w:p w14:paraId="41BFBB0F">
      <w:pPr>
        <w:pStyle w:val="2"/>
        <w:widowControl/>
        <w:shd w:val="clear" w:color="auto" w:fill="FFFFFF"/>
        <w:spacing w:beforeAutospacing="0" w:afterAutospacing="0" w:line="23" w:lineRule="atLeast"/>
        <w:jc w:val="both"/>
        <w:rPr>
          <w:rFonts w:cs="宋体"/>
          <w:bCs w:val="0"/>
          <w:color w:val="auto"/>
          <w:sz w:val="24"/>
          <w:szCs w:val="24"/>
          <w:highlight w:val="none"/>
        </w:rPr>
      </w:pPr>
      <w:r>
        <w:rPr>
          <w:rFonts w:cs="宋体"/>
          <w:color w:val="auto"/>
          <w:sz w:val="24"/>
          <w:szCs w:val="24"/>
          <w:highlight w:val="none"/>
        </w:rPr>
        <w:t> </w:t>
      </w:r>
      <w:r>
        <w:rPr>
          <w:rFonts w:cs="宋体"/>
          <w:bCs w:val="0"/>
          <w:color w:val="auto"/>
          <w:sz w:val="24"/>
          <w:szCs w:val="24"/>
          <w:highlight w:val="none"/>
        </w:rPr>
        <w:t>五、凡对本次采购提出询问，请按以下方式联系。</w:t>
      </w:r>
    </w:p>
    <w:p w14:paraId="7377FE03">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1.采购人信息</w:t>
      </w:r>
    </w:p>
    <w:p w14:paraId="5D58A642">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名 称：东台市医疗保险基金管理中心  </w:t>
      </w:r>
    </w:p>
    <w:p w14:paraId="2CEF24D8">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地址：东台市北海西路8号  </w:t>
      </w:r>
    </w:p>
    <w:p w14:paraId="6D653766">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联系人：潘女士</w:t>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w:t>
      </w:r>
    </w:p>
    <w:p w14:paraId="5F0B4874">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联系方式：19952940416</w:t>
      </w:r>
      <w:r>
        <w:rPr>
          <w:rFonts w:hint="eastAsia" w:ascii="宋体" w:hAnsi="宋体" w:eastAsia="宋体" w:cs="宋体"/>
          <w:b/>
          <w:bCs/>
          <w:color w:val="auto"/>
          <w:highlight w:val="none"/>
        </w:rPr>
        <w:t>     </w:t>
      </w:r>
      <w:bookmarkStart w:id="28" w:name="_Toc28359009"/>
      <w:bookmarkEnd w:id="28"/>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w:t>
      </w:r>
    </w:p>
    <w:p w14:paraId="4EE7627B">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14:paraId="1DB9E872">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名 称：东台市汇盛工程咨询有限公司 </w:t>
      </w:r>
    </w:p>
    <w:p w14:paraId="00171624">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地 址：东台市金海东路88号汇银商业广场C幢5-111室</w:t>
      </w:r>
    </w:p>
    <w:p w14:paraId="10B90373">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联系人：马先生</w:t>
      </w:r>
      <w:r>
        <w:rPr>
          <w:rFonts w:hint="eastAsia" w:ascii="宋体" w:hAnsi="宋体" w:eastAsia="宋体" w:cs="宋体"/>
          <w:b/>
          <w:bCs/>
          <w:color w:val="auto"/>
          <w:highlight w:val="none"/>
        </w:rPr>
        <w:t>        </w:t>
      </w:r>
      <w:r>
        <w:rPr>
          <w:rFonts w:hint="eastAsia" w:ascii="宋体" w:hAnsi="宋体" w:eastAsia="宋体" w:cs="宋体"/>
          <w:color w:val="auto"/>
          <w:highlight w:val="none"/>
        </w:rPr>
        <w:t xml:space="preserve">             </w:t>
      </w:r>
    </w:p>
    <w:p w14:paraId="24C6183D">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联系方式：</w:t>
      </w:r>
      <w:bookmarkStart w:id="29" w:name="_Toc28359087"/>
      <w:bookmarkStart w:id="30" w:name="_Toc28359010"/>
      <w:r>
        <w:rPr>
          <w:rFonts w:hint="eastAsia" w:ascii="宋体" w:hAnsi="宋体" w:eastAsia="宋体" w:cs="宋体"/>
          <w:color w:val="auto"/>
          <w:highlight w:val="none"/>
        </w:rPr>
        <w:t>18914666898 </w:t>
      </w:r>
      <w:r>
        <w:rPr>
          <w:rFonts w:hint="eastAsia" w:ascii="宋体" w:hAnsi="宋体" w:eastAsia="宋体" w:cs="宋体"/>
          <w:b/>
          <w:bCs/>
          <w:color w:val="auto"/>
          <w:highlight w:val="none"/>
        </w:rPr>
        <w:t>      </w:t>
      </w:r>
      <w:bookmarkEnd w:id="29"/>
      <w:bookmarkEnd w:id="30"/>
      <w:r>
        <w:rPr>
          <w:rFonts w:hint="eastAsia" w:ascii="宋体" w:hAnsi="宋体" w:eastAsia="宋体" w:cs="宋体"/>
          <w:color w:val="auto"/>
          <w:highlight w:val="none"/>
        </w:rPr>
        <w:t xml:space="preserve">            </w:t>
      </w:r>
    </w:p>
    <w:p w14:paraId="5E9CABE7">
      <w:pPr>
        <w:pStyle w:val="9"/>
        <w:widowControl/>
        <w:shd w:val="clear" w:color="auto" w:fill="FFFFFF"/>
        <w:spacing w:beforeAutospacing="0" w:afterAutospacing="0"/>
        <w:ind w:firstLine="560"/>
        <w:jc w:val="both"/>
        <w:rPr>
          <w:rFonts w:hint="eastAsia" w:ascii="宋体" w:hAnsi="宋体" w:eastAsia="宋体" w:cs="宋体"/>
          <w:color w:val="auto"/>
          <w:highlight w:val="none"/>
        </w:rPr>
      </w:pPr>
      <w:bookmarkStart w:id="31" w:name="_Toc28359021"/>
      <w:r>
        <w:rPr>
          <w:rFonts w:hint="eastAsia" w:ascii="宋体" w:hAnsi="宋体" w:eastAsia="宋体" w:cs="宋体"/>
          <w:color w:val="auto"/>
          <w:highlight w:val="none"/>
        </w:rPr>
        <w:t>3.</w:t>
      </w:r>
      <w:bookmarkEnd w:id="31"/>
      <w:r>
        <w:rPr>
          <w:rFonts w:hint="eastAsia" w:ascii="宋体" w:hAnsi="宋体" w:eastAsia="宋体" w:cs="宋体"/>
          <w:color w:val="auto"/>
          <w:highlight w:val="none"/>
        </w:rPr>
        <w:t>项目联系方式</w:t>
      </w:r>
    </w:p>
    <w:p w14:paraId="3B7B9915">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项目联系人：马先生</w:t>
      </w:r>
    </w:p>
    <w:p w14:paraId="0FAC7E24">
      <w:pPr>
        <w:pStyle w:val="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电　　 话：18914666898　　　　　　　　　　　　</w:t>
      </w:r>
    </w:p>
    <w:p w14:paraId="676FF7CD">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4D8273AD">
      <w:pPr>
        <w:pStyle w:val="9"/>
        <w:keepNext/>
        <w:keepLines/>
        <w:spacing w:before="260" w:beforeAutospacing="0" w:after="260" w:afterAutospacing="0" w:line="415" w:lineRule="auto"/>
        <w:jc w:val="center"/>
        <w:rPr>
          <w:color w:val="auto"/>
          <w:highlight w:val="none"/>
        </w:rPr>
      </w:pP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供应商须知</w:t>
      </w:r>
    </w:p>
    <w:p w14:paraId="209C8586">
      <w:pPr>
        <w:pStyle w:val="9"/>
        <w:keepNext/>
        <w:keepLines/>
        <w:spacing w:before="145" w:beforeAutospacing="0" w:after="145" w:afterAutospacing="0" w:line="360" w:lineRule="auto"/>
        <w:ind w:firstLine="498"/>
        <w:jc w:val="both"/>
        <w:rPr>
          <w:rFonts w:hint="eastAsia" w:ascii="宋体" w:hAnsi="宋体" w:eastAsia="宋体" w:cs="宋体"/>
          <w:color w:val="auto"/>
          <w:highlight w:val="none"/>
        </w:rPr>
      </w:pPr>
      <w:bookmarkStart w:id="33" w:name="_Toc16938519"/>
      <w:bookmarkStart w:id="34" w:name="_Toc20823275"/>
      <w:bookmarkStart w:id="35" w:name="_Toc120614214"/>
      <w:bookmarkStart w:id="36" w:name="_Toc513029203"/>
      <w:r>
        <w:rPr>
          <w:rFonts w:hint="eastAsia" w:ascii="宋体" w:hAnsi="宋体" w:eastAsia="宋体" w:cs="宋体"/>
          <w:b/>
          <w:color w:val="auto"/>
          <w:highlight w:val="none"/>
        </w:rPr>
        <w:t>一、总则</w:t>
      </w:r>
      <w:bookmarkEnd w:id="33"/>
      <w:bookmarkEnd w:id="34"/>
      <w:bookmarkEnd w:id="35"/>
      <w:bookmarkEnd w:id="36"/>
    </w:p>
    <w:p w14:paraId="2FBB18B5">
      <w:pPr>
        <w:pStyle w:val="9"/>
        <w:keepNext/>
        <w:keepLines/>
        <w:spacing w:beforeAutospacing="0" w:afterAutospacing="0"/>
        <w:ind w:firstLine="420"/>
        <w:jc w:val="both"/>
        <w:rPr>
          <w:rFonts w:hint="eastAsia" w:ascii="宋体" w:hAnsi="宋体" w:eastAsia="宋体" w:cs="宋体"/>
          <w:color w:val="auto"/>
          <w:highlight w:val="none"/>
        </w:rPr>
      </w:pPr>
      <w:bookmarkStart w:id="37" w:name="_Toc20823276"/>
      <w:bookmarkStart w:id="38" w:name="_Toc513029204"/>
      <w:bookmarkStart w:id="39" w:name="_Toc16938520"/>
      <w:bookmarkStart w:id="40" w:name="_Toc458694821"/>
      <w:bookmarkStart w:id="41" w:name="_Hlt16619475"/>
      <w:r>
        <w:rPr>
          <w:rFonts w:hint="eastAsia" w:ascii="宋体" w:hAnsi="宋体" w:eastAsia="宋体" w:cs="宋体"/>
          <w:color w:val="auto"/>
          <w:highlight w:val="none"/>
        </w:rPr>
        <w:t>1</w:t>
      </w:r>
      <w:bookmarkEnd w:id="37"/>
      <w:r>
        <w:rPr>
          <w:rFonts w:hint="eastAsia" w:ascii="宋体" w:hAnsi="宋体" w:eastAsia="宋体" w:cs="宋体"/>
          <w:color w:val="auto"/>
          <w:highlight w:val="none"/>
        </w:rPr>
        <w:t>、采购方式</w:t>
      </w:r>
      <w:bookmarkEnd w:id="38"/>
      <w:bookmarkEnd w:id="39"/>
      <w:bookmarkEnd w:id="40"/>
    </w:p>
    <w:p w14:paraId="37AFA5FB">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 本次政府采购活动采取单一来源采购方式。</w:t>
      </w:r>
    </w:p>
    <w:p w14:paraId="687F59EF">
      <w:pPr>
        <w:pStyle w:val="9"/>
        <w:keepNext/>
        <w:keepLines/>
        <w:spacing w:beforeAutospacing="0" w:afterAutospacing="0"/>
        <w:ind w:firstLine="420"/>
        <w:jc w:val="both"/>
        <w:rPr>
          <w:rFonts w:hint="eastAsia" w:ascii="宋体" w:hAnsi="宋体" w:eastAsia="宋体" w:cs="宋体"/>
          <w:color w:val="auto"/>
          <w:highlight w:val="none"/>
        </w:rPr>
      </w:pPr>
      <w:bookmarkStart w:id="42" w:name="_Toc20823277"/>
      <w:bookmarkStart w:id="43" w:name="_Toc513029205"/>
      <w:bookmarkStart w:id="44" w:name="_Toc16938521"/>
      <w:r>
        <w:rPr>
          <w:rFonts w:hint="eastAsia" w:ascii="宋体" w:hAnsi="宋体" w:eastAsia="宋体" w:cs="宋体"/>
          <w:color w:val="auto"/>
          <w:highlight w:val="none"/>
        </w:rPr>
        <w:t>2、合格的</w:t>
      </w:r>
      <w:bookmarkEnd w:id="42"/>
      <w:bookmarkEnd w:id="43"/>
      <w:bookmarkEnd w:id="44"/>
      <w:r>
        <w:rPr>
          <w:rFonts w:hint="eastAsia" w:ascii="宋体" w:hAnsi="宋体" w:eastAsia="宋体" w:cs="宋体"/>
          <w:color w:val="auto"/>
          <w:highlight w:val="none"/>
        </w:rPr>
        <w:t>供应商</w:t>
      </w:r>
    </w:p>
    <w:p w14:paraId="78AA1829">
      <w:pPr>
        <w:pStyle w:val="9"/>
        <w:spacing w:beforeAutospacing="0" w:afterAutospacing="0" w:line="0" w:lineRule="atLeast"/>
        <w:ind w:firstLine="480"/>
        <w:jc w:val="both"/>
        <w:rPr>
          <w:rFonts w:hint="eastAsia" w:ascii="宋体" w:hAnsi="宋体" w:eastAsia="宋体" w:cs="宋体"/>
          <w:color w:val="auto"/>
          <w:highlight w:val="none"/>
        </w:rPr>
      </w:pPr>
      <w:bookmarkStart w:id="45" w:name="_Toc20823278"/>
      <w:bookmarkStart w:id="46" w:name="_Toc513029206"/>
      <w:bookmarkStart w:id="47" w:name="_Toc16938522"/>
      <w:r>
        <w:rPr>
          <w:rFonts w:hint="eastAsia" w:ascii="宋体" w:hAnsi="宋体" w:eastAsia="宋体" w:cs="宋体"/>
          <w:color w:val="auto"/>
          <w:highlight w:val="none"/>
        </w:rPr>
        <w:t>2.1 满足采购文件中合格单一来源供应商资格要求的规定。</w:t>
      </w:r>
      <w:bookmarkEnd w:id="45"/>
      <w:bookmarkEnd w:id="46"/>
      <w:bookmarkEnd w:id="47"/>
    </w:p>
    <w:p w14:paraId="306DE424">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 满足本采购文件实质性条款的规定。</w:t>
      </w:r>
    </w:p>
    <w:p w14:paraId="02D60DAD">
      <w:pPr>
        <w:spacing w:line="400" w:lineRule="exact"/>
        <w:ind w:firstLine="420" w:firstLineChars="175"/>
        <w:rPr>
          <w:rFonts w:hint="eastAsia" w:ascii="方正魏碑_GBK" w:hAnsi="方正魏碑_GBK" w:eastAsia="方正魏碑_GBK" w:cs="方正魏碑_GBK"/>
          <w:color w:val="auto"/>
          <w:sz w:val="24"/>
          <w:szCs w:val="21"/>
          <w:highlight w:val="none"/>
        </w:rPr>
      </w:pPr>
      <w:bookmarkStart w:id="48" w:name="_Toc20823279"/>
      <w:bookmarkStart w:id="49" w:name="_Toc16938523"/>
      <w:bookmarkStart w:id="50" w:name="_Toc513029207"/>
      <w:bookmarkStart w:id="51" w:name="_Toc462564067"/>
      <w:r>
        <w:rPr>
          <w:rFonts w:hint="eastAsia" w:ascii="方正魏碑_GBK" w:hAnsi="方正魏碑_GBK" w:eastAsia="方正魏碑_GBK" w:cs="方正魏碑_GBK"/>
          <w:color w:val="auto"/>
          <w:sz w:val="24"/>
          <w:szCs w:val="21"/>
          <w:highlight w:val="none"/>
        </w:rPr>
        <w:t>3、适用法律和标准</w:t>
      </w:r>
    </w:p>
    <w:p w14:paraId="68D75C18">
      <w:pPr>
        <w:pStyle w:val="9"/>
        <w:spacing w:beforeAutospacing="0" w:afterAutospacing="0" w:line="0" w:lineRule="atLeast"/>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3.1 本次招标及由此产生的合同受中华人民共和国有关的法律法规制约和保护。</w:t>
      </w:r>
    </w:p>
    <w:p w14:paraId="28F4F20B">
      <w:pPr>
        <w:spacing w:line="400" w:lineRule="exact"/>
        <w:ind w:firstLine="420" w:firstLineChars="175"/>
        <w:rPr>
          <w:rFonts w:hint="eastAsia" w:ascii="宋体" w:hAnsi="宋体" w:eastAsia="宋体" w:cs="宋体"/>
          <w:color w:val="auto"/>
          <w:sz w:val="24"/>
          <w:highlight w:val="none"/>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57F65B00">
      <w:pPr>
        <w:pStyle w:val="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4、相关费用</w:t>
      </w:r>
      <w:bookmarkEnd w:id="48"/>
      <w:bookmarkEnd w:id="49"/>
      <w:bookmarkEnd w:id="50"/>
      <w:bookmarkEnd w:id="51"/>
    </w:p>
    <w:p w14:paraId="210DE206">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4.1供应商应自行承担所有与参加本次采购有关的费用，无论采购过程中的做法和结果如何，采购人和采购代理机构在任何情况下均无义务和责任承担这些费用。</w:t>
      </w:r>
    </w:p>
    <w:p w14:paraId="2CA4BD8C">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4.2本次采购代理机构和采购人不收取标书工本费与成交服务费。</w:t>
      </w:r>
    </w:p>
    <w:p w14:paraId="470874A2">
      <w:pPr>
        <w:pStyle w:val="9"/>
        <w:keepNext/>
        <w:keepLines/>
        <w:spacing w:beforeAutospacing="0" w:afterAutospacing="0" w:line="0" w:lineRule="atLeast"/>
        <w:ind w:firstLine="301"/>
        <w:jc w:val="both"/>
        <w:rPr>
          <w:rFonts w:hint="eastAsia" w:ascii="宋体" w:hAnsi="宋体" w:eastAsia="宋体" w:cs="宋体"/>
          <w:color w:val="auto"/>
          <w:highlight w:val="none"/>
        </w:rPr>
      </w:pPr>
      <w:r>
        <w:rPr>
          <w:rFonts w:hint="eastAsia" w:ascii="宋体" w:hAnsi="宋体" w:eastAsia="宋体" w:cs="宋体"/>
          <w:b/>
          <w:color w:val="auto"/>
          <w:highlight w:val="none"/>
        </w:rPr>
        <w:t>5、</w:t>
      </w:r>
      <w:r>
        <w:rPr>
          <w:rFonts w:hint="eastAsia" w:ascii="宋体" w:hAnsi="宋体" w:eastAsia="宋体" w:cs="宋体"/>
          <w:color w:val="auto"/>
          <w:highlight w:val="none"/>
        </w:rPr>
        <w:t>采购文件的约束力</w:t>
      </w:r>
    </w:p>
    <w:p w14:paraId="2A6F3D59">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089158A6">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B029F90">
      <w:pPr>
        <w:pStyle w:val="9"/>
        <w:keepNext/>
        <w:keepLines/>
        <w:spacing w:before="145" w:beforeAutospacing="0" w:after="145" w:afterAutospacing="0" w:line="360" w:lineRule="auto"/>
        <w:ind w:firstLine="321"/>
        <w:jc w:val="both"/>
        <w:rPr>
          <w:rFonts w:hint="eastAsia" w:ascii="宋体" w:hAnsi="宋体" w:eastAsia="宋体" w:cs="宋体"/>
          <w:color w:val="auto"/>
          <w:highlight w:val="none"/>
        </w:rPr>
      </w:pPr>
      <w:bookmarkStart w:id="52" w:name="_Toc20823281"/>
      <w:bookmarkStart w:id="53" w:name="_Toc120614215"/>
      <w:bookmarkStart w:id="54" w:name="_Toc513029209"/>
      <w:bookmarkStart w:id="55" w:name="_Toc16938525"/>
      <w:r>
        <w:rPr>
          <w:rFonts w:hint="eastAsia" w:ascii="宋体" w:hAnsi="宋体" w:eastAsia="宋体" w:cs="宋体"/>
          <w:b/>
          <w:color w:val="auto"/>
          <w:highlight w:val="none"/>
        </w:rPr>
        <w:t>二、</w:t>
      </w:r>
      <w:bookmarkEnd w:id="52"/>
      <w:bookmarkEnd w:id="53"/>
      <w:bookmarkEnd w:id="54"/>
      <w:bookmarkEnd w:id="55"/>
      <w:r>
        <w:rPr>
          <w:rFonts w:hint="eastAsia" w:ascii="宋体" w:hAnsi="宋体" w:eastAsia="宋体" w:cs="宋体"/>
          <w:b/>
          <w:color w:val="auto"/>
          <w:highlight w:val="none"/>
        </w:rPr>
        <w:t>采购文件</w:t>
      </w:r>
    </w:p>
    <w:p w14:paraId="3EB02730">
      <w:pPr>
        <w:pStyle w:val="9"/>
        <w:keepNext/>
        <w:keepLines/>
        <w:spacing w:beforeAutospacing="0" w:afterAutospacing="0"/>
        <w:ind w:firstLine="420"/>
        <w:jc w:val="both"/>
        <w:rPr>
          <w:rFonts w:hint="eastAsia" w:ascii="宋体" w:hAnsi="宋体" w:eastAsia="宋体" w:cs="宋体"/>
          <w:color w:val="auto"/>
          <w:highlight w:val="none"/>
        </w:rPr>
      </w:pPr>
      <w:bookmarkStart w:id="56" w:name="_Toc20823282"/>
      <w:bookmarkStart w:id="57" w:name="_Toc513029210"/>
      <w:bookmarkStart w:id="58" w:name="_Toc16938526"/>
      <w:r>
        <w:rPr>
          <w:rFonts w:hint="eastAsia" w:ascii="宋体" w:hAnsi="宋体" w:eastAsia="宋体" w:cs="宋体"/>
          <w:color w:val="auto"/>
          <w:highlight w:val="none"/>
        </w:rPr>
        <w:t>6、采购文件构成</w:t>
      </w:r>
      <w:bookmarkEnd w:id="56"/>
      <w:bookmarkEnd w:id="57"/>
      <w:bookmarkEnd w:id="58"/>
    </w:p>
    <w:p w14:paraId="06DC280B">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6.1采购文件由以下部分组成：</w:t>
      </w:r>
    </w:p>
    <w:p w14:paraId="46F8EC09">
      <w:pPr>
        <w:pStyle w:val="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（1）单一来源采购邀请</w:t>
      </w:r>
    </w:p>
    <w:p w14:paraId="5683FE65">
      <w:pPr>
        <w:pStyle w:val="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（2）供应商须知</w:t>
      </w:r>
    </w:p>
    <w:p w14:paraId="20C33C77">
      <w:pPr>
        <w:pStyle w:val="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（3）合同文本</w:t>
      </w:r>
    </w:p>
    <w:p w14:paraId="7CF3578D">
      <w:pPr>
        <w:pStyle w:val="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（4）采购需求</w:t>
      </w:r>
    </w:p>
    <w:p w14:paraId="1E72B084">
      <w:pPr>
        <w:pStyle w:val="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（6）响应文件格式</w:t>
      </w:r>
    </w:p>
    <w:p w14:paraId="30EA67D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请仔细检查采购文件是否齐全，如有缺漏请立即与采购人或采购代理机构联系解决。</w:t>
      </w:r>
    </w:p>
    <w:p w14:paraId="2B9E32D8">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6.2</w:t>
      </w:r>
      <w:r>
        <w:rPr>
          <w:rFonts w:hint="eastAsia" w:ascii="宋体" w:hAnsi="宋体" w:eastAsia="宋体" w:cs="宋体"/>
          <w:b/>
          <w:bCs/>
          <w:color w:val="auto"/>
          <w:highlight w:val="none"/>
        </w:rPr>
        <w:t> </w:t>
      </w:r>
      <w:r>
        <w:rPr>
          <w:rFonts w:hint="eastAsia" w:ascii="宋体" w:hAnsi="宋体" w:eastAsia="宋体" w:cs="宋体"/>
          <w:color w:val="auto"/>
          <w:highlight w:val="none"/>
        </w:rPr>
        <w:t>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p>
    <w:p w14:paraId="6F11417D">
      <w:pPr>
        <w:pStyle w:val="9"/>
        <w:keepNext/>
        <w:keepLines/>
        <w:spacing w:beforeAutospacing="0" w:afterAutospacing="0"/>
        <w:ind w:firstLine="560"/>
        <w:jc w:val="both"/>
        <w:rPr>
          <w:rFonts w:hint="eastAsia" w:ascii="宋体" w:hAnsi="宋体" w:eastAsia="宋体" w:cs="宋体"/>
          <w:color w:val="auto"/>
          <w:highlight w:val="none"/>
        </w:rPr>
      </w:pPr>
      <w:bookmarkStart w:id="59" w:name="_Toc462564070"/>
      <w:bookmarkStart w:id="60" w:name="_Toc16938527"/>
      <w:bookmarkStart w:id="61" w:name="_Toc513029211"/>
      <w:bookmarkStart w:id="62" w:name="_Toc20823283"/>
      <w:r>
        <w:rPr>
          <w:rFonts w:hint="eastAsia" w:ascii="宋体" w:hAnsi="宋体" w:eastAsia="宋体" w:cs="宋体"/>
          <w:color w:val="auto"/>
          <w:highlight w:val="none"/>
        </w:rPr>
        <w:t>7、采购文件的澄清</w:t>
      </w:r>
      <w:bookmarkEnd w:id="59"/>
      <w:bookmarkEnd w:id="60"/>
      <w:bookmarkEnd w:id="61"/>
      <w:bookmarkEnd w:id="62"/>
    </w:p>
    <w:p w14:paraId="040A3B05">
      <w:pPr>
        <w:pStyle w:val="9"/>
        <w:spacing w:beforeAutospacing="0" w:afterAutospacing="0" w:line="0" w:lineRule="atLeast"/>
        <w:ind w:firstLine="480"/>
        <w:jc w:val="both"/>
        <w:rPr>
          <w:rFonts w:hint="eastAsia" w:ascii="宋体" w:hAnsi="宋体" w:eastAsia="宋体" w:cs="宋体"/>
          <w:color w:val="auto"/>
          <w:highlight w:val="none"/>
        </w:rPr>
      </w:pPr>
      <w:bookmarkStart w:id="63" w:name="_Toc16938528"/>
      <w:bookmarkStart w:id="64" w:name="_Toc20823284"/>
      <w:bookmarkStart w:id="65" w:name="_Toc462564071"/>
      <w:bookmarkStart w:id="66" w:name="_Toc513029212"/>
      <w:r>
        <w:rPr>
          <w:rFonts w:hint="eastAsia" w:ascii="宋体" w:hAnsi="宋体" w:eastAsia="宋体" w:cs="宋体"/>
          <w:color w:val="auto"/>
          <w:highlight w:val="none"/>
        </w:rPr>
        <w:t>7.1 供应商如果要求对采购文件进行澄清的，应在响应文件接收截止时间（以下简称“截止时间”）</w:t>
      </w:r>
      <w:r>
        <w:rPr>
          <w:rFonts w:hint="eastAsia" w:ascii="宋体" w:hAnsi="宋体" w:eastAsia="宋体" w:cs="宋体"/>
          <w:b/>
          <w:color w:val="auto"/>
          <w:highlight w:val="none"/>
        </w:rPr>
        <w:t>三天</w:t>
      </w:r>
      <w:r>
        <w:rPr>
          <w:rFonts w:hint="eastAsia" w:ascii="宋体" w:hAnsi="宋体" w:eastAsia="宋体" w:cs="宋体"/>
          <w:color w:val="auto"/>
          <w:highlight w:val="none"/>
        </w:rPr>
        <w:t>前，在</w:t>
      </w:r>
      <w:r>
        <w:rPr>
          <w:rFonts w:hint="eastAsia" w:ascii="宋体" w:hAnsi="宋体" w:eastAsia="宋体" w:cs="宋体"/>
          <w:b/>
          <w:bCs/>
          <w:color w:val="auto"/>
          <w:highlight w:val="none"/>
        </w:rPr>
        <w:t>“</w:t>
      </w:r>
      <w:r>
        <w:rPr>
          <w:rFonts w:hint="eastAsia" w:ascii="宋体" w:hAnsi="宋体" w:eastAsia="宋体" w:cs="宋体"/>
          <w:color w:val="auto"/>
          <w:highlight w:val="none"/>
        </w:rPr>
        <w:t>苏采云</w:t>
      </w:r>
      <w:r>
        <w:rPr>
          <w:rFonts w:hint="eastAsia" w:ascii="宋体" w:hAnsi="宋体" w:eastAsia="宋体" w:cs="宋体"/>
          <w:b/>
          <w:bCs/>
          <w:color w:val="auto"/>
          <w:highlight w:val="none"/>
        </w:rPr>
        <w:t>”</w:t>
      </w:r>
      <w:r>
        <w:rPr>
          <w:rFonts w:hint="eastAsia" w:ascii="宋体" w:hAnsi="宋体" w:eastAsia="宋体" w:cs="宋体"/>
          <w:color w:val="auto"/>
          <w:highlight w:val="none"/>
        </w:rPr>
        <w:t>系统中通知采购人或采购代理机构。采购人或采购代理机构将在苏采云系统中对澄清要求予以答复。</w:t>
      </w:r>
      <w:bookmarkEnd w:id="63"/>
      <w:bookmarkEnd w:id="64"/>
      <w:bookmarkEnd w:id="65"/>
      <w:bookmarkEnd w:id="66"/>
    </w:p>
    <w:p w14:paraId="1786E3CB">
      <w:pPr>
        <w:pStyle w:val="9"/>
        <w:keepNext/>
        <w:keepLines/>
        <w:spacing w:beforeAutospacing="0" w:afterAutospacing="0"/>
        <w:ind w:firstLine="560"/>
        <w:jc w:val="both"/>
        <w:rPr>
          <w:rFonts w:hint="eastAsia" w:ascii="宋体" w:hAnsi="宋体" w:eastAsia="宋体" w:cs="宋体"/>
          <w:color w:val="auto"/>
          <w:highlight w:val="none"/>
        </w:rPr>
      </w:pPr>
      <w:bookmarkStart w:id="67" w:name="_Toc120614216"/>
      <w:bookmarkStart w:id="68" w:name="_Toc513029213"/>
      <w:bookmarkStart w:id="69" w:name="_Toc462564072"/>
      <w:bookmarkStart w:id="70" w:name="_Toc20823285"/>
      <w:bookmarkStart w:id="71" w:name="_Toc16938529"/>
      <w:r>
        <w:rPr>
          <w:rFonts w:hint="eastAsia" w:ascii="宋体" w:hAnsi="宋体" w:eastAsia="宋体" w:cs="宋体"/>
          <w:color w:val="auto"/>
          <w:highlight w:val="none"/>
        </w:rPr>
        <w:t>8、采购文件的修改</w:t>
      </w:r>
      <w:bookmarkEnd w:id="67"/>
      <w:bookmarkEnd w:id="68"/>
      <w:bookmarkEnd w:id="69"/>
      <w:bookmarkEnd w:id="70"/>
      <w:bookmarkEnd w:id="71"/>
    </w:p>
    <w:p w14:paraId="2CDDA65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8.1 在截止时间前，采购人或采购代理机构可以以补充文件的方式对采购文件进行修改。</w:t>
      </w:r>
    </w:p>
    <w:p w14:paraId="4E42DE93">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8.2采购人或采购代理机构有权按照政府采购的有关要求推迟截止时间。</w:t>
      </w:r>
    </w:p>
    <w:p w14:paraId="7661831E">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8.3采购文件的补充文件将作为采购文件的组成部分，并对供应商具有约束力。</w:t>
      </w:r>
    </w:p>
    <w:p w14:paraId="15F00E50">
      <w:pPr>
        <w:pStyle w:val="9"/>
        <w:keepNext/>
        <w:keepLines/>
        <w:spacing w:before="145" w:beforeAutospacing="0" w:after="145"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三、响应文件的编制</w:t>
      </w:r>
    </w:p>
    <w:p w14:paraId="3561C2A5">
      <w:pPr>
        <w:pStyle w:val="9"/>
        <w:keepNext/>
        <w:keepLines/>
        <w:spacing w:beforeAutospacing="0" w:afterAutospacing="0"/>
        <w:ind w:firstLine="560"/>
        <w:jc w:val="both"/>
        <w:rPr>
          <w:rFonts w:hint="eastAsia" w:ascii="宋体" w:hAnsi="宋体" w:eastAsia="宋体" w:cs="宋体"/>
          <w:color w:val="auto"/>
          <w:highlight w:val="none"/>
        </w:rPr>
      </w:pPr>
      <w:bookmarkStart w:id="72" w:name="_Toc513029214"/>
      <w:bookmarkStart w:id="73" w:name="_Toc16938530"/>
      <w:bookmarkStart w:id="74" w:name="_Toc462564073"/>
      <w:bookmarkStart w:id="75" w:name="_Toc20823286"/>
      <w:r>
        <w:rPr>
          <w:rFonts w:hint="eastAsia" w:ascii="宋体" w:hAnsi="宋体" w:eastAsia="宋体" w:cs="宋体"/>
          <w:color w:val="auto"/>
          <w:highlight w:val="none"/>
        </w:rPr>
        <w:t>9、响应文件的语言及度量衡单位</w:t>
      </w:r>
      <w:bookmarkEnd w:id="72"/>
      <w:bookmarkEnd w:id="73"/>
      <w:bookmarkEnd w:id="74"/>
      <w:bookmarkEnd w:id="75"/>
    </w:p>
    <w:p w14:paraId="0274F489">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9.1供应商提交的响应文件以及供应商与采购人或采购代理机构就有关采购活动的所有来往通知、函件和文件均应使用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5BD5CEE9">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9.2 除技术性能另有规定外，响应文件所使用的度量衡单位，均须采用国家法定计量单位。</w:t>
      </w:r>
    </w:p>
    <w:p w14:paraId="346FA1C1">
      <w:pPr>
        <w:pStyle w:val="9"/>
        <w:keepNext/>
        <w:keepLines/>
        <w:spacing w:beforeAutospacing="0" w:afterAutospacing="0"/>
        <w:ind w:firstLine="420"/>
        <w:jc w:val="both"/>
        <w:rPr>
          <w:rFonts w:hint="eastAsia" w:ascii="宋体" w:hAnsi="宋体" w:eastAsia="宋体" w:cs="宋体"/>
          <w:color w:val="auto"/>
          <w:highlight w:val="none"/>
        </w:rPr>
      </w:pPr>
      <w:bookmarkStart w:id="76" w:name="_Toc16938531"/>
      <w:bookmarkStart w:id="77" w:name="_Toc20823287"/>
      <w:bookmarkStart w:id="78" w:name="_Toc513029215"/>
      <w:bookmarkStart w:id="79" w:name="_Toc462564074"/>
      <w:r>
        <w:rPr>
          <w:rFonts w:hint="eastAsia" w:ascii="宋体" w:hAnsi="宋体" w:eastAsia="宋体" w:cs="宋体"/>
          <w:color w:val="auto"/>
          <w:highlight w:val="none"/>
        </w:rPr>
        <w:t>10、响应文件构成</w:t>
      </w:r>
      <w:bookmarkEnd w:id="76"/>
      <w:bookmarkEnd w:id="77"/>
      <w:bookmarkEnd w:id="78"/>
      <w:bookmarkEnd w:id="79"/>
    </w:p>
    <w:p w14:paraId="36717290">
      <w:pPr>
        <w:pStyle w:val="9"/>
        <w:spacing w:beforeAutospacing="0" w:afterAutospacing="0" w:line="0" w:lineRule="atLeast"/>
        <w:ind w:firstLine="480"/>
        <w:jc w:val="both"/>
        <w:rPr>
          <w:rFonts w:hint="eastAsia" w:ascii="宋体" w:hAnsi="宋体" w:eastAsia="宋体" w:cs="宋体"/>
          <w:color w:val="auto"/>
          <w:highlight w:val="none"/>
        </w:rPr>
      </w:pPr>
      <w:bookmarkStart w:id="80" w:name="_Toc49090508"/>
      <w:bookmarkStart w:id="81" w:name="_Toc14577355"/>
      <w:bookmarkStart w:id="82" w:name="_Toc14577357"/>
      <w:bookmarkStart w:id="83" w:name="_Toc513029219"/>
      <w:bookmarkStart w:id="84" w:name="_Toc513029216"/>
      <w:bookmarkStart w:id="85" w:name="_Toc49090507"/>
      <w:bookmarkStart w:id="86" w:name="_Toc14577354"/>
      <w:bookmarkStart w:id="87" w:name="_Toc49090509"/>
      <w:bookmarkStart w:id="88" w:name="_Hlt26670360"/>
      <w:bookmarkStart w:id="89" w:name="_Hlt26668975"/>
      <w:bookmarkStart w:id="90" w:name="_Hlt26954838"/>
      <w:r>
        <w:rPr>
          <w:rFonts w:hint="eastAsia" w:ascii="宋体" w:hAnsi="宋体" w:eastAsia="宋体" w:cs="宋体"/>
          <w:color w:val="auto"/>
          <w:highlight w:val="none"/>
        </w:rPr>
        <w:t>10.1 供应商编写的响应文件应包括资格证明文件、符合性证明文件、技术要求响应及偏离表、商务要求响应及偏离表、其他证明文件、单一来源响应函等部分。</w:t>
      </w:r>
      <w:bookmarkEnd w:id="80"/>
      <w:bookmarkEnd w:id="81"/>
      <w:bookmarkEnd w:id="82"/>
      <w:bookmarkEnd w:id="83"/>
      <w:bookmarkEnd w:id="84"/>
      <w:bookmarkEnd w:id="85"/>
      <w:bookmarkEnd w:id="86"/>
      <w:bookmarkEnd w:id="87"/>
    </w:p>
    <w:p w14:paraId="6126FBEC">
      <w:pPr>
        <w:pStyle w:val="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11、证明供应商及响应标的符合采购文件规定的文件</w:t>
      </w:r>
    </w:p>
    <w:p w14:paraId="2F9B8020">
      <w:pPr>
        <w:pStyle w:val="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11.1 供应商应按照法律、法规、规章和规范性文件以及采购文件要求提交证明文件，证明其响应标的符合采购文件规定。</w:t>
      </w:r>
    </w:p>
    <w:p w14:paraId="7B8F1AF9">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11.2采购文件对证明文件无明确形式要求的，证明文件可以以文字资料、图纸和数据等形式提交。</w:t>
      </w:r>
    </w:p>
    <w:p w14:paraId="3C0AAA02">
      <w:pPr>
        <w:pStyle w:val="9"/>
        <w:keepNext/>
        <w:keepLines/>
        <w:spacing w:beforeAutospacing="0" w:afterAutospacing="0"/>
        <w:ind w:firstLine="420"/>
        <w:jc w:val="both"/>
        <w:rPr>
          <w:rFonts w:hint="eastAsia" w:ascii="宋体" w:hAnsi="宋体" w:eastAsia="宋体" w:cs="宋体"/>
          <w:color w:val="auto"/>
          <w:highlight w:val="none"/>
        </w:rPr>
      </w:pPr>
      <w:bookmarkStart w:id="91" w:name="_Hlt26954848"/>
      <w:bookmarkStart w:id="92" w:name="_Hlt26670486"/>
      <w:bookmarkStart w:id="93" w:name="_Hlt26954731"/>
      <w:bookmarkStart w:id="94" w:name="_Hlt26954846"/>
      <w:bookmarkStart w:id="95" w:name="_Hlt26670482"/>
      <w:r>
        <w:rPr>
          <w:rFonts w:hint="eastAsia" w:ascii="宋体" w:hAnsi="宋体" w:eastAsia="宋体" w:cs="宋体"/>
          <w:color w:val="auto"/>
          <w:highlight w:val="none"/>
        </w:rPr>
        <w:t>12、技术要求响应及偏离表、商务要求响应及偏离表</w:t>
      </w:r>
    </w:p>
    <w:p w14:paraId="0028E9C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12.1供应商需对采购文件中的技术要求与商务要求逐项作出响应或偏离，并说明原因。</w:t>
      </w:r>
    </w:p>
    <w:p w14:paraId="3C9CD247">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12.2供应商可在响应文件中提供认为需要的其他技术文件或说明。</w:t>
      </w:r>
    </w:p>
    <w:p w14:paraId="673BD1F9">
      <w:pPr>
        <w:pStyle w:val="9"/>
        <w:keepNext/>
        <w:keepLines/>
        <w:spacing w:beforeAutospacing="0" w:afterAutospacing="0"/>
        <w:ind w:firstLine="420"/>
        <w:jc w:val="both"/>
        <w:rPr>
          <w:rFonts w:hint="eastAsia" w:ascii="宋体" w:hAnsi="宋体" w:eastAsia="宋体" w:cs="宋体"/>
          <w:color w:val="auto"/>
          <w:highlight w:val="none"/>
        </w:rPr>
      </w:pPr>
      <w:bookmarkStart w:id="96" w:name="_Toc49090511"/>
      <w:bookmarkStart w:id="97" w:name="_Toc14577360"/>
      <w:r>
        <w:rPr>
          <w:rFonts w:hint="eastAsia" w:ascii="宋体" w:hAnsi="宋体" w:eastAsia="宋体" w:cs="宋体"/>
          <w:color w:val="auto"/>
          <w:highlight w:val="none"/>
        </w:rPr>
        <w:t>13、单一来源响应函</w:t>
      </w:r>
      <w:bookmarkEnd w:id="96"/>
      <w:bookmarkEnd w:id="97"/>
    </w:p>
    <w:p w14:paraId="7CF3200F">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13.1 供应商应按照采购文件中提供的格式完整、正确填写单一来源响应函。</w:t>
      </w:r>
    </w:p>
    <w:p w14:paraId="1621E127">
      <w:pPr>
        <w:pStyle w:val="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14、单一来源采购有效期</w:t>
      </w:r>
    </w:p>
    <w:p w14:paraId="2CC758D4">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14.1</w:t>
      </w:r>
      <w:r>
        <w:rPr>
          <w:rFonts w:hint="eastAsia" w:ascii="宋体" w:hAnsi="宋体" w:eastAsia="宋体" w:cs="宋体"/>
          <w:b/>
          <w:bCs/>
          <w:color w:val="auto"/>
          <w:highlight w:val="none"/>
        </w:rPr>
        <w:t> </w:t>
      </w:r>
      <w:r>
        <w:rPr>
          <w:rFonts w:hint="eastAsia" w:ascii="宋体" w:hAnsi="宋体" w:eastAsia="宋体" w:cs="宋体"/>
          <w:color w:val="auto"/>
          <w:highlight w:val="none"/>
        </w:rPr>
        <w:t>单一来源采购有效期（以下简称“有效期”）为采购代理机构规定的响应文件接收截止之日后</w:t>
      </w:r>
      <w:r>
        <w:rPr>
          <w:rFonts w:hint="eastAsia" w:ascii="宋体" w:hAnsi="宋体" w:eastAsia="宋体" w:cs="宋体"/>
          <w:b/>
          <w:color w:val="auto"/>
          <w:highlight w:val="none"/>
          <w:u w:val="single"/>
        </w:rPr>
        <w:t>三十（30）天</w:t>
      </w:r>
      <w:r>
        <w:rPr>
          <w:rFonts w:hint="eastAsia" w:ascii="宋体" w:hAnsi="宋体" w:eastAsia="宋体" w:cs="宋体"/>
          <w:color w:val="auto"/>
          <w:highlight w:val="none"/>
        </w:rPr>
        <w:t>。有效期比规定期限短的将被视为未响应采购文件要求而予以拒绝。</w:t>
      </w:r>
    </w:p>
    <w:p w14:paraId="76A797AD">
      <w:pPr>
        <w:pStyle w:val="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15、有效期的延长</w:t>
      </w:r>
    </w:p>
    <w:p w14:paraId="1672BFD0">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15.1在特殊情况下，采购代理机构于原有效期满之前，可向供应商提出延长有效期的要求。这种要求与答复均应采用书面形式。供应商可以拒绝采购代理机构的这一要求而放弃单一来源采购活动，同意延长有效期的供应商既不能要求也不允许修改其响应文件。受有效期约束的所有权利与义务均延长至新的有效期。</w:t>
      </w:r>
    </w:p>
    <w:p w14:paraId="25211C4C">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特别提醒：因“苏采云”系统功能受限，只能向一家单位发出单一来源采购邀请，故本次采购只向主承保供应商发出单一来源采购邀请，共保人的投标文件打印盖章后彩色扫描成PDF形式上传主承保人投标文件中。</w:t>
      </w:r>
    </w:p>
    <w:p w14:paraId="4B353AB2">
      <w:pPr>
        <w:pStyle w:val="9"/>
        <w:keepNext/>
        <w:keepLines/>
        <w:spacing w:before="145" w:beforeAutospacing="0" w:after="145" w:afterAutospacing="0" w:line="360" w:lineRule="auto"/>
        <w:ind w:firstLine="482"/>
        <w:jc w:val="both"/>
        <w:rPr>
          <w:rFonts w:hint="eastAsia" w:ascii="宋体" w:hAnsi="宋体" w:eastAsia="宋体" w:cs="宋体"/>
          <w:color w:val="auto"/>
          <w:highlight w:val="none"/>
        </w:rPr>
      </w:pPr>
      <w:bookmarkStart w:id="98" w:name="_Toc513029224"/>
      <w:bookmarkStart w:id="99" w:name="_Toc120614217"/>
      <w:bookmarkStart w:id="100" w:name="_Toc20823296"/>
      <w:bookmarkStart w:id="101" w:name="_Toc16938540"/>
      <w:bookmarkStart w:id="102" w:name="_Hlt26954852"/>
      <w:bookmarkStart w:id="103" w:name="_Hlt26954739"/>
      <w:r>
        <w:rPr>
          <w:rFonts w:hint="eastAsia" w:ascii="宋体" w:hAnsi="宋体" w:eastAsia="宋体" w:cs="宋体"/>
          <w:b/>
          <w:color w:val="auto"/>
          <w:highlight w:val="none"/>
        </w:rPr>
        <w:t>四、响应文件的递交</w:t>
      </w:r>
      <w:bookmarkEnd w:id="98"/>
      <w:bookmarkEnd w:id="99"/>
      <w:bookmarkEnd w:id="100"/>
      <w:bookmarkEnd w:id="101"/>
    </w:p>
    <w:p w14:paraId="541997FA">
      <w:pPr>
        <w:pStyle w:val="9"/>
        <w:keepNext/>
        <w:keepLines/>
        <w:spacing w:beforeAutospacing="0" w:afterAutospacing="0"/>
        <w:ind w:firstLine="560"/>
        <w:jc w:val="both"/>
        <w:rPr>
          <w:rFonts w:hint="eastAsia" w:ascii="宋体" w:hAnsi="宋体" w:eastAsia="宋体" w:cs="宋体"/>
          <w:color w:val="auto"/>
          <w:highlight w:val="none"/>
        </w:rPr>
      </w:pPr>
      <w:bookmarkStart w:id="104" w:name="_Toc462564084"/>
      <w:bookmarkStart w:id="105" w:name="_Toc20823297"/>
      <w:bookmarkStart w:id="106" w:name="_Toc16938541"/>
      <w:bookmarkStart w:id="107" w:name="_Toc513029225"/>
      <w:r>
        <w:rPr>
          <w:rFonts w:hint="eastAsia" w:ascii="宋体" w:hAnsi="宋体" w:eastAsia="宋体" w:cs="宋体"/>
          <w:color w:val="auto"/>
          <w:highlight w:val="none"/>
        </w:rPr>
        <w:t>16、电子</w:t>
      </w:r>
      <w:bookmarkEnd w:id="104"/>
      <w:bookmarkEnd w:id="105"/>
      <w:bookmarkEnd w:id="106"/>
      <w:bookmarkEnd w:id="107"/>
      <w:r>
        <w:rPr>
          <w:rFonts w:hint="eastAsia" w:ascii="宋体" w:hAnsi="宋体" w:eastAsia="宋体" w:cs="宋体"/>
          <w:color w:val="auto"/>
          <w:highlight w:val="none"/>
        </w:rPr>
        <w:t>响应文件的递交</w:t>
      </w:r>
    </w:p>
    <w:p w14:paraId="74E83F70">
      <w:pPr>
        <w:pStyle w:val="9"/>
        <w:spacing w:beforeAutospacing="0" w:afterAutospacing="0"/>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16.1供应商应当按照《操作手册》规定，在截止时间前制作并上传电子响应文件。</w:t>
      </w:r>
      <w:bookmarkStart w:id="108" w:name="_Toc20823298"/>
      <w:bookmarkEnd w:id="108"/>
      <w:bookmarkStart w:id="109" w:name="_Toc16938542"/>
      <w:bookmarkEnd w:id="109"/>
      <w:bookmarkStart w:id="110" w:name="_Toc513029226"/>
    </w:p>
    <w:p w14:paraId="0CD6A1EE">
      <w:pPr>
        <w:pStyle w:val="9"/>
        <w:keepNext/>
        <w:keepLines/>
        <w:spacing w:before="280" w:beforeAutospacing="0" w:after="290" w:afterAutospacing="0" w:line="374" w:lineRule="auto"/>
        <w:ind w:firstLine="56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17、提交响应文件截止时间</w:t>
      </w:r>
    </w:p>
    <w:p w14:paraId="210ECCDA">
      <w:pPr>
        <w:pStyle w:val="9"/>
        <w:spacing w:beforeAutospacing="0" w:afterAutospacing="0" w:line="0" w:lineRule="atLeast"/>
        <w:ind w:firstLine="480"/>
        <w:jc w:val="both"/>
        <w:rPr>
          <w:rFonts w:hint="eastAsia" w:ascii="宋体" w:hAnsi="宋体" w:eastAsia="宋体" w:cs="宋体"/>
          <w:b/>
          <w:bCs/>
          <w:color w:val="auto"/>
          <w:highlight w:val="none"/>
        </w:rPr>
      </w:pPr>
      <w:r>
        <w:rPr>
          <w:rFonts w:hint="eastAsia" w:ascii="宋体" w:hAnsi="宋体" w:eastAsia="宋体" w:cs="宋体"/>
          <w:b/>
          <w:bCs/>
          <w:i/>
          <w:color w:val="auto"/>
          <w:highlight w:val="none"/>
          <w:u w:val="single"/>
        </w:rPr>
        <w:t>17.1供应商上传电子响应文件的时间不得迟于单一来源采购邀请中规定的截止时间。</w:t>
      </w:r>
    </w:p>
    <w:p w14:paraId="4FD5932C">
      <w:pPr>
        <w:pStyle w:val="9"/>
        <w:spacing w:beforeAutospacing="0" w:afterAutospacing="0" w:line="0" w:lineRule="atLeast"/>
        <w:ind w:firstLine="480"/>
        <w:jc w:val="both"/>
        <w:rPr>
          <w:rFonts w:hint="eastAsia" w:ascii="宋体" w:hAnsi="宋体" w:eastAsia="宋体" w:cs="宋体"/>
          <w:color w:val="auto"/>
          <w:highlight w:val="none"/>
        </w:rPr>
      </w:pPr>
      <w:bookmarkStart w:id="111" w:name="_Toc16938543"/>
      <w:bookmarkStart w:id="112" w:name="_Toc20823299"/>
      <w:bookmarkStart w:id="113" w:name="_Toc513029227"/>
      <w:r>
        <w:rPr>
          <w:rFonts w:hint="eastAsia" w:ascii="宋体" w:hAnsi="宋体" w:eastAsia="宋体" w:cs="宋体"/>
          <w:color w:val="auto"/>
          <w:highlight w:val="none"/>
        </w:rPr>
        <w:t>供应商应充分考虑到网络环境、网络带宽等风险因素，如因供应商自身原因造成的电子响应文件上传不成功由供应商自行承担全部责任。</w:t>
      </w:r>
      <w:bookmarkEnd w:id="111"/>
      <w:bookmarkEnd w:id="112"/>
      <w:bookmarkEnd w:id="113"/>
    </w:p>
    <w:p w14:paraId="4F7BDFDE">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17.2 采购代理机构可以按照规定，通过修改采购文件酌情延长截止时间，在此情况下，供应商的所有权利和义务以及供应商受制的截止时间以延长后新的截止时间为准。</w:t>
      </w:r>
    </w:p>
    <w:p w14:paraId="5E481C2B">
      <w:pPr>
        <w:pStyle w:val="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18、响应文件的拒收</w:t>
      </w:r>
    </w:p>
    <w:p w14:paraId="0F6D7344">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18.1 采购代理机构拒绝接收在其规定的截止时间后上传的任何电子响应文件。</w:t>
      </w:r>
    </w:p>
    <w:p w14:paraId="74EBC2C7">
      <w:pPr>
        <w:pStyle w:val="9"/>
        <w:keepNext/>
        <w:keepLines/>
        <w:spacing w:beforeAutospacing="0" w:afterAutospacing="0"/>
        <w:ind w:firstLine="420"/>
        <w:jc w:val="both"/>
        <w:rPr>
          <w:rFonts w:hint="eastAsia" w:ascii="宋体" w:hAnsi="宋体" w:eastAsia="宋体" w:cs="宋体"/>
          <w:color w:val="auto"/>
          <w:highlight w:val="none"/>
        </w:rPr>
      </w:pPr>
      <w:bookmarkStart w:id="114" w:name="_Toc20823300"/>
      <w:bookmarkStart w:id="115" w:name="_Toc16938544"/>
      <w:bookmarkStart w:id="116" w:name="_Toc513029228"/>
      <w:r>
        <w:rPr>
          <w:rFonts w:hint="eastAsia" w:ascii="宋体" w:hAnsi="宋体" w:eastAsia="宋体" w:cs="宋体"/>
          <w:color w:val="auto"/>
          <w:highlight w:val="none"/>
        </w:rPr>
        <w:t>19、响应文件的撤回和修改</w:t>
      </w:r>
      <w:bookmarkEnd w:id="114"/>
      <w:bookmarkEnd w:id="115"/>
      <w:bookmarkEnd w:id="116"/>
    </w:p>
    <w:p w14:paraId="139C4CA6">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19.1响应文件的撤回</w:t>
      </w:r>
    </w:p>
    <w:p w14:paraId="6E35359F">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19.1.1 电子响应文件的撤回</w:t>
      </w:r>
    </w:p>
    <w:p w14:paraId="0A57133F">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供应商可在截止时间前，撤回其电子响应文件，具体操作方法见《操作手册》。</w:t>
      </w:r>
    </w:p>
    <w:p w14:paraId="4989FC60">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19.1.2供应商撤回电子响应文件，则认为其不再参与本项目采购活动。</w:t>
      </w:r>
    </w:p>
    <w:p w14:paraId="4DA3DA52">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19.2响应文件的修改</w:t>
      </w:r>
    </w:p>
    <w:p w14:paraId="21FB67C3">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供应商可在截止时间前，对其电子响应文件进行修改，具体操作方法见《操作手册》。</w:t>
      </w:r>
    </w:p>
    <w:p w14:paraId="44C873DD">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19.3 在截止时间之后，供应商不得对其电子响应文件作任何修改。</w:t>
      </w:r>
    </w:p>
    <w:p w14:paraId="5911BED3">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19.4 在截止时间至有效期满之间的这段时间内，供应商不得撤回其响应文件。</w:t>
      </w:r>
    </w:p>
    <w:p w14:paraId="18D280D1">
      <w:pPr>
        <w:pStyle w:val="9"/>
        <w:keepNext/>
        <w:keepLines/>
        <w:spacing w:before="145" w:beforeAutospacing="0" w:after="145" w:afterAutospacing="0" w:line="360" w:lineRule="auto"/>
        <w:ind w:firstLine="482"/>
        <w:jc w:val="both"/>
        <w:rPr>
          <w:rFonts w:hint="eastAsia" w:ascii="宋体" w:hAnsi="宋体" w:eastAsia="宋体" w:cs="宋体"/>
          <w:color w:val="auto"/>
          <w:highlight w:val="none"/>
        </w:rPr>
      </w:pPr>
      <w:bookmarkStart w:id="117" w:name="_Toc120614218"/>
      <w:bookmarkStart w:id="118" w:name="_Toc513029229"/>
      <w:bookmarkStart w:id="119" w:name="_Toc20823301"/>
      <w:bookmarkStart w:id="120" w:name="_Toc16938545"/>
      <w:r>
        <w:rPr>
          <w:rFonts w:hint="eastAsia" w:ascii="宋体" w:hAnsi="宋体" w:eastAsia="宋体" w:cs="宋体"/>
          <w:b/>
          <w:color w:val="auto"/>
          <w:highlight w:val="none"/>
        </w:rPr>
        <w:t>五、响应文件的解密与评审</w:t>
      </w:r>
      <w:bookmarkEnd w:id="117"/>
      <w:bookmarkEnd w:id="118"/>
      <w:bookmarkEnd w:id="119"/>
      <w:bookmarkEnd w:id="120"/>
    </w:p>
    <w:p w14:paraId="5EA4956F">
      <w:pPr>
        <w:pStyle w:val="9"/>
        <w:keepNext/>
        <w:keepLines/>
        <w:spacing w:beforeAutospacing="0" w:afterAutospacing="0"/>
        <w:ind w:firstLine="420"/>
        <w:jc w:val="both"/>
        <w:rPr>
          <w:rFonts w:hint="eastAsia" w:ascii="宋体" w:hAnsi="宋体" w:eastAsia="宋体" w:cs="宋体"/>
          <w:color w:val="auto"/>
          <w:highlight w:val="none"/>
        </w:rPr>
      </w:pPr>
      <w:bookmarkStart w:id="121" w:name="_Toc513029230"/>
      <w:bookmarkStart w:id="122" w:name="_Toc16938546"/>
      <w:bookmarkStart w:id="123" w:name="_Toc20823302"/>
      <w:r>
        <w:rPr>
          <w:rFonts w:hint="eastAsia" w:ascii="宋体" w:hAnsi="宋体" w:eastAsia="宋体" w:cs="宋体"/>
          <w:color w:val="auto"/>
          <w:highlight w:val="none"/>
        </w:rPr>
        <w:t>20、</w:t>
      </w:r>
      <w:bookmarkEnd w:id="121"/>
      <w:bookmarkEnd w:id="122"/>
      <w:bookmarkEnd w:id="123"/>
      <w:r>
        <w:rPr>
          <w:rFonts w:hint="eastAsia" w:ascii="宋体" w:hAnsi="宋体" w:eastAsia="宋体" w:cs="宋体"/>
          <w:color w:val="auto"/>
          <w:highlight w:val="none"/>
        </w:rPr>
        <w:t>响应文件解密</w:t>
      </w:r>
    </w:p>
    <w:p w14:paraId="6B05B669">
      <w:pPr>
        <w:pStyle w:val="9"/>
        <w:spacing w:beforeAutospacing="0" w:afterAutospacing="0"/>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20.1供应商应当按照《操作手册》规定，在苏采云系统规定的时间内对响应文件进行解密。</w:t>
      </w:r>
    </w:p>
    <w:p w14:paraId="5533DA59">
      <w:pPr>
        <w:pStyle w:val="9"/>
        <w:keepNext/>
        <w:keepLines/>
        <w:spacing w:beforeAutospacing="0" w:afterAutospacing="0"/>
        <w:ind w:firstLine="420"/>
        <w:jc w:val="both"/>
        <w:rPr>
          <w:rFonts w:hint="eastAsia" w:ascii="宋体" w:hAnsi="宋体" w:eastAsia="宋体" w:cs="宋体"/>
          <w:color w:val="auto"/>
          <w:highlight w:val="none"/>
        </w:rPr>
      </w:pPr>
      <w:bookmarkStart w:id="124" w:name="_Toc16938547"/>
      <w:bookmarkStart w:id="125" w:name="_Toc20823303"/>
      <w:bookmarkStart w:id="126" w:name="_Toc513029231"/>
      <w:r>
        <w:rPr>
          <w:rFonts w:hint="eastAsia" w:ascii="宋体" w:hAnsi="宋体" w:eastAsia="宋体" w:cs="宋体"/>
          <w:color w:val="auto"/>
          <w:highlight w:val="none"/>
        </w:rPr>
        <w:t>21、单一来源协商小组</w:t>
      </w:r>
      <w:bookmarkEnd w:id="124"/>
      <w:bookmarkEnd w:id="125"/>
      <w:bookmarkEnd w:id="126"/>
    </w:p>
    <w:p w14:paraId="414C5A14">
      <w:pPr>
        <w:pStyle w:val="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w:t>
      </w:r>
      <w:r>
        <w:rPr>
          <w:rFonts w:hint="eastAsia" w:ascii="宋体" w:hAnsi="宋体" w:eastAsia="宋体" w:cs="宋体"/>
          <w:color w:val="auto"/>
          <w:highlight w:val="none"/>
        </w:rPr>
        <w:t>21.1单一来源协商小组（以下简称“协商小组”）由政府采购评审专家、采购人代表组成，且人员构成符合政府采购有关规定。</w:t>
      </w:r>
    </w:p>
    <w:p w14:paraId="292891A0">
      <w:pPr>
        <w:pStyle w:val="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21.2协商小组应当按照客观、公正、审慎的原则评审供应商的响应文件，并与供应商协商采购标的的价格。</w:t>
      </w:r>
    </w:p>
    <w:p w14:paraId="1467713B">
      <w:pPr>
        <w:pStyle w:val="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22、单一来源协商过程的保密与公正</w:t>
      </w:r>
    </w:p>
    <w:p w14:paraId="5F6FB08F">
      <w:pPr>
        <w:pStyle w:val="9"/>
        <w:spacing w:beforeAutospacing="0" w:afterAutospacing="0" w:line="0" w:lineRule="atLeast"/>
        <w:ind w:firstLine="480"/>
        <w:jc w:val="both"/>
        <w:rPr>
          <w:rFonts w:hint="eastAsia" w:ascii="宋体" w:hAnsi="宋体" w:eastAsia="宋体" w:cs="宋体"/>
          <w:color w:val="auto"/>
          <w:highlight w:val="none"/>
        </w:rPr>
      </w:pPr>
      <w:bookmarkStart w:id="127" w:name="_Toc513029232"/>
      <w:bookmarkStart w:id="128" w:name="_Toc20823304"/>
      <w:bookmarkStart w:id="129" w:name="_Toc16938548"/>
      <w:r>
        <w:rPr>
          <w:rFonts w:hint="eastAsia" w:ascii="宋体" w:hAnsi="宋体" w:eastAsia="宋体" w:cs="宋体"/>
          <w:color w:val="auto"/>
          <w:highlight w:val="none"/>
        </w:rPr>
        <w:t>22.1协商小组、采购人和采购代理机构工作人员、相关监督人员等与评审工作有关的人员，对评审、单一来源协商情况以及在评审、单一来源协商过程（以下简称“协商过程”）中获悉的国家秘密、商业秘密负有保密责任。</w:t>
      </w:r>
      <w:bookmarkEnd w:id="127"/>
      <w:bookmarkEnd w:id="128"/>
      <w:bookmarkEnd w:id="129"/>
    </w:p>
    <w:p w14:paraId="5AD54CC4">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22.2在协商过程中，供应商不得以任何行为影响评审及协商过程，否则将会导致其响应文件被拒绝。</w:t>
      </w:r>
    </w:p>
    <w:p w14:paraId="43EEEDD8">
      <w:pPr>
        <w:pStyle w:val="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23、评审及协商过程中的澄清</w:t>
      </w:r>
    </w:p>
    <w:p w14:paraId="40274DDD">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23.1项目评审及协商过程中，协商小组有权要求供应商对响应文件中含义不明确、同类问题表述不一致或者有明显文字和计算错误的内容等作出必要的澄清、说明或者更正。</w:t>
      </w:r>
    </w:p>
    <w:p w14:paraId="3EE2DB52">
      <w:pPr>
        <w:pStyle w:val="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bCs/>
          <w:color w:val="auto"/>
          <w:highlight w:val="none"/>
        </w:rPr>
        <w:t>  </w:t>
      </w:r>
      <w:r>
        <w:rPr>
          <w:rFonts w:hint="eastAsia" w:ascii="宋体" w:hAnsi="宋体" w:eastAsia="宋体" w:cs="宋体"/>
          <w:color w:val="auto"/>
          <w:highlight w:val="none"/>
        </w:rPr>
        <w:t>23.2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004AFEF">
      <w:pPr>
        <w:pStyle w:val="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bCs/>
          <w:color w:val="auto"/>
          <w:highlight w:val="none"/>
        </w:rPr>
        <w:t>  </w:t>
      </w:r>
      <w:r>
        <w:rPr>
          <w:rFonts w:hint="eastAsia" w:ascii="宋体" w:hAnsi="宋体" w:eastAsia="宋体" w:cs="宋体"/>
          <w:color w:val="auto"/>
          <w:highlight w:val="none"/>
        </w:rPr>
        <w:t>23.3 接到协商小组澄清、说明和更正要求的供应商如未按规定作出澄清、说明和 更正，其风险由供应商自行承担。</w:t>
      </w:r>
    </w:p>
    <w:p w14:paraId="6EDE20D0">
      <w:pPr>
        <w:pStyle w:val="9"/>
        <w:keepNext/>
        <w:keepLines/>
        <w:spacing w:beforeAutospacing="0" w:afterAutospacing="0"/>
        <w:ind w:firstLine="420"/>
        <w:jc w:val="both"/>
        <w:rPr>
          <w:rFonts w:hint="eastAsia" w:ascii="宋体" w:hAnsi="宋体" w:eastAsia="宋体" w:cs="宋体"/>
          <w:color w:val="auto"/>
          <w:highlight w:val="none"/>
        </w:rPr>
      </w:pPr>
      <w:bookmarkStart w:id="130" w:name="_Toc20823305"/>
      <w:bookmarkStart w:id="131" w:name="_Toc513029233"/>
      <w:bookmarkStart w:id="132" w:name="_Toc16938549"/>
      <w:r>
        <w:rPr>
          <w:rFonts w:hint="eastAsia" w:ascii="宋体" w:hAnsi="宋体" w:eastAsia="宋体" w:cs="宋体"/>
          <w:color w:val="auto"/>
          <w:highlight w:val="none"/>
        </w:rPr>
        <w:t>24、对响应文件的审</w:t>
      </w:r>
      <w:bookmarkEnd w:id="130"/>
      <w:bookmarkEnd w:id="131"/>
      <w:bookmarkEnd w:id="132"/>
      <w:r>
        <w:rPr>
          <w:rFonts w:hint="eastAsia" w:ascii="宋体" w:hAnsi="宋体" w:eastAsia="宋体" w:cs="宋体"/>
          <w:color w:val="auto"/>
          <w:highlight w:val="none"/>
        </w:rPr>
        <w:t>查</w:t>
      </w:r>
    </w:p>
    <w:p w14:paraId="5A9DC638">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24.1响应文件审查分为资格审查和符合性审查。</w:t>
      </w:r>
    </w:p>
    <w:p w14:paraId="71CA3984">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24.1.1 资格审查：由协商小组依据法律法规和采购文件的规定，对响应文件中的资格证明文件进行审查，以确定供应商是否具备参加单一来源协商的资格。</w:t>
      </w:r>
    </w:p>
    <w:p w14:paraId="760D81B9">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协商小组在进行资格审查的同时，将在“信用中国”网站（www.creditchina.gov.cn）查询供应商的信用记录，以确定供应商是否具备协商资格,查询结果留存并归档。</w:t>
      </w:r>
    </w:p>
    <w:p w14:paraId="7F369150">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B7194AF">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24.1.2 符合性审查：依据采购文件的规定，由协商小组从响应文件的有效性、完整性和对采购文件的响应程度进行审查，以确定是否对采购文件的实质性要求作出响应。</w:t>
      </w:r>
    </w:p>
    <w:p w14:paraId="7F61E9B1">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24.1.3 未通过资格审查或符合性审查的供应商，协商小组将在苏采云系统中告知未通过资格审查或符合性审查的原因，评审结束后，协商小组将不再告知未通过资格审查或符合性审查的原因。</w:t>
      </w:r>
    </w:p>
    <w:p w14:paraId="6A4F2FB2">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24.2在正式进行协商之前，协商小组将首先审查每份响应文件是否实质性响应了采购文件的要求。实质性响应的响应文件应该是与采购文件要求的条款、条件和规格相符，没有重大偏离或保留。</w:t>
      </w:r>
    </w:p>
    <w:p w14:paraId="7AE5BE5D">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p>
    <w:p w14:paraId="5AC4FBE8">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24.3未实质性响应采购文件的情形</w:t>
      </w:r>
    </w:p>
    <w:p w14:paraId="5200D284">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24.3.1供应商在苏采云系统规定的时间内未成功解密电子响应文件的。</w:t>
      </w:r>
    </w:p>
    <w:p w14:paraId="0498E6A0">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24.3.2供应商未按照采购文件要求上传电子响应文件的。</w:t>
      </w:r>
    </w:p>
    <w:p w14:paraId="78D44557">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24.3.3供应商提交两个（含两个）以上不同的响应文件或者最后报价的。</w:t>
      </w:r>
    </w:p>
    <w:p w14:paraId="027503CF">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24.3.4供应商不具备采购文件中规定资格要求的。</w:t>
      </w:r>
    </w:p>
    <w:p w14:paraId="5E1FD093">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24.3.5供应商的最后报价超过了采购预算</w:t>
      </w:r>
      <w:r>
        <w:rPr>
          <w:rFonts w:hint="eastAsia" w:ascii="宋体" w:hAnsi="宋体" w:eastAsia="宋体" w:cs="宋体"/>
          <w:color w:val="auto"/>
          <w:highlight w:val="none"/>
          <w:lang w:val="en-US" w:eastAsia="zh-CN"/>
        </w:rPr>
        <w:t>,或高于最高限价的</w:t>
      </w:r>
      <w:r>
        <w:rPr>
          <w:rFonts w:hint="eastAsia" w:ascii="宋体" w:hAnsi="宋体" w:eastAsia="宋体" w:cs="宋体"/>
          <w:color w:val="auto"/>
          <w:highlight w:val="none"/>
        </w:rPr>
        <w:t>。</w:t>
      </w:r>
    </w:p>
    <w:p w14:paraId="05916FF9">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24.3.6不符合采购文件中规定的实质性要求和条件的</w:t>
      </w:r>
      <w:r>
        <w:rPr>
          <w:rFonts w:hint="eastAsia" w:ascii="宋体" w:hAnsi="宋体" w:eastAsia="宋体" w:cs="宋体"/>
          <w:i/>
          <w:color w:val="auto"/>
          <w:highlight w:val="none"/>
        </w:rPr>
        <w:t>。</w:t>
      </w:r>
    </w:p>
    <w:p w14:paraId="37816266">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9A8ACB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24.3.8响应文件含有采购人不能接受的附加条件的。</w:t>
      </w:r>
    </w:p>
    <w:p w14:paraId="56F68ACC">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24.3.9供应商不能证明其报价合理性的，协商小组应当将其作为无效响应处理。</w:t>
      </w:r>
    </w:p>
    <w:p w14:paraId="4B379571">
      <w:pPr>
        <w:pStyle w:val="9"/>
        <w:spacing w:beforeAutospacing="0" w:afterAutospacing="0" w:line="480" w:lineRule="exact"/>
        <w:ind w:firstLine="48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评审过程中出现下列情形之一的，协商小组应当启动异常低价响应审查程序：</w:t>
      </w:r>
    </w:p>
    <w:p w14:paraId="2E6CE805">
      <w:pPr>
        <w:pStyle w:val="9"/>
        <w:spacing w:beforeAutospacing="0" w:afterAutospacing="0" w:line="0" w:lineRule="atLeast"/>
        <w:ind w:firstLine="48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1.投标（响应）报价低于采购项目最高限价45%的，即投标（响应）报价&lt;采购项目最高限价×45%；</w:t>
      </w:r>
    </w:p>
    <w:p w14:paraId="230DC4BC">
      <w:pPr>
        <w:pStyle w:val="9"/>
        <w:spacing w:beforeAutospacing="0" w:afterAutospacing="0" w:line="0" w:lineRule="atLeast"/>
        <w:ind w:firstLine="48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2评审委员会基于专业判断，认为供应商报价过低，有可能影响产品质量或者不能诚信履约的其他情形。</w:t>
      </w:r>
    </w:p>
    <w:p w14:paraId="62412D9F">
      <w:pPr>
        <w:pStyle w:val="9"/>
        <w:spacing w:beforeAutospacing="0" w:afterAutospacing="0" w:line="0" w:lineRule="atLeast"/>
        <w:ind w:firstLine="48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相关法律法规对供应商报价有规定的，从其规定。</w:t>
      </w:r>
    </w:p>
    <w:p w14:paraId="798017FB">
      <w:pPr>
        <w:pStyle w:val="9"/>
        <w:spacing w:beforeAutospacing="0" w:afterAutospacing="0" w:line="0" w:lineRule="atLeast"/>
        <w:ind w:firstLine="48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p>
    <w:p w14:paraId="4224F59D">
      <w:pPr>
        <w:pStyle w:val="9"/>
        <w:spacing w:beforeAutospacing="0" w:afterAutospacing="0" w:line="0" w:lineRule="atLeast"/>
        <w:ind w:firstLine="48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EF6493">
      <w:pPr>
        <w:pStyle w:val="9"/>
        <w:spacing w:beforeAutospacing="0" w:afterAutospacing="0" w:line="0" w:lineRule="atLeast"/>
        <w:ind w:firstLine="48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0F21B64">
      <w:pPr>
        <w:pStyle w:val="9"/>
        <w:spacing w:beforeAutospacing="0" w:afterAutospacing="0" w:line="0" w:lineRule="atLeast"/>
        <w:ind w:firstLine="48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4311A9D0">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24.3.10响应文件未按照采购文件要求加盖CA电子公章的</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共保体除外，</w:t>
      </w:r>
      <w:r>
        <w:rPr>
          <w:rFonts w:hint="eastAsia" w:ascii="宋体" w:hAnsi="宋体" w:eastAsia="宋体" w:cs="宋体"/>
          <w:b/>
          <w:bCs/>
          <w:color w:val="auto"/>
          <w:highlight w:val="none"/>
          <w:lang w:val="en-US" w:eastAsia="zh-CN"/>
        </w:rPr>
        <w:t>共保人的投标文件打印盖章后彩色扫描成PDF形式上传主承保人投标文件中</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17AC6C47">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24.4未实质性响应采购文件的响应文件按无效响应处理。</w:t>
      </w:r>
    </w:p>
    <w:p w14:paraId="4CC29FDB">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24.5如果响应文件实质上没有响应采购文件的要求，协商小组将予以拒绝。</w:t>
      </w:r>
    </w:p>
    <w:p w14:paraId="617B7A03">
      <w:pPr>
        <w:pStyle w:val="9"/>
        <w:spacing w:beforeAutospacing="0" w:afterAutospacing="0" w:line="0" w:lineRule="atLeast"/>
        <w:ind w:firstLine="480"/>
        <w:jc w:val="both"/>
        <w:rPr>
          <w:rFonts w:hint="eastAsia" w:ascii="宋体" w:hAnsi="宋体" w:eastAsia="宋体" w:cs="宋体"/>
          <w:color w:val="auto"/>
          <w:highlight w:val="none"/>
        </w:rPr>
      </w:pPr>
      <w:bookmarkStart w:id="133" w:name="_Toc513029234"/>
      <w:bookmarkStart w:id="134" w:name="_Toc20823306"/>
      <w:bookmarkStart w:id="135" w:name="_Toc16938550"/>
      <w:r>
        <w:rPr>
          <w:rFonts w:hint="eastAsia" w:ascii="宋体" w:hAnsi="宋体" w:eastAsia="宋体" w:cs="宋体"/>
          <w:color w:val="auto"/>
          <w:highlight w:val="none"/>
        </w:rPr>
        <w:t>24.6供应商在项目评审及协商全过程中应保持通信畅通，并安排专人与采购代理机构及协商小组联系。</w:t>
      </w:r>
      <w:bookmarkEnd w:id="133"/>
      <w:bookmarkEnd w:id="134"/>
      <w:bookmarkEnd w:id="135"/>
    </w:p>
    <w:p w14:paraId="08C1BDCB">
      <w:pPr>
        <w:pStyle w:val="9"/>
        <w:spacing w:beforeAutospacing="0" w:afterAutospacing="0" w:line="0" w:lineRule="atLeast"/>
        <w:ind w:firstLine="480"/>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24.7共保人投标文件未单独编制上传至主保人投标文件中，或不符合采购文件要求的。</w:t>
      </w:r>
    </w:p>
    <w:p w14:paraId="4812FFFB">
      <w:pPr>
        <w:pStyle w:val="9"/>
        <w:spacing w:beforeAutospacing="0" w:afterAutospacing="0" w:line="0" w:lineRule="atLeast"/>
        <w:ind w:firstLine="480"/>
        <w:jc w:val="both"/>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24.8如因法定代表人正处于变更过程中，新任法定代表人尚未确定等特殊原因，投标人需出具情况说明，加盖投标单位公章并由总经理签字或盖章。则法定代表人身份证正反面扫描件不需提供，投标文件由总经理签字替代法定代表人签字。</w:t>
      </w:r>
    </w:p>
    <w:p w14:paraId="59049CAE">
      <w:pPr>
        <w:pStyle w:val="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25、单一来源协商及成交原则</w:t>
      </w:r>
    </w:p>
    <w:p w14:paraId="20FBA604">
      <w:pPr>
        <w:pStyle w:val="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25.1单一来源协商</w:t>
      </w:r>
    </w:p>
    <w:p w14:paraId="711CA30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25.1.1 对于通过资格审查和符合性审查的供应商，协商小组将通过苏采云系统与其就采购标的的价格、服务等内容进行单一来源协商。</w:t>
      </w:r>
    </w:p>
    <w:p w14:paraId="72A6E02A">
      <w:pPr>
        <w:pStyle w:val="9"/>
        <w:spacing w:beforeAutospacing="0" w:afterAutospacing="0" w:line="0" w:lineRule="atLeast"/>
        <w:ind w:firstLine="478"/>
        <w:jc w:val="both"/>
        <w:rPr>
          <w:rFonts w:hint="eastAsia" w:ascii="宋体" w:hAnsi="宋体" w:eastAsia="宋体" w:cs="宋体"/>
          <w:color w:val="auto"/>
          <w:highlight w:val="none"/>
        </w:rPr>
      </w:pPr>
      <w:r>
        <w:rPr>
          <w:rFonts w:hint="eastAsia" w:ascii="宋体" w:hAnsi="宋体" w:eastAsia="宋体" w:cs="宋体"/>
          <w:color w:val="auto"/>
          <w:highlight w:val="none"/>
        </w:rPr>
        <w:t>25.1.2供应商应当在苏采云系统中以书面形式对协商过程中做出的承诺与澄清进行确认，并在协商小组规定的时间内完成最后报价。</w:t>
      </w:r>
    </w:p>
    <w:p w14:paraId="06F29416">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25.1.3 供应商的最后报价在响应产品数量没有增加，配置、服务没有重大提高的情况下，一般不允许高于第一次报价（即单一来源协商开标一览表中的报价）。否则，协商小组有权拒绝该最后报价并不再给予报价补救机会。</w:t>
      </w:r>
    </w:p>
    <w:p w14:paraId="2327C7F7">
      <w:pPr>
        <w:pStyle w:val="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25.2成交原则</w:t>
      </w:r>
    </w:p>
    <w:p w14:paraId="482F1C82">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协商小组根据政府采购相关法律、规章的规定，在供应商的响应情况能保证采购项目质量且最后报价合理的基础上确定其为成交供应商。</w:t>
      </w:r>
    </w:p>
    <w:p w14:paraId="52656F88">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25.3单一来源协商终止情形处理</w:t>
      </w:r>
    </w:p>
    <w:p w14:paraId="1874991D">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出现下列情形之一的，采购代理机构将终止采购活动，发布项目终止公告并说明原因，重新开展采购活动：</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25.3.1 因情况变化，不再符合规定的单一来源采购方式适用情形的；</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25.3.2 出现影响采购公正的违法、违规行为的；</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25.3.3供应商最后报价超过采购预算</w:t>
      </w:r>
      <w:r>
        <w:rPr>
          <w:rFonts w:hint="eastAsia" w:ascii="宋体" w:hAnsi="宋体" w:eastAsia="宋体" w:cs="宋体"/>
          <w:color w:val="auto"/>
          <w:highlight w:val="none"/>
          <w:lang w:val="en-US" w:eastAsia="zh-CN"/>
        </w:rPr>
        <w:t>,或高于最高限价的</w:t>
      </w:r>
      <w:r>
        <w:rPr>
          <w:rFonts w:hint="eastAsia" w:ascii="宋体" w:hAnsi="宋体" w:eastAsia="宋体" w:cs="宋体"/>
          <w:color w:val="auto"/>
          <w:highlight w:val="none"/>
        </w:rPr>
        <w:t>；</w:t>
      </w:r>
    </w:p>
    <w:p w14:paraId="4C22A5CE">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25.3.4供应商的技术方案、服务承诺、商务条款等不能满足采购人或协商小组的要求；</w:t>
      </w:r>
    </w:p>
    <w:p w14:paraId="683FB97C">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25.3.5 法律、法规、规章规定的其他应当终止的情形。</w:t>
      </w:r>
    </w:p>
    <w:p w14:paraId="6FBBA83B">
      <w:pPr>
        <w:pStyle w:val="9"/>
        <w:keepNext/>
        <w:keepLines/>
        <w:spacing w:before="145" w:beforeAutospacing="0" w:after="145"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六、成交</w:t>
      </w:r>
    </w:p>
    <w:p w14:paraId="0D31C5A4">
      <w:pPr>
        <w:pStyle w:val="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26、确定成交供应商</w:t>
      </w:r>
    </w:p>
    <w:p w14:paraId="4977CEC3">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26.1协商小组根据协商情况编写单一来源评审报告，推荐成交候选供应商。</w:t>
      </w:r>
    </w:p>
    <w:p w14:paraId="1443F2CC">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 采购人根据协商小组推荐的成交候选供应商确定成交供应商。</w:t>
      </w:r>
    </w:p>
    <w:p w14:paraId="0DC63B6D">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 若有充分证据证明，成交供应商出现下列情况之一的，一经查实，将被取消成交资格：</w:t>
      </w:r>
    </w:p>
    <w:p w14:paraId="08E28ABC">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26.3.1提供虚假材料谋取成交的。</w:t>
      </w:r>
    </w:p>
    <w:p w14:paraId="75F1025E">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26.3.2与评审专家、采购人、其他供应商或者采购代理机构工作人员恶意串通的。</w:t>
      </w:r>
    </w:p>
    <w:p w14:paraId="39F4D991">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26.3.3向评审专家、采购人或采购代理机构工作人员行贿或者提供其他不正当利益的。</w:t>
      </w:r>
    </w:p>
    <w:p w14:paraId="014B6E9D">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26.3.4恶意竞争，最后报价明显低于其自身合理成本且又无法提供证明的。</w:t>
      </w:r>
    </w:p>
    <w:p w14:paraId="45DF35D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26.3.5不满足本采购文件规定的实质性要求，但在评审过程中又未被协商小组发现的。</w:t>
      </w:r>
    </w:p>
    <w:p w14:paraId="1F20FA1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26.3.6成交后无正当理由拒不与采购人签订政府采购合同或者未按照采购文件确定的事项签订政府采购合同的。</w:t>
      </w:r>
    </w:p>
    <w:p w14:paraId="4F26C46E">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26.3.7将政府采购合同转包的。</w:t>
      </w:r>
    </w:p>
    <w:p w14:paraId="1D4A90C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成交供应商被取消成交资格后，采购人或代理机构有权重新组织采购。</w:t>
      </w:r>
    </w:p>
    <w:p w14:paraId="50A0A31E">
      <w:pPr>
        <w:pStyle w:val="9"/>
        <w:keepNext/>
        <w:keepLines/>
        <w:spacing w:beforeAutospacing="0" w:afterAutospacing="0"/>
        <w:ind w:firstLine="600"/>
        <w:jc w:val="both"/>
        <w:rPr>
          <w:rFonts w:hint="eastAsia" w:ascii="宋体" w:hAnsi="宋体" w:eastAsia="宋体" w:cs="宋体"/>
          <w:color w:val="auto"/>
          <w:highlight w:val="none"/>
        </w:rPr>
      </w:pPr>
      <w:bookmarkStart w:id="136" w:name="_Toc200451960"/>
      <w:r>
        <w:rPr>
          <w:rFonts w:hint="eastAsia" w:ascii="宋体" w:hAnsi="宋体" w:eastAsia="宋体" w:cs="宋体"/>
          <w:color w:val="auto"/>
          <w:highlight w:val="none"/>
        </w:rPr>
        <w:t>27、质疑处理</w:t>
      </w:r>
      <w:bookmarkEnd w:id="136"/>
    </w:p>
    <w:p w14:paraId="3D9E8FAA">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27.1供应商认为采购过程和采购结果使自己的权益受到损害的，可以从采购结果公布之日起七个工作日内，以书面形式向采购人提出质疑。</w:t>
      </w:r>
    </w:p>
    <w:p w14:paraId="06FA3777">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27.2 供应商应当在法定质疑期内一次性提出针对同一采购程序环节的质疑。供应商如在法定期限内对同一采购程序环节提出多次质疑的，采购代理机构、采购人将只对供应商第一次质疑作出答复。</w:t>
      </w:r>
    </w:p>
    <w:p w14:paraId="482E8761">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27.3质疑函必须按照本采购文件中《质疑函范本》要求的格式和内容进行填写。供应商如组成联合体参加协商，则《质疑函范本》中要求签字、盖章、加盖公章之处，联合体各方均须按要求签字、盖章、加盖公章。</w:t>
      </w:r>
    </w:p>
    <w:p w14:paraId="3C0C6217">
      <w:pPr>
        <w:tabs>
          <w:tab w:val="left" w:pos="1331"/>
        </w:tabs>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27.4 采购</w:t>
      </w:r>
      <w:r>
        <w:rPr>
          <w:rFonts w:hint="eastAsia" w:ascii="宋体" w:hAnsi="宋体" w:eastAsia="宋体" w:cs="宋体"/>
          <w:color w:val="auto"/>
          <w:sz w:val="24"/>
          <w:highlight w:val="none"/>
        </w:rPr>
        <w:t>代理机构</w:t>
      </w:r>
      <w:r>
        <w:rPr>
          <w:rFonts w:hint="eastAsia" w:ascii="宋体" w:hAnsi="宋体" w:eastAsia="宋体" w:cs="宋体"/>
          <w:color w:val="auto"/>
          <w:kern w:val="0"/>
          <w:sz w:val="24"/>
          <w:highlight w:val="none"/>
        </w:rPr>
        <w:t>只接收以纸质原件形式送达的质疑,采购人和采购</w:t>
      </w:r>
      <w:r>
        <w:rPr>
          <w:rFonts w:hint="eastAsia" w:ascii="宋体" w:hAnsi="宋体" w:eastAsia="宋体" w:cs="宋体"/>
          <w:color w:val="auto"/>
          <w:sz w:val="24"/>
          <w:highlight w:val="none"/>
        </w:rPr>
        <w:t>代理机构</w:t>
      </w:r>
      <w:r>
        <w:rPr>
          <w:rFonts w:hint="eastAsia" w:ascii="宋体" w:hAnsi="宋体" w:eastAsia="宋体" w:cs="宋体"/>
          <w:color w:val="auto"/>
          <w:kern w:val="0"/>
          <w:sz w:val="24"/>
          <w:highlight w:val="none"/>
        </w:rPr>
        <w:t>不接受未填写快递运单的快件。质疑接收部门为</w:t>
      </w:r>
      <w:r>
        <w:rPr>
          <w:rFonts w:hint="eastAsia" w:ascii="宋体" w:hAnsi="宋体" w:eastAsia="宋体" w:cs="宋体"/>
          <w:color w:val="auto"/>
          <w:sz w:val="24"/>
          <w:highlight w:val="none"/>
        </w:rPr>
        <w:t>东台市医疗保险基金管理中心</w:t>
      </w:r>
      <w:r>
        <w:rPr>
          <w:rFonts w:hint="eastAsia" w:ascii="宋体" w:hAnsi="宋体" w:eastAsia="宋体" w:cs="宋体"/>
          <w:color w:val="auto"/>
          <w:kern w:val="0"/>
          <w:sz w:val="24"/>
          <w:highlight w:val="none"/>
        </w:rPr>
        <w:t>，联系地址：</w:t>
      </w:r>
      <w:r>
        <w:rPr>
          <w:rFonts w:hint="eastAsia" w:ascii="宋体" w:hAnsi="宋体" w:eastAsia="宋体" w:cs="宋体"/>
          <w:color w:val="auto"/>
          <w:sz w:val="24"/>
          <w:highlight w:val="none"/>
        </w:rPr>
        <w:t>东台市北海西路8号</w:t>
      </w:r>
      <w:r>
        <w:rPr>
          <w:rFonts w:hint="eastAsia" w:ascii="宋体" w:hAnsi="宋体" w:eastAsia="宋体" w:cs="宋体"/>
          <w:color w:val="auto"/>
          <w:kern w:val="0"/>
          <w:sz w:val="24"/>
          <w:highlight w:val="none"/>
        </w:rPr>
        <w:t>，联系电话：</w:t>
      </w:r>
      <w:r>
        <w:rPr>
          <w:rFonts w:hint="eastAsia" w:ascii="宋体" w:hAnsi="宋体" w:eastAsia="宋体" w:cs="宋体"/>
          <w:color w:val="auto"/>
          <w:sz w:val="24"/>
          <w:highlight w:val="none"/>
        </w:rPr>
        <w:t>19952940416</w:t>
      </w:r>
      <w:r>
        <w:rPr>
          <w:rFonts w:hint="eastAsia" w:ascii="宋体" w:hAnsi="宋体" w:eastAsia="宋体" w:cs="宋体"/>
          <w:color w:val="auto"/>
          <w:kern w:val="0"/>
          <w:sz w:val="24"/>
          <w:highlight w:val="none"/>
        </w:rPr>
        <w:t>。</w:t>
      </w:r>
    </w:p>
    <w:p w14:paraId="421BDBA1">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 以下情形的质疑不予受理</w:t>
      </w:r>
    </w:p>
    <w:p w14:paraId="41C59012">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27.5.1 内容不符合《政府采购质疑和投诉办法》第十二条规定的质疑。</w:t>
      </w:r>
    </w:p>
    <w:p w14:paraId="5334E18C">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27.5.2 超出政府采购法定期限的质疑。</w:t>
      </w:r>
    </w:p>
    <w:p w14:paraId="2EBD9DFD">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27.5.3 以传真、电子邮件等方式递交的非原件形式的质疑。</w:t>
      </w:r>
    </w:p>
    <w:p w14:paraId="3B62BC7E">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27.5.4未参加单一来源采购活动的供应商所提出的质疑。</w:t>
      </w:r>
    </w:p>
    <w:p w14:paraId="55E5EF7C">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27.5.5供应商组成联合体参加协商，联合体中任何一方或多方未按要求签字、盖章、加盖公章的质疑。</w:t>
      </w:r>
    </w:p>
    <w:p w14:paraId="71214D59">
      <w:pPr>
        <w:pStyle w:val="9"/>
        <w:spacing w:beforeAutospacing="0" w:afterAutospacing="0" w:line="0" w:lineRule="atLeast"/>
        <w:ind w:firstLine="468"/>
        <w:jc w:val="both"/>
        <w:rPr>
          <w:rFonts w:hint="eastAsia" w:ascii="宋体" w:hAnsi="宋体" w:eastAsia="宋体" w:cs="宋体"/>
          <w:color w:val="auto"/>
          <w:highlight w:val="none"/>
        </w:rPr>
      </w:pPr>
      <w:r>
        <w:rPr>
          <w:rFonts w:hint="eastAsia" w:ascii="宋体" w:hAnsi="宋体" w:eastAsia="宋体" w:cs="宋体"/>
          <w:color w:val="auto"/>
          <w:highlight w:val="none"/>
        </w:rPr>
        <w:t>27.6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5A13F5A">
      <w:pPr>
        <w:pStyle w:val="9"/>
        <w:keepNext/>
        <w:keepLines/>
        <w:spacing w:beforeAutospacing="0" w:afterAutospacing="0"/>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28、成交通知书</w:t>
      </w:r>
    </w:p>
    <w:p w14:paraId="36082874">
      <w:pPr>
        <w:pStyle w:val="9"/>
        <w:spacing w:beforeAutospacing="0" w:afterAutospacing="0" w:line="0" w:lineRule="atLeast"/>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28.1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204ABED">
      <w:pPr>
        <w:pStyle w:val="9"/>
        <w:spacing w:beforeAutospacing="0" w:afterAutospacing="0" w:line="0" w:lineRule="atLeast"/>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28.2成交通知书将是合同的一个组成部分。对采购人和成交供应商均具有法律效力。成交通知书发出后，采购人改变成交结果的，或者成交供应商放弃成交项目的，应当依法承担法律责任。</w:t>
      </w:r>
    </w:p>
    <w:p w14:paraId="38448F5F">
      <w:pPr>
        <w:pStyle w:val="9"/>
        <w:keepNext/>
        <w:keepLines/>
        <w:spacing w:before="145" w:beforeAutospacing="0" w:after="145" w:afterAutospacing="0" w:line="360" w:lineRule="auto"/>
        <w:jc w:val="both"/>
        <w:rPr>
          <w:rFonts w:hint="eastAsia" w:ascii="宋体" w:hAnsi="宋体" w:eastAsia="宋体" w:cs="宋体"/>
          <w:color w:val="auto"/>
          <w:highlight w:val="none"/>
        </w:rPr>
      </w:pPr>
      <w:bookmarkStart w:id="137" w:name="_Toc20823308"/>
      <w:bookmarkStart w:id="138" w:name="_Toc513029236"/>
      <w:bookmarkStart w:id="139" w:name="_Toc16938552"/>
      <w:bookmarkStart w:id="140" w:name="_Toc120614220"/>
      <w:r>
        <w:rPr>
          <w:rFonts w:hint="eastAsia" w:ascii="宋体" w:hAnsi="宋体" w:eastAsia="宋体" w:cs="宋体"/>
          <w:b/>
          <w:color w:val="auto"/>
          <w:highlight w:val="none"/>
        </w:rPr>
        <w:t>七、授予合同</w:t>
      </w:r>
      <w:bookmarkEnd w:id="137"/>
      <w:bookmarkEnd w:id="138"/>
      <w:bookmarkEnd w:id="139"/>
      <w:bookmarkEnd w:id="140"/>
    </w:p>
    <w:p w14:paraId="393CF51F">
      <w:pPr>
        <w:pStyle w:val="9"/>
        <w:keepNext/>
        <w:keepLines/>
        <w:spacing w:beforeAutospacing="0" w:afterAutospacing="0"/>
        <w:ind w:firstLine="600"/>
        <w:jc w:val="both"/>
        <w:rPr>
          <w:rFonts w:hint="eastAsia" w:ascii="宋体" w:hAnsi="宋体" w:eastAsia="宋体" w:cs="宋体"/>
          <w:color w:val="auto"/>
          <w:highlight w:val="none"/>
        </w:rPr>
      </w:pPr>
      <w:bookmarkStart w:id="141" w:name="_Toc20823309"/>
      <w:bookmarkStart w:id="142" w:name="_Toc16938553"/>
      <w:bookmarkStart w:id="143" w:name="_Toc513029237"/>
      <w:r>
        <w:rPr>
          <w:rFonts w:hint="eastAsia" w:ascii="宋体" w:hAnsi="宋体" w:eastAsia="宋体" w:cs="宋体"/>
          <w:color w:val="auto"/>
          <w:highlight w:val="none"/>
        </w:rPr>
        <w:t>29. 签订合同</w:t>
      </w:r>
      <w:bookmarkEnd w:id="141"/>
      <w:bookmarkEnd w:id="142"/>
      <w:bookmarkEnd w:id="143"/>
    </w:p>
    <w:p w14:paraId="72947648">
      <w:pPr>
        <w:pStyle w:val="9"/>
        <w:spacing w:beforeAutospacing="0" w:afterAutospacing="0" w:line="0" w:lineRule="atLeast"/>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29.l成交供应商应当在成交通知书发出之日起三十日内，按照采购文件确定的事项与采购人签订政府采购合同。</w:t>
      </w:r>
    </w:p>
    <w:p w14:paraId="448AA80F">
      <w:pPr>
        <w:pStyle w:val="9"/>
        <w:spacing w:beforeAutospacing="0" w:afterAutospacing="0" w:line="0" w:lineRule="atLeast"/>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29.2采购文件、成交供应商的响应文件及协商过程中有关澄清、承诺文件均应作为合同附件。</w:t>
      </w:r>
    </w:p>
    <w:p w14:paraId="165E23B0">
      <w:pPr>
        <w:pStyle w:val="9"/>
        <w:spacing w:beforeAutospacing="0" w:afterAutospacing="0" w:line="0" w:lineRule="atLeast"/>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29.3 签订合同后，</w:t>
      </w:r>
      <w:r>
        <w:rPr>
          <w:rFonts w:hint="eastAsia" w:ascii="宋体" w:hAnsi="宋体" w:eastAsia="宋体" w:cs="宋体"/>
          <w:i/>
          <w:color w:val="auto"/>
          <w:highlight w:val="none"/>
          <w:u w:val="single"/>
        </w:rPr>
        <w:t>成交供应商不得将合同标的进行转包</w:t>
      </w:r>
      <w:r>
        <w:rPr>
          <w:rFonts w:hint="eastAsia" w:ascii="宋体" w:hAnsi="宋体" w:eastAsia="宋体" w:cs="宋体"/>
          <w:color w:val="auto"/>
          <w:highlight w:val="none"/>
        </w:rPr>
        <w:t>。未经采购人同意，成交供应商也不得采用分包形式履行合同,否则采购人有权终止合同。转包或分包造成采购人损失的，成交供应商应承担相应赔偿责任。</w:t>
      </w:r>
    </w:p>
    <w:p w14:paraId="348BE16B">
      <w:pPr>
        <w:pStyle w:val="9"/>
        <w:keepNext/>
        <w:keepLines/>
        <w:spacing w:beforeAutospacing="0" w:afterAutospacing="0"/>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30、标的物的追加</w:t>
      </w:r>
    </w:p>
    <w:p w14:paraId="75538E79">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18DB889">
      <w:pPr>
        <w:pStyle w:val="9"/>
        <w:spacing w:beforeAutospacing="0" w:afterAutospacing="0"/>
        <w:ind w:left="474"/>
        <w:jc w:val="both"/>
        <w:rPr>
          <w:rFonts w:hint="eastAsia" w:ascii="宋体" w:hAnsi="宋体" w:eastAsia="宋体" w:cs="宋体"/>
          <w:color w:val="auto"/>
          <w:highlight w:val="none"/>
        </w:rPr>
      </w:pPr>
      <w:r>
        <w:rPr>
          <w:rFonts w:hint="eastAsia" w:ascii="宋体" w:hAnsi="宋体" w:eastAsia="宋体" w:cs="宋体"/>
          <w:color w:val="auto"/>
          <w:highlight w:val="none"/>
        </w:rPr>
        <w:t>31.政府采购政策功能落实</w:t>
      </w:r>
    </w:p>
    <w:p w14:paraId="54ED2DEB">
      <w:pPr>
        <w:pStyle w:val="9"/>
        <w:keepNext/>
        <w:keepLines/>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31.1政府采购线上合同信用融资政策</w:t>
      </w:r>
    </w:p>
    <w:p w14:paraId="2A077B8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C1A6D69">
      <w:pPr>
        <w:tabs>
          <w:tab w:val="left" w:pos="1381"/>
        </w:tabs>
        <w:spacing w:line="480" w:lineRule="exact"/>
        <w:ind w:firstLine="48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31.2进口产品</w:t>
      </w:r>
    </w:p>
    <w:p w14:paraId="1CE45C0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FAADD7E">
      <w:pPr>
        <w:tabs>
          <w:tab w:val="left" w:pos="1381"/>
        </w:tabs>
        <w:spacing w:line="480" w:lineRule="exact"/>
        <w:ind w:firstLine="48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31.3中小企业、监狱企业及残疾人福利性单位</w:t>
      </w:r>
    </w:p>
    <w:p w14:paraId="5900150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31.3.1中小企业定义：</w:t>
      </w:r>
    </w:p>
    <w:p w14:paraId="73335088">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2A56AF1">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31.3.2供应商提供的货物、工程或者服务符合下列情形的，享受中小企业扶持政策：</w:t>
      </w:r>
    </w:p>
    <w:p w14:paraId="6F046B00">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31.3.2.1在货物采购项目中，货物由中小企业制造，即货物由中小企业生产且使用该中小企业商号或者注册商标；</w:t>
      </w:r>
    </w:p>
    <w:p w14:paraId="1789DBD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31.3.2.2在工程采购项目中，工程由中小企业承建，即工程施工单位为中小企业；</w:t>
      </w:r>
    </w:p>
    <w:p w14:paraId="1EC34589">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31.3.2.3在服务采购项目中，服务由中小企业承接，即提供服务的人员为中小企业依照《中华人民共和国劳动合同法》订立劳动合同的从业人员。</w:t>
      </w:r>
    </w:p>
    <w:p w14:paraId="444F535D">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31.3.3在货物采购项目中，供应商提供的货物既有中小企业制造货物，也有大型企业制造货物的，不享受中小企业扶持政策。</w:t>
      </w:r>
    </w:p>
    <w:p w14:paraId="323DF246">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31.3.4以联合体形式参加政府采购活动，联合体各方均为中小企业的，联合体视同中小企业。其中，联合体各方均为小微企业的，联合体视同小微企业。</w:t>
      </w:r>
    </w:p>
    <w:p w14:paraId="0D8438F4">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89B418">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31.3.6残疾人福利单位定义：享受政府采购支持政策的残疾人福利性单位应当同时满足以下条件：</w:t>
      </w:r>
    </w:p>
    <w:p w14:paraId="51CED32F">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31.3.6.1安置的残疾人占本单位在职职工人数的比例不低于25%（含25%），并且安置的残疾人人数不少于10 人（含10 人）；</w:t>
      </w:r>
    </w:p>
    <w:p w14:paraId="0688A372">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31.3.6.2依法与安置的每位残疾人签订了一年以上（含一年）的劳动合同或服务协议；</w:t>
      </w:r>
    </w:p>
    <w:p w14:paraId="42F2F912">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31.3.6.3为安置的每位残疾人按月足额缴纳了基本养老保险、基本医疗保险、失业保险、工伤保险和生育保险等社会保险费；</w:t>
      </w:r>
    </w:p>
    <w:p w14:paraId="7E4A0B44">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31.3.6.4通过银行等金融机构向安置的每位残疾人，按月支付了不低于单位所在区县适用的经省级人民政府批准的月最低工资标准的工资；</w:t>
      </w:r>
    </w:p>
    <w:p w14:paraId="799F26D6">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31.3.6.5提供本单位制造的货物、承担的工程或者服务（以下简称产品），或者提供其他残疾人福利性单位制造的货物（不包括使用非残疾人福利性单位注册商标的货物）；</w:t>
      </w:r>
    </w:p>
    <w:p w14:paraId="69A1D8C0">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1052515">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31.3.7本项目是否专门面向中小企业预留采购份额见第一章《单一来源采购邀请》。</w:t>
      </w:r>
    </w:p>
    <w:p w14:paraId="3D6C3640">
      <w:pPr>
        <w:pStyle w:val="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31.3.8采购标的对应的中小企业划分标准所属行业见第四章《采购需求》。</w:t>
      </w:r>
    </w:p>
    <w:p w14:paraId="7B6A01C0">
      <w:pPr>
        <w:tabs>
          <w:tab w:val="left" w:pos="1381"/>
        </w:tabs>
        <w:spacing w:line="480" w:lineRule="exact"/>
        <w:ind w:firstLine="48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31.4政府采购节能产品、环境标志产品</w:t>
      </w:r>
    </w:p>
    <w:p w14:paraId="2CD21983">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31.4.1</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13298CAF">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31.4.2</w:t>
      </w:r>
      <w:r>
        <w:rPr>
          <w:rFonts w:hint="eastAsia" w:ascii="宋体" w:hAnsi="宋体" w:eastAsia="宋体" w:cs="宋体"/>
          <w:color w:val="auto"/>
          <w:kern w:val="0"/>
          <w:sz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C06E41A">
      <w:pPr>
        <w:tabs>
          <w:tab w:val="left" w:pos="1381"/>
        </w:tabs>
        <w:spacing w:line="480" w:lineRule="exact"/>
        <w:ind w:firstLine="48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31.5绿色包装</w:t>
      </w:r>
    </w:p>
    <w:p w14:paraId="6F697AB5">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C95539C">
      <w:pPr>
        <w:tabs>
          <w:tab w:val="left" w:pos="1381"/>
        </w:tabs>
        <w:spacing w:line="480" w:lineRule="exact"/>
        <w:ind w:firstLine="48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31.6政府采购创新产品</w:t>
      </w:r>
    </w:p>
    <w:p w14:paraId="47B56A34">
      <w:pPr>
        <w:pBdr>
          <w:top w:val="none" w:color="000000" w:sz="0" w:space="0"/>
          <w:left w:val="none" w:color="000000" w:sz="0" w:space="0"/>
          <w:bottom w:val="none" w:color="000000" w:sz="0" w:space="0"/>
          <w:right w:val="none" w:color="000000" w:sz="0" w:space="0"/>
        </w:pBdr>
        <w:spacing w:line="85" w:lineRule="atLeast"/>
        <w:ind w:firstLine="478"/>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采购人优先采购各级政府部门公开发布的有效期内的创新产品、创新服务、首台套、首购首用等《目录》的创新产品</w:t>
      </w:r>
      <w:r>
        <w:rPr>
          <w:rFonts w:hint="eastAsia" w:ascii="宋体" w:hAnsi="宋体" w:eastAsia="宋体" w:cs="宋体"/>
          <w:color w:val="auto"/>
          <w:sz w:val="24"/>
          <w:highlight w:val="none"/>
        </w:rPr>
        <w:t>。</w:t>
      </w:r>
    </w:p>
    <w:p w14:paraId="15B82143">
      <w:pPr>
        <w:tabs>
          <w:tab w:val="left" w:pos="1381"/>
        </w:tabs>
        <w:spacing w:line="480" w:lineRule="exact"/>
        <w:ind w:firstLine="48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31.7绿色数据中心政策 </w:t>
      </w:r>
    </w:p>
    <w:p w14:paraId="53E0CF0C">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273D2AD">
      <w:pPr>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31.8实施本国产品标准及相关政策</w:t>
      </w:r>
    </w:p>
    <w:p w14:paraId="60663673">
      <w:pPr>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1.本项目对采购本国产品给予政策支持</w:t>
      </w:r>
    </w:p>
    <w:p w14:paraId="4C43C081">
      <w:pPr>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E3CEFD3">
      <w:pPr>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2C95F1F">
      <w:pPr>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6253108F">
      <w:pPr>
        <w:ind w:firstLine="480" w:firstLineChars="200"/>
        <w:rPr>
          <w:rFonts w:hint="eastAsia" w:ascii="宋体" w:hAnsi="宋体" w:eastAsia="宋体" w:cs="宋体"/>
          <w:color w:val="auto"/>
          <w:kern w:val="0"/>
          <w:sz w:val="24"/>
          <w:highlight w:val="none"/>
        </w:rPr>
      </w:pPr>
    </w:p>
    <w:p w14:paraId="27AF3829">
      <w:pPr>
        <w:tabs>
          <w:tab w:val="left" w:pos="1381"/>
        </w:tabs>
        <w:spacing w:line="480" w:lineRule="exact"/>
        <w:ind w:firstLine="48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31.9履约保证金政策</w:t>
      </w:r>
    </w:p>
    <w:p w14:paraId="080A3A31">
      <w:pPr>
        <w:pStyle w:val="16"/>
        <w:spacing w:after="0" w:line="520" w:lineRule="exact"/>
        <w:ind w:left="0" w:firstLine="5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确需收取履约保证金的，履约保证金的缴纳形式：</w:t>
      </w:r>
    </w:p>
    <w:p w14:paraId="0B670D3F">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B73DA25">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如以履约保函（保险）形式缴纳履约保证金，供应商可通过政府采购电子履约保函（保险）平台（www.jsdzbh.com）在线申请履约保函（保险）。</w:t>
      </w:r>
    </w:p>
    <w:p w14:paraId="76847004">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51CA3A98">
      <w:pPr>
        <w:tabs>
          <w:tab w:val="left" w:pos="1381"/>
        </w:tabs>
        <w:spacing w:line="480" w:lineRule="exact"/>
        <w:ind w:firstLine="482"/>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 预付款制度</w:t>
      </w:r>
    </w:p>
    <w:p w14:paraId="5636BDD9">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本项目落实预付款制度，预付款比例为_</w:t>
      </w:r>
      <w:r>
        <w:rPr>
          <w:rFonts w:hint="eastAsia" w:ascii="宋体" w:hAnsi="宋体" w:eastAsia="宋体" w:cs="宋体"/>
          <w:color w:val="auto"/>
          <w:kern w:val="0"/>
          <w:sz w:val="24"/>
          <w:highlight w:val="none"/>
          <w:u w:val="single"/>
        </w:rPr>
        <w:t>30</w:t>
      </w:r>
      <w:r>
        <w:rPr>
          <w:rFonts w:hint="eastAsia" w:ascii="宋体" w:hAnsi="宋体" w:eastAsia="宋体" w:cs="宋体"/>
          <w:color w:val="auto"/>
          <w:kern w:val="0"/>
          <w:sz w:val="24"/>
          <w:highlight w:val="none"/>
        </w:rPr>
        <w:t>_%（原则上不低于合同金额的30%）。在签订合同时，中标、成交供应商明确书面表示无需预付款或者主动要求降低预付款比例的，采购人可就预付款比例作相应调整。</w:t>
      </w:r>
    </w:p>
    <w:p w14:paraId="0D1E0580">
      <w:pPr>
        <w:pStyle w:val="16"/>
        <w:spacing w:after="0" w:line="520" w:lineRule="exact"/>
        <w:ind w:left="0" w:firstLine="560"/>
        <w:rPr>
          <w:rFonts w:hint="eastAsia" w:ascii="宋体" w:hAnsi="宋体" w:eastAsia="宋体" w:cs="宋体"/>
          <w:color w:val="auto"/>
          <w:kern w:val="0"/>
          <w:sz w:val="24"/>
          <w:highlight w:val="none"/>
        </w:rPr>
      </w:pPr>
    </w:p>
    <w:p w14:paraId="53C5C6E8">
      <w:pPr>
        <w:pStyle w:val="9"/>
        <w:keepNext/>
        <w:spacing w:beforeAutospacing="0" w:afterAutospacing="0"/>
        <w:jc w:val="center"/>
        <w:rPr>
          <w:color w:val="auto"/>
          <w:highlight w:val="none"/>
        </w:rPr>
      </w:pPr>
      <w:r>
        <w:rPr>
          <w:rFonts w:hint="eastAsia" w:ascii="黑体" w:hAnsi="宋体" w:eastAsia="黑体" w:cs="黑体"/>
          <w:color w:val="auto"/>
          <w:sz w:val="44"/>
          <w:szCs w:val="44"/>
          <w:highlight w:val="none"/>
        </w:rPr>
        <w:t>第三章  合同文本</w:t>
      </w:r>
    </w:p>
    <w:p w14:paraId="656C9017">
      <w:pPr>
        <w:pStyle w:val="9"/>
        <w:spacing w:beforeAutospacing="0" w:afterAutospacing="0" w:line="0" w:lineRule="atLeast"/>
        <w:ind w:firstLine="480"/>
        <w:jc w:val="both"/>
        <w:rPr>
          <w:rFonts w:hint="eastAsia" w:ascii="宋体" w:hAnsi="宋体" w:eastAsia="宋体" w:cs="宋体"/>
          <w:color w:val="auto"/>
          <w:highlight w:val="none"/>
        </w:rPr>
      </w:pPr>
      <w:bookmarkStart w:id="144" w:name="_Toc16938559"/>
      <w:bookmarkStart w:id="145" w:name="_Toc513029243"/>
      <w:bookmarkStart w:id="146" w:name="_Toc20823315"/>
      <w:r>
        <w:rPr>
          <w:rFonts w:hint="eastAsia" w:ascii="宋体" w:hAnsi="宋体" w:eastAsia="宋体" w:cs="宋体"/>
          <w:color w:val="auto"/>
          <w:highlight w:val="none"/>
        </w:rPr>
        <w:t>以下为成交后签订本项目合同的通用条款，成交供应商不得提出实质性的修改。</w:t>
      </w:r>
      <w:bookmarkEnd w:id="144"/>
      <w:bookmarkEnd w:id="145"/>
      <w:bookmarkEnd w:id="146"/>
    </w:p>
    <w:p w14:paraId="10E0AC15">
      <w:pPr>
        <w:pStyle w:val="9"/>
        <w:spacing w:beforeAutospacing="0" w:afterAutospacing="0" w:line="0" w:lineRule="atLeast"/>
        <w:ind w:firstLine="640"/>
        <w:jc w:val="both"/>
        <w:rPr>
          <w:rFonts w:hint="eastAsia" w:ascii="宋体" w:hAnsi="宋体" w:eastAsia="宋体" w:cs="宋体"/>
          <w:color w:val="auto"/>
          <w:highlight w:val="none"/>
        </w:rPr>
      </w:pPr>
      <w:r>
        <w:rPr>
          <w:rFonts w:hint="eastAsia" w:ascii="宋体" w:hAnsi="宋体" w:eastAsia="宋体" w:cs="宋体"/>
          <w:color w:val="auto"/>
          <w:highlight w:val="none"/>
        </w:rPr>
        <w:t>备注：请项目经办人提醒采购人按照《政府采购需求管理办法》第二十三条的规定完善合同文本。</w:t>
      </w:r>
    </w:p>
    <w:p w14:paraId="1636606C">
      <w:pPr>
        <w:pStyle w:val="9"/>
        <w:spacing w:before="145" w:beforeAutospacing="0" w:after="145"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F1DCAF4">
      <w:pPr>
        <w:pStyle w:val="9"/>
        <w:spacing w:before="145" w:beforeAutospacing="0" w:after="145" w:afterAutospacing="0"/>
        <w:jc w:val="center"/>
        <w:rPr>
          <w:rFonts w:hint="eastAsia" w:ascii="宋体" w:hAnsi="宋体" w:eastAsia="宋体" w:cs="宋体"/>
          <w:color w:val="auto"/>
          <w:highlight w:val="none"/>
        </w:rPr>
      </w:pPr>
      <w:r>
        <w:rPr>
          <w:rFonts w:hint="eastAsia" w:ascii="宋体" w:hAnsi="宋体" w:eastAsia="宋体" w:cs="宋体"/>
          <w:b/>
          <w:color w:val="auto"/>
          <w:highlight w:val="none"/>
        </w:rPr>
        <w:t>盐城市政府采购合同（合同编号）</w:t>
      </w:r>
    </w:p>
    <w:p w14:paraId="74FFC38F">
      <w:pPr>
        <w:pStyle w:val="9"/>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项目名称：2026年-2027年东台市城乡居民医保参保人群长期护理保险服务机构采购项目                       </w:t>
      </w:r>
    </w:p>
    <w:p w14:paraId="12FE4BC0">
      <w:pPr>
        <w:pStyle w:val="9"/>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项目编号：JSZC-320981-DTHS-D2026-0001</w:t>
      </w:r>
    </w:p>
    <w:p w14:paraId="40ACAF89">
      <w:pPr>
        <w:pStyle w:val="9"/>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甲方：（买方）东台市医疗保险基金管理中心</w:t>
      </w:r>
    </w:p>
    <w:p w14:paraId="3BD6E9BF">
      <w:pPr>
        <w:pStyle w:val="9"/>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乙方：（卖方）_________</w:t>
      </w:r>
    </w:p>
    <w:p w14:paraId="3ED20919">
      <w:pPr>
        <w:pStyle w:val="9"/>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甲、乙双方根据2026年-2027年东台市城乡居民医保参保人群长期护理保险服务机构采购项目单一来源采购的结果，签署本合同。</w:t>
      </w:r>
    </w:p>
    <w:p w14:paraId="1AB3CD37">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一、服务区域</w:t>
      </w:r>
    </w:p>
    <w:p w14:paraId="7ED4753E">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甲方委托乙方承办</w:t>
      </w:r>
      <w:r>
        <w:rPr>
          <w:rFonts w:hint="eastAsia" w:ascii="宋体" w:hAnsi="宋体" w:eastAsia="宋体" w:cs="宋体"/>
          <w:color w:val="auto"/>
          <w:highlight w:val="none"/>
          <w:u w:val="single"/>
        </w:rPr>
        <w:t>东台市城乡居民医保参保人群</w:t>
      </w:r>
      <w:r>
        <w:rPr>
          <w:rFonts w:hint="eastAsia" w:ascii="宋体" w:hAnsi="宋体" w:eastAsia="宋体" w:cs="宋体"/>
          <w:color w:val="auto"/>
          <w:highlight w:val="none"/>
        </w:rPr>
        <w:t>范围内长期护理保险（以下简称“长护险”）经办管理相关事务，乙方受甲方委托，按</w:t>
      </w:r>
      <w:r>
        <w:rPr>
          <w:rFonts w:hint="eastAsia" w:ascii="宋体" w:hAnsi="宋体" w:eastAsia="宋体" w:cs="宋体"/>
          <w:color w:val="auto"/>
          <w:highlight w:val="none"/>
          <w:lang w:val="en-US" w:eastAsia="zh-CN"/>
        </w:rPr>
        <w:t>东台</w:t>
      </w:r>
      <w:r>
        <w:rPr>
          <w:rFonts w:hint="eastAsia" w:ascii="宋体" w:hAnsi="宋体" w:eastAsia="宋体" w:cs="宋体"/>
          <w:color w:val="auto"/>
          <w:highlight w:val="none"/>
        </w:rPr>
        <w:t>市长护险政策规定和合同约定提供服务，包括但不限于失能等级评估、照护服务监管、稽核调查、政策宣传、统计分析等经办服务工作。</w:t>
      </w:r>
    </w:p>
    <w:p w14:paraId="37A2C98E">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二、服务期限</w:t>
      </w:r>
    </w:p>
    <w:p w14:paraId="58E094D3">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项目服务期限1.5年，自2026年7月1日起至2027年12月31日止，分为两个独立且连续的保险周期（2026年7月1日至2026年12月31日为第一期，2027年1月1日至2027年12月31日为第二期）。合同一期一签，每期通过考核后，可续签下一期合同。</w:t>
      </w:r>
    </w:p>
    <w:p w14:paraId="3ABA4449">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三、筹资标准</w:t>
      </w:r>
    </w:p>
    <w:p w14:paraId="16DA7200">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长护险筹资标准：基金由个人缴费、财政补助、医保统筹基金划拨三部分组成，其中个人缴费标准为每人每年30元、财政补助标准为每人每年40元，医保统筹基金划拨标准为每人每年30元。1至6级残疾军人、建国前老工人、学生及其他未成年人个人缴费部分暂免征缴。借鉴盐城市区经验，初始半年不收取个人缴费部分，按照半年人均35元计算。企业、单位、慈善机构等社会团体和个人给予支持或捐助，纳入长护险基金管理。今后，可根据经济社会发展水平和医疗保障实际需要，由市医疗保障局会同市财政局适时调整筹资标准。如国家、省、市调整参保筹资政策，按新政策执行。</w:t>
      </w:r>
    </w:p>
    <w:p w14:paraId="5554166E">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四、预付款</w:t>
      </w:r>
    </w:p>
    <w:p w14:paraId="15ED6F27">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合同签订后，甲方收到预付款发票后10个工作日内向乙方支付合同金额的30%作为预付款（合同金额为承办服务费）。</w:t>
      </w:r>
    </w:p>
    <w:p w14:paraId="50CDE1F1">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注：如乙方书面表示无需预付款或者主动要求降低预付款比例的，采购人可就预付款比例做相应调整。</w:t>
      </w:r>
    </w:p>
    <w:p w14:paraId="0561ABED">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五、合同金额和支付方式</w:t>
      </w:r>
    </w:p>
    <w:p w14:paraId="0F0D609E">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甲方按每个保险周期的筹资标准和参保人数，计算长护险基金筹资总额，将基金筹资总额划分为长护险保费与长护险承办服务费两部分，保费与承办服务费乙方须分别建账、核算、考核。其中承办服务费按招标确定的标准计提，其余计提划入长护险保费。</w:t>
      </w:r>
    </w:p>
    <w:p w14:paraId="014709DD">
      <w:pPr>
        <w:pStyle w:val="9"/>
        <w:spacing w:beforeAutospacing="0" w:afterAutospacing="0" w:line="560" w:lineRule="exact"/>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2.主承保供应商：紫金财产保险股份有限公司盐城中心支公司（主承办，80%）中标优惠率为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14:paraId="40925544">
      <w:pPr>
        <w:pStyle w:val="9"/>
        <w:spacing w:beforeAutospacing="0" w:afterAutospacing="0" w:line="560" w:lineRule="exact"/>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第一共保人供应商：中国平安财产保险股份有限公司盐城中心支公司（15%）中标优惠率为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14:paraId="3792A198">
      <w:pPr>
        <w:pStyle w:val="9"/>
        <w:spacing w:beforeAutospacing="0" w:afterAutospacing="0" w:line="560" w:lineRule="exact"/>
        <w:ind w:firstLine="48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第二共保人供应商：大家财产保险有限责任公司盐城中心支公司（5%）中标优惠率为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14:paraId="0F4045BF">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甲方根据上年度第四季度长护险保费使用率，在此基础上上浮10%（如拨付的保费不足以支付当季度待遇时，可根据实际情况调整上浮标准），于每季度首月向财政部门申请当季度长护险保费（如上季度保费有剩余，计入当季度保费申请规模）。甲方预留年度承办服务费的5%作为考核金，剩余承办服务费于每季度首月进行申请。每季度保费和承办服务费到账后，甲方及时拨付至乙方。</w:t>
      </w:r>
    </w:p>
    <w:p w14:paraId="2FC07AA4">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每月25日前，乙方根据上月实际评估人数、评估费支付标准，按照协议约定与定点评估机构结算评估费用；每月15日前，乙方应完成上月应支付待遇费用的核算、对账及审核，并将费用明细、结算报表等签字并报送至甲方，同时于20日前将应支付的待遇费用返还至甲方账户。甲方按照属地管理原则，由长护险业务部门、结算部门分别对应支付费用进行复核，复核无误后，于25日前报财务部门，财务部门于30日前完成支付。亲情照护费用结算参照长护服务机构费用结算流程、时限和要求，乙方负责亲情照护费用的核算、对账及审核，甲方负责费用复核及支付。</w:t>
      </w:r>
    </w:p>
    <w:p w14:paraId="062DBFA5">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.每年4月底前，甲方按上年度享受长护险待遇的实际人数、待遇支付情况与乙方进行保费清算，结余部分返还财政专户。根据乙方合同履行情况、承办服务质量、年度考核结果进行承办服务费年度考核金结算。</w:t>
      </w:r>
    </w:p>
    <w:p w14:paraId="241DDD28">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.根据医共体+护理型养老改革实施方案要求，2026年下半年，市财政先期拨付150万元作为长护险保费及承办服务费，其中承办服务费97万元按季度拨付，后期保费按需支付；2027年度甲方正常拨付。</w:t>
      </w:r>
    </w:p>
    <w:p w14:paraId="28BA148F">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六、履约保证金</w:t>
      </w:r>
    </w:p>
    <w:p w14:paraId="05B3814D">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1.履约保证金的缴纳金额</w:t>
      </w:r>
    </w:p>
    <w:p w14:paraId="52742829">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乙方按其所得1.5年承办服务费的5%（四舍五入取整）作为履约保证金。甲方应当对AA评级及以上政府采购供应商（需提供信用管理部门备案的第三方信用报告）免收履约保证金或降低履约保证金缴纳比例。</w:t>
      </w:r>
    </w:p>
    <w:p w14:paraId="4D3587C8">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2.履约保证金的缴纳形式</w:t>
      </w:r>
    </w:p>
    <w:p w14:paraId="19A6EA29">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371ECF4">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2.2如以履约保函（保险）形式缴纳履约保证金，供应商可通过政府采购电子履约保函（保险）平台（www.jsdzbh.com）在线申请履约保函（保险）。</w:t>
      </w:r>
    </w:p>
    <w:p w14:paraId="349C201D">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3.履约保证金的退还</w:t>
      </w:r>
    </w:p>
    <w:p w14:paraId="6488B959">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3.1方式：无息退还至乙方缴纳履约保证金的账户。如为保函，在到期时自行失效。</w:t>
      </w:r>
    </w:p>
    <w:p w14:paraId="6C3B69BD">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3.2时间：本项目履约保证金在服务期满且清算结束后30个工作日内无息退回。</w:t>
      </w:r>
    </w:p>
    <w:p w14:paraId="3E5472C5">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3.3条件：确实履行服务职责，服务地区医保部门认可。</w:t>
      </w:r>
    </w:p>
    <w:p w14:paraId="48C3B3D3">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3.4不予退还情形</w:t>
      </w:r>
    </w:p>
    <w:p w14:paraId="16D691B4">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除不可抗力情况外，乙方出现下列情形之一的，其履约保证金，甲方将视情节决定不予退还或部分不予退还。</w:t>
      </w:r>
    </w:p>
    <w:p w14:paraId="40A05705">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（1）乙方无正当理由拒绝签订合同的，或者在签订合同时向甲方提出附加条件或者更改合同实质性内容要求的；</w:t>
      </w:r>
    </w:p>
    <w:p w14:paraId="6237303C">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（2）乙方不履行与甲方订立的合同的；</w:t>
      </w:r>
    </w:p>
    <w:p w14:paraId="7A424A55">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（3）乙方所供货物或服务不符合招标文件规定要求的；</w:t>
      </w:r>
    </w:p>
    <w:p w14:paraId="5C2A853B">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（4）乙方采取欺骗、弄虚作假方式投标的或与其他投标人串通投标的；</w:t>
      </w:r>
    </w:p>
    <w:p w14:paraId="66460711">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（5）乙方将合同内容转包、违法分包的；</w:t>
      </w:r>
    </w:p>
    <w:p w14:paraId="278A00D4">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（6）乙方故意捏造事实或伪造证明材料，进行虚假恶意投诉或反映的。</w:t>
      </w:r>
    </w:p>
    <w:p w14:paraId="744E7CD6">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3.5逾期退还的违约责任：甲方逾期无故未退还履约保证金的，按中国人民银行同期贷款基准利率上浮20%后的利率支付超期资金占用费，但因供应商自身原因导致无法及时退还的除外。</w:t>
      </w:r>
    </w:p>
    <w:p w14:paraId="021803F3">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七、权利保证</w:t>
      </w:r>
    </w:p>
    <w:p w14:paraId="6E5C2B76">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乙方应保证为甲方提供服务任何一部分时不受第三方提出侵犯其专利权、版权或其他权利的起诉。一旦出现侵权，乙方应承担全部责任。</w:t>
      </w:r>
    </w:p>
    <w:p w14:paraId="60FC31D2">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八、甲方责任</w:t>
      </w:r>
    </w:p>
    <w:p w14:paraId="4610420B">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甲方应对合同规定范围内乙方的服务进行监督和检查，拥有监管权。</w:t>
      </w:r>
    </w:p>
    <w:p w14:paraId="78C28A64">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1.甲方应向乙方提供长护险经办管理服务所需的相关资料和信息。</w:t>
      </w:r>
    </w:p>
    <w:p w14:paraId="5A441BD5">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2.甲方应建立与服务对象满意度、评估质量、照护服务质量挂钩的考核结算机制，定期对乙方进行考核，及时完成费用清算。</w:t>
      </w:r>
    </w:p>
    <w:p w14:paraId="01EC9DD0">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3.甲方应建立服务对象投诉受理渠道，常态化开展日常抽查等，对乙方提供服务及赔付情况进行全面考核，规范和促进服务质量。</w:t>
      </w:r>
    </w:p>
    <w:p w14:paraId="6D6EE976">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九、乙方责任</w:t>
      </w:r>
    </w:p>
    <w:p w14:paraId="52FF36D9">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乙方应配备长护险经办服务全日制工作人员（每3万参保人员至少配备1名工作人员)，其中医学、康复、护理、信息、统计、财务专业（具有大专以上学历）的人员比例不低于30%，派驻相应数量的工作人员至甲方共同办理长护险经办业务。</w:t>
      </w:r>
    </w:p>
    <w:p w14:paraId="23E811A7">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2.乙方应配备开展各项业务且与工作量相适应的办公设施（配备打印机、复印机、传真机、扫描仪等能够满足办公需求的办公设备，每人配备办公电脑，稽核岗应按岗位要求配备便携电脑、摄像机、照相机、录音笔等记录核查设备）、核查设备及车辆，并根据长护险各项工作的需求，及时提供。 </w:t>
      </w:r>
    </w:p>
    <w:p w14:paraId="18F9FFF3">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乙方统一纳入信息系统管理，按照合同要求建设长护险信息管理系统，与甲方指定的信息系统进行对接，按要求配置计算机和网络系统，配备与长护险业务相适应的计算机管理人员，实现长护险待遇申请、失能评估、护理服务、基金结算、经办管理、服务监督、风险控制等全流程信息化。建立评估人员、照护人员库，将符合条件的评估人员、照护人员信息录入信息系统，实行动态管理，并做好长护险信息系统各类用户的培训和指导工作。系统开发建设、日常维护以及今后因政策调整所需的软件开发及硬件设备投入费用等费用由各中标人按照分包占比共同承担。</w:t>
      </w:r>
    </w:p>
    <w:p w14:paraId="49DCBD4E">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4.乙方应建立费用审核、内部控制、日常巡查、运行分析等管理制度，通过信息系统、抽查询访、满意度调查等途径，对评估结果、评估质量及待遇享受等情况进行跟踪管理，按月编报评估工作报告报送至甲方。</w:t>
      </w:r>
    </w:p>
    <w:p w14:paraId="345743BC">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5.乙方对甲方提供的参保人信息以及相关资料承担保密责任，不得用于其他用途，不得向第三方泄露。未经甲方同意，乙方不得将本保险合同业务转让转包给任何第三方。</w:t>
      </w:r>
    </w:p>
    <w:p w14:paraId="12CE5A71">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十、共保体成员责任分工</w:t>
      </w:r>
    </w:p>
    <w:p w14:paraId="11705E0C">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本合同的主承保、次承保组成共保体，共同负责服务区域内长护险业务承办工作，主承保组织实施日常具体经办服务工作，次承保做好配合。</w:t>
      </w:r>
    </w:p>
    <w:p w14:paraId="1ED4A04B">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主承保、次承保要在本合同签订后一个月内，签订长护险共保合同，明确相应的保险责任。</w:t>
      </w:r>
    </w:p>
    <w:p w14:paraId="5E161DFC">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十一、共同责任</w:t>
      </w:r>
    </w:p>
    <w:p w14:paraId="118923FE">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1．接受监督。甲乙双方签订合同的情况，以及长护险收入、支出情况等定期按规定接受财政、审计、医保行政部门的监督。</w:t>
      </w:r>
    </w:p>
    <w:p w14:paraId="553679C6">
      <w:pPr>
        <w:pStyle w:val="9"/>
        <w:spacing w:beforeAutospacing="0" w:afterAutospacing="0" w:line="560" w:lineRule="exact"/>
        <w:ind w:firstLine="480" w:firstLineChars="200"/>
        <w:jc w:val="both"/>
        <w:rPr>
          <w:rFonts w:hint="eastAsia" w:ascii="方正黑体_GBK" w:hAnsi="方正黑体_GBK" w:eastAsia="方正黑体_GBK" w:cs="方正黑体_GBK"/>
          <w:color w:val="auto"/>
          <w:highlight w:val="none"/>
        </w:rPr>
      </w:pPr>
      <w:r>
        <w:rPr>
          <w:rFonts w:hint="eastAsia" w:ascii="宋体" w:hAnsi="宋体" w:eastAsia="宋体" w:cs="宋体"/>
          <w:color w:val="auto"/>
          <w:highlight w:val="none"/>
        </w:rPr>
        <w:t>2．合署办公。乙方按照甲方需求，派驻一定数量的工作人员至甲方服务窗口合署办公。甲乙双方共同制定管理制度、工作流程，派驻人员在甲方的指导下开展工作，有关情况及时向乙方通报。</w:t>
      </w:r>
    </w:p>
    <w:p w14:paraId="25EA8B1B">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3．相互沟通。本项目相关政策发生调整时，甲方及时告知乙方；乙方经办长护险业务中出现新情况或遭遇突发事件，要及时通报甲方。</w:t>
      </w:r>
    </w:p>
    <w:p w14:paraId="31E74D0C">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4．共同管理。甲乙双方共同对定点长护服务机构进行管理，甲方应按合同期限对定点长护服务机构履行合同情况进行考核，可委托乙方具体负责。乙方对定点长护服务机构开展日常稽核、专项稽核和举报稽核等工作，采用调查、抽查等方式，监督检查其执行长护险政策规定、履行合同情况以及各项监管制度落实情况。</w:t>
      </w:r>
    </w:p>
    <w:p w14:paraId="11838EB8">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5．强化培训。甲方对乙方开展长护险政策业务培训，乙方要对定点评估机构、定点长护服务机构、工作人员开展政策业务培训。</w:t>
      </w:r>
    </w:p>
    <w:p w14:paraId="7F06D5A6">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6．保证支付。合同结束或提前终止，但在合同有效期内已发生尚未结算的待遇费用由乙方支付。甲乙双方协商有效办法，落实结算责任，保障参保人、定点长护服务机构权益。</w:t>
      </w:r>
    </w:p>
    <w:p w14:paraId="443F32F9">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十二、考核与管理</w:t>
      </w:r>
    </w:p>
    <w:p w14:paraId="47934310">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甲方可以邀请相关专业机构组成考核小组对乙方相关工作进行考核评价，内容包括但不限于：合同履行情况、基金运行管理情况、服务质效情况和促进参保扩面情况等，乙方须积极配合。</w:t>
      </w:r>
    </w:p>
    <w:p w14:paraId="77809706">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十三、违约责任</w:t>
      </w:r>
    </w:p>
    <w:p w14:paraId="1B2EB5B2">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甲乙双方因违反合同约定，或发生其他严重损害参保人权益的情况，合同双方可以提前终止或解除合作，并就违约情况提请有关部门依法追究责任。</w:t>
      </w:r>
    </w:p>
    <w:p w14:paraId="69FD3285">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乙方不得利用专业技术和行业信息优势之便，故意隐瞒和掩盖自身过失，违背投标承诺和未尽义务，如有发生，甲方可追究乙方的违约责任并索取赔偿，且不受合同时效的限制。</w:t>
      </w:r>
    </w:p>
    <w:p w14:paraId="318815BF">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乙方承担的履约保证金不足以赔偿甲方实际损失的，甲方有权要求乙方继续赔偿。 </w:t>
      </w:r>
    </w:p>
    <w:p w14:paraId="4CB71CC6">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乙方履行合同不符合规定的，甲方有权责令乙方立即改正，乙方拒不改正或已经造成不良社会影响的，甲方有权要求乙方承担责任。</w:t>
      </w:r>
    </w:p>
    <w:p w14:paraId="27D7B059">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乙方对定点评估机构、定点长护服务机构、工作人员和参保人员监管不严造成长护险基金流失的，由乙方先行垫付相关费用并负责追回，确实无法追回的，由乙方全额承担。</w:t>
      </w:r>
    </w:p>
    <w:p w14:paraId="6DA0127D">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因考核不合格或政策、经办管理模式发生重大变化等原因，甲方有权单方面终止合同或停止续签合同，乙方应无条件服从。</w:t>
      </w:r>
    </w:p>
    <w:p w14:paraId="189506B3">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十四、风险调节</w:t>
      </w:r>
    </w:p>
    <w:p w14:paraId="282EB5A1">
      <w:pPr>
        <w:pStyle w:val="9"/>
        <w:spacing w:beforeAutospacing="0" w:afterAutospacing="0" w:line="560" w:lineRule="exact"/>
        <w:ind w:left="420" w:left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长护险基金运行结余和亏损按如下方法处理：</w:t>
      </w:r>
    </w:p>
    <w:p w14:paraId="22FAA899">
      <w:pPr>
        <w:pStyle w:val="9"/>
        <w:spacing w:beforeAutospacing="0" w:afterAutospacing="0" w:line="560" w:lineRule="exact"/>
        <w:ind w:firstLine="480" w:firstLineChars="200"/>
        <w:jc w:val="both"/>
        <w:rPr>
          <w:rFonts w:hint="eastAsia" w:ascii="宋体" w:hAnsi="宋体" w:eastAsia="宋体" w:cs="宋体"/>
          <w:color w:val="auto"/>
          <w:highlight w:val="none"/>
        </w:rPr>
      </w:pPr>
      <w:bookmarkStart w:id="147" w:name="_Hlk181568450"/>
      <w:r>
        <w:rPr>
          <w:rFonts w:hint="eastAsia" w:ascii="宋体" w:hAnsi="宋体" w:eastAsia="宋体" w:cs="宋体"/>
          <w:color w:val="auto"/>
          <w:highlight w:val="none"/>
        </w:rPr>
        <w:t>1.服务期限内，承办服务费如有结余，归乙方所有；如有亏损，全部由乙方承担。</w:t>
      </w:r>
    </w:p>
    <w:p w14:paraId="0522B786">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服务期限内，长护险保费如有结余，全部返还财政专户。如有亏损：若年度实际亏损率（绝对值）小于或等于2%的，亏损额由乙方全额承担；年度实际亏损率（绝对值）大于2%的，亏损率（绝对值）2%以及亏损超额5%部分由乙方承担，剩余亏损由长护险基金承担。</w:t>
      </w:r>
    </w:p>
    <w:p w14:paraId="1FE73D2A">
      <w:pPr>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年度实际亏损率=[（长护险保费-长护险待遇支出）/长护险保费]×100%</w:t>
      </w:r>
    </w:p>
    <w:p w14:paraId="0522318E">
      <w:pPr>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年度亏损超额=[年度实际亏损率（绝对值）-2%]×长护险保费</w:t>
      </w:r>
    </w:p>
    <w:bookmarkEnd w:id="147"/>
    <w:p w14:paraId="0BD3B808">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十五、争议解决</w:t>
      </w:r>
    </w:p>
    <w:p w14:paraId="5447BB29">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甲乙双方发生有关长护险争议时，可通过协商解决；协商不成，应提交甲方所在地人民法院管辖。</w:t>
      </w:r>
    </w:p>
    <w:p w14:paraId="5EE3ECD5">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十六、违约处罚</w:t>
      </w:r>
    </w:p>
    <w:p w14:paraId="69019885">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乙方有下列情形之一的，甲方取消其当期及下一个承办周期的长护险业务承办资格：</w:t>
      </w:r>
    </w:p>
    <w:p w14:paraId="7D450ACB">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发生服务能力严重不足、服务质量低下或其他严重影响长护险业务正常办理的重大情况；</w:t>
      </w:r>
    </w:p>
    <w:p w14:paraId="5CBBFDD6">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承办长护险结算业务过程中，出现挪用、截留、侵占长护险项目资金违法违规案件，严重损害参保群众合法利益；</w:t>
      </w:r>
    </w:p>
    <w:p w14:paraId="3305F0C1">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未经行业监管部门及</w:t>
      </w:r>
      <w:r>
        <w:rPr>
          <w:rFonts w:hint="eastAsia" w:ascii="宋体" w:hAnsi="宋体" w:eastAsia="宋体" w:cs="宋体"/>
          <w:color w:val="auto"/>
          <w:highlight w:val="none"/>
          <w:lang w:val="en-US" w:eastAsia="zh-CN"/>
        </w:rPr>
        <w:t>东台</w:t>
      </w:r>
      <w:r>
        <w:rPr>
          <w:rFonts w:hint="eastAsia" w:ascii="宋体" w:hAnsi="宋体" w:eastAsia="宋体" w:cs="宋体"/>
          <w:color w:val="auto"/>
          <w:highlight w:val="none"/>
        </w:rPr>
        <w:t>市医疗保障部门同意，单方中途退出长护险业务承办项目；</w:t>
      </w:r>
    </w:p>
    <w:p w14:paraId="05F1F92E">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履约考核验收结果为“不合格”；</w:t>
      </w:r>
    </w:p>
    <w:p w14:paraId="2EF0FDC1">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其他严重影响长护险制度平稳运行的行为。</w:t>
      </w:r>
    </w:p>
    <w:p w14:paraId="6E4396BF">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十七、不可抗力</w:t>
      </w:r>
    </w:p>
    <w:p w14:paraId="31FB2216">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p>
    <w:p w14:paraId="0A5773D9">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十八、特殊情况处理</w:t>
      </w:r>
    </w:p>
    <w:p w14:paraId="5803F4BE">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如因乙方或共保体中的某方不能履行合同，影响了参保人权益，甲方按政策规定履行职能，扣留相应承保人的履约保证金，并报相关部门追究其责任。</w:t>
      </w:r>
    </w:p>
    <w:p w14:paraId="2AD0FD9C">
      <w:pPr>
        <w:pStyle w:val="9"/>
        <w:spacing w:beforeAutospacing="0" w:afterAutospacing="0" w:line="560" w:lineRule="exact"/>
        <w:ind w:firstLine="482" w:firstLineChars="20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十九、合同生效及其他</w:t>
      </w:r>
    </w:p>
    <w:p w14:paraId="2E9E0252">
      <w:pPr>
        <w:pStyle w:val="9"/>
        <w:spacing w:beforeAutospacing="0" w:afterAutospacing="0" w:line="560" w:lineRule="exact"/>
        <w:ind w:firstLine="480" w:firstLineChars="200"/>
        <w:jc w:val="both"/>
        <w:rPr>
          <w:rFonts w:hint="eastAsia" w:ascii="宋体" w:hAnsi="宋体" w:eastAsia="宋体" w:cs="宋体"/>
          <w:color w:val="auto"/>
          <w:highlight w:val="none"/>
          <w:u w:val="single"/>
        </w:rPr>
      </w:pPr>
      <w:r>
        <w:rPr>
          <w:rFonts w:hint="eastAsia" w:ascii="宋体" w:hAnsi="宋体" w:eastAsia="宋体" w:cs="宋体"/>
          <w:color w:val="auto"/>
          <w:highlight w:val="none"/>
        </w:rPr>
        <w:t>1.本合同在甲乙双方法定代表人或其授权代表签字并加盖公章后生效。本合同一式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份，每份具有同等法律效力。</w:t>
      </w:r>
    </w:p>
    <w:p w14:paraId="7ECBC38D">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所有经双方签署确认的文件（包括会议纪要、补充合同、往来信函）、采购文件、要约文件和响应承诺文件、合同附件及《中标通知书》均为本合同不可分割的有效组成部分，与本合同具有同等的法律效力和履约义务，其生效日期为有效签署或盖章确认之日期。</w:t>
      </w:r>
    </w:p>
    <w:p w14:paraId="6A19E82A">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3.甲乙双方应按照有关反洗钱法律法规要求，履行各自的反洗钱义务和职责，并为对方履行反洗钱职责提供相应的协助。</w:t>
      </w:r>
    </w:p>
    <w:p w14:paraId="7EEC7B7B">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zh-CN"/>
        </w:rPr>
        <w:t>甲方</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乙方</w:t>
      </w:r>
      <w:r>
        <w:rPr>
          <w:rFonts w:hint="eastAsia" w:ascii="宋体" w:hAnsi="宋体" w:eastAsia="宋体" w:cs="宋体"/>
          <w:color w:val="auto"/>
          <w:highlight w:val="none"/>
        </w:rPr>
        <w:t xml:space="preserve">： </w:t>
      </w:r>
    </w:p>
    <w:p w14:paraId="514A10EC">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zh-CN"/>
        </w:rPr>
        <w:t>地址</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地址</w:t>
      </w:r>
      <w:r>
        <w:rPr>
          <w:rFonts w:hint="eastAsia" w:ascii="宋体" w:hAnsi="宋体" w:eastAsia="宋体" w:cs="宋体"/>
          <w:color w:val="auto"/>
          <w:highlight w:val="none"/>
        </w:rPr>
        <w:t xml:space="preserve">： </w:t>
      </w:r>
    </w:p>
    <w:p w14:paraId="217815A9">
      <w:pPr>
        <w:pStyle w:val="9"/>
        <w:spacing w:beforeAutospacing="0" w:afterAutospacing="0" w:line="560" w:lineRule="exact"/>
        <w:ind w:firstLine="480" w:firstLineChars="200"/>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法定代表人或授权代表：            法定代表人或授权代表：</w:t>
      </w:r>
    </w:p>
    <w:p w14:paraId="16E3CBC4">
      <w:pPr>
        <w:pStyle w:val="9"/>
        <w:spacing w:beforeAutospacing="0" w:afterAutospacing="0" w:line="560" w:lineRule="exact"/>
        <w:ind w:firstLine="480" w:firstLineChars="200"/>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联系电话：                              </w:t>
      </w:r>
    </w:p>
    <w:p w14:paraId="3C0CC9BD">
      <w:pPr>
        <w:pStyle w:val="9"/>
        <w:spacing w:beforeAutospacing="0" w:afterAutospacing="0" w:line="240" w:lineRule="exact"/>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签订</w:t>
      </w:r>
      <w:r>
        <w:rPr>
          <w:rFonts w:hint="eastAsia" w:ascii="宋体" w:hAnsi="宋体" w:eastAsia="宋体" w:cs="宋体"/>
          <w:color w:val="auto"/>
          <w:highlight w:val="none"/>
          <w:lang w:val="zh-CN"/>
        </w:rPr>
        <w:t>日期：    年    月    日</w:t>
      </w:r>
    </w:p>
    <w:p w14:paraId="51A41F97">
      <w:pPr>
        <w:pStyle w:val="9"/>
        <w:spacing w:before="120" w:beforeAutospacing="0" w:after="120" w:afterAutospacing="0" w:line="0" w:lineRule="atLeast"/>
        <w:jc w:val="center"/>
        <w:rPr>
          <w:color w:val="auto"/>
          <w:highlight w:val="none"/>
        </w:rPr>
      </w:pPr>
      <w:bookmarkStart w:id="148" w:name="_Toc479757211"/>
      <w:bookmarkStart w:id="149" w:name="_Toc462564139"/>
      <w:bookmarkStart w:id="150" w:name="_Toc16938590"/>
      <w:bookmarkStart w:id="151" w:name="_Toc120614244"/>
      <w:bookmarkStart w:id="152" w:name="_Toc20823346"/>
      <w:bookmarkStart w:id="153" w:name="_Hlt16619369"/>
      <w:bookmarkStart w:id="154" w:name="_Hlt16619350"/>
      <w:r>
        <w:rPr>
          <w:rFonts w:hint="eastAsia" w:ascii="宋体" w:hAnsi="宋体" w:eastAsia="宋体" w:cs="宋体"/>
          <w:color w:val="auto"/>
          <w:highlight w:val="none"/>
        </w:rPr>
        <w:br w:type="page"/>
      </w:r>
      <w:r>
        <w:rPr>
          <w:rFonts w:hint="eastAsia" w:ascii="黑体" w:hAnsi="宋体" w:eastAsia="黑体" w:cs="黑体"/>
          <w:color w:val="auto"/>
          <w:sz w:val="44"/>
          <w:szCs w:val="44"/>
          <w:highlight w:val="none"/>
        </w:rPr>
        <w:t> 第</w:t>
      </w:r>
      <w:bookmarkEnd w:id="148"/>
      <w:r>
        <w:rPr>
          <w:rFonts w:hint="eastAsia" w:ascii="黑体" w:hAnsi="宋体" w:eastAsia="黑体" w:cs="黑体"/>
          <w:color w:val="auto"/>
          <w:sz w:val="44"/>
          <w:szCs w:val="44"/>
          <w:highlight w:val="none"/>
        </w:rPr>
        <w:t>四章 采购需求</w:t>
      </w:r>
      <w:bookmarkEnd w:id="149"/>
      <w:bookmarkEnd w:id="150"/>
      <w:bookmarkEnd w:id="151"/>
      <w:bookmarkEnd w:id="152"/>
      <w:bookmarkStart w:id="155" w:name="_Toc26554093"/>
      <w:bookmarkEnd w:id="155"/>
      <w:bookmarkStart w:id="156" w:name="_Toc49090575"/>
      <w:bookmarkEnd w:id="156"/>
    </w:p>
    <w:p w14:paraId="205CCC15">
      <w:pPr>
        <w:pStyle w:val="9"/>
        <w:spacing w:before="120" w:beforeAutospacing="0" w:after="120" w:afterAutospacing="0" w:line="560" w:lineRule="exact"/>
        <w:jc w:val="both"/>
        <w:rPr>
          <w:rFonts w:hint="eastAsia" w:ascii="宋体" w:hAnsi="宋体" w:eastAsia="宋体" w:cs="宋体"/>
          <w:color w:val="auto"/>
          <w:highlight w:val="none"/>
          <w:shd w:val="clear" w:color="auto" w:fill="FFFF00"/>
        </w:rPr>
      </w:pPr>
      <w:r>
        <w:rPr>
          <w:color w:val="auto"/>
          <w:highlight w:val="none"/>
        </w:rPr>
        <w:t> </w:t>
      </w:r>
      <w:bookmarkStart w:id="157" w:name="_Hlt26954850"/>
      <w:bookmarkStart w:id="158" w:name="_Hlt26668983"/>
      <w:bookmarkStart w:id="159" w:name="_Hlt26954840"/>
      <w:bookmarkStart w:id="160" w:name="_Hlt26670373"/>
      <w:bookmarkStart w:id="161" w:name="_Hlt26670399"/>
      <w:bookmarkStart w:id="162" w:name="_Hlt26670403"/>
      <w:bookmarkStart w:id="163" w:name="_Hlt26670489"/>
      <w:bookmarkStart w:id="164" w:name="_Hlt26954842"/>
      <w:bookmarkStart w:id="165" w:name="_Hlt26954844"/>
      <w:bookmarkStart w:id="166" w:name="_Hlt26954734"/>
      <w:bookmarkStart w:id="167" w:name="_Hlt26670425"/>
      <w:r>
        <w:rPr>
          <w:rFonts w:hint="eastAsia" w:ascii="宋体" w:hAnsi="宋体" w:eastAsia="宋体" w:cs="宋体"/>
          <w:color w:val="auto"/>
          <w:highlight w:val="none"/>
        </w:rPr>
        <w:t>项目属性：服务类项目。</w:t>
      </w:r>
    </w:p>
    <w:p w14:paraId="230E0E82">
      <w:pPr>
        <w:pStyle w:val="19"/>
        <w:spacing w:before="0" w:after="0" w:line="560" w:lineRule="exact"/>
        <w:ind w:firstLine="482" w:firstLineChars="200"/>
        <w:jc w:val="both"/>
        <w:rPr>
          <w:rFonts w:hint="eastAsia" w:ascii="宋体" w:hAnsi="宋体"/>
          <w:b/>
          <w:bCs/>
          <w:color w:val="auto"/>
          <w:kern w:val="2"/>
          <w:highlight w:val="none"/>
        </w:rPr>
      </w:pPr>
      <w:r>
        <w:rPr>
          <w:rFonts w:hint="eastAsia" w:ascii="宋体" w:hAnsi="宋体"/>
          <w:b/>
          <w:bCs/>
          <w:color w:val="auto"/>
          <w:kern w:val="2"/>
          <w:highlight w:val="none"/>
        </w:rPr>
        <w:t>一、项目概述</w:t>
      </w:r>
    </w:p>
    <w:p w14:paraId="6D4F52A3">
      <w:pPr>
        <w:pStyle w:val="19"/>
        <w:spacing w:before="0" w:after="0" w:line="560" w:lineRule="exact"/>
        <w:ind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东台市城乡居民医保参保人群长期护理保险（以下简称“长护险”），是为长期失能人员基本生活照料和与基本生活密切相关的医疗护理提供保障的制度。通过实施长护险制度，建立健全多层次医疗保障体系，积极应对人口老龄化，促进“医养融合”新型养老服务体系发展，解决失能人员的护理和日常照料难题，减轻因年老、疾病、伤残等导致失能人员家庭照护的事务性及经济负担，提高参保人员的生活质量和人文关怀水平，共享东台经济社会发展成果。</w:t>
      </w:r>
    </w:p>
    <w:p w14:paraId="17222703">
      <w:pPr>
        <w:pStyle w:val="19"/>
        <w:spacing w:before="0" w:after="0" w:line="560" w:lineRule="exact"/>
        <w:ind w:firstLine="482" w:firstLineChars="200"/>
        <w:jc w:val="both"/>
        <w:rPr>
          <w:rFonts w:hint="eastAsia" w:ascii="宋体" w:hAnsi="宋体"/>
          <w:b/>
          <w:bCs/>
          <w:color w:val="auto"/>
          <w:kern w:val="2"/>
          <w:highlight w:val="none"/>
        </w:rPr>
      </w:pPr>
      <w:r>
        <w:rPr>
          <w:rFonts w:hint="eastAsia" w:ascii="宋体" w:hAnsi="宋体"/>
          <w:b/>
          <w:bCs/>
          <w:color w:val="auto"/>
          <w:kern w:val="2"/>
          <w:highlight w:val="none"/>
        </w:rPr>
        <w:t>二、基本原则</w:t>
      </w:r>
    </w:p>
    <w:p w14:paraId="143F51DE">
      <w:pPr>
        <w:widowControl/>
        <w:spacing w:line="560" w:lineRule="exact"/>
        <w:ind w:firstLine="480" w:firstLineChars="200"/>
        <w:jc w:val="left"/>
        <w:rPr>
          <w:rFonts w:hint="eastAsia" w:ascii="宋体" w:hAnsi="宋体" w:eastAsia="宋体" w:cs="宋体"/>
          <w:color w:val="auto"/>
          <w:kern w:val="0"/>
          <w:sz w:val="24"/>
          <w:highlight w:val="none"/>
        </w:rPr>
      </w:pPr>
      <w:r>
        <w:rPr>
          <w:rFonts w:ascii="宋体" w:hAnsi="宋体" w:eastAsia="宋体" w:cs="宋体"/>
          <w:color w:val="auto"/>
          <w:kern w:val="0"/>
          <w:sz w:val="24"/>
          <w:highlight w:val="none"/>
        </w:rPr>
        <w:t>1.</w:t>
      </w:r>
      <w:r>
        <w:rPr>
          <w:rFonts w:hint="eastAsia" w:ascii="宋体" w:hAnsi="宋体" w:eastAsia="宋体" w:cs="宋体"/>
          <w:color w:val="auto"/>
          <w:kern w:val="0"/>
          <w:sz w:val="24"/>
          <w:highlight w:val="none"/>
        </w:rPr>
        <w:t>坚持以人为本，重点解决重度失能人员长期护理保障问题。</w:t>
      </w:r>
    </w:p>
    <w:p w14:paraId="5C3478D4">
      <w:pPr>
        <w:widowControl/>
        <w:spacing w:line="560" w:lineRule="exact"/>
        <w:ind w:firstLine="480" w:firstLineChars="200"/>
        <w:jc w:val="left"/>
        <w:rPr>
          <w:rFonts w:hint="eastAsia" w:ascii="宋体" w:hAnsi="宋体" w:eastAsia="宋体" w:cs="宋体"/>
          <w:color w:val="auto"/>
          <w:kern w:val="0"/>
          <w:sz w:val="24"/>
          <w:highlight w:val="none"/>
        </w:rPr>
      </w:pPr>
      <w:r>
        <w:rPr>
          <w:rFonts w:ascii="宋体" w:hAnsi="宋体" w:eastAsia="宋体" w:cs="宋体"/>
          <w:color w:val="auto"/>
          <w:kern w:val="0"/>
          <w:sz w:val="24"/>
          <w:highlight w:val="none"/>
        </w:rPr>
        <w:t>2.</w:t>
      </w:r>
      <w:r>
        <w:rPr>
          <w:rFonts w:hint="eastAsia" w:ascii="宋体" w:hAnsi="宋体" w:eastAsia="宋体" w:cs="宋体"/>
          <w:color w:val="auto"/>
          <w:kern w:val="0"/>
          <w:sz w:val="24"/>
          <w:highlight w:val="none"/>
        </w:rPr>
        <w:t>坚持独立运行，建立独立险种，独立设计，统筹推进。</w:t>
      </w:r>
    </w:p>
    <w:p w14:paraId="640C4C48">
      <w:pPr>
        <w:pStyle w:val="19"/>
        <w:spacing w:before="0" w:after="0" w:line="560" w:lineRule="exact"/>
        <w:ind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3.坚持适度保障，根据我市经济发展水平合理设置保障范围和保障标准。</w:t>
      </w:r>
    </w:p>
    <w:p w14:paraId="46D75C3E">
      <w:pPr>
        <w:pStyle w:val="19"/>
        <w:spacing w:before="0" w:after="0" w:line="560" w:lineRule="exact"/>
        <w:ind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4.坚持责任共担，多渠道筹资，合理划分筹资责任和保障责任。</w:t>
      </w:r>
    </w:p>
    <w:p w14:paraId="4EFA9A8D">
      <w:pPr>
        <w:pStyle w:val="19"/>
        <w:spacing w:before="0" w:after="0" w:line="560" w:lineRule="exact"/>
        <w:ind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5.坚持整体设计，分步实施，稳妥推进，逐步完善制度体系。</w:t>
      </w:r>
    </w:p>
    <w:p w14:paraId="7F07FFDD">
      <w:pPr>
        <w:widowControl/>
        <w:spacing w:line="5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6.坚持统筹协调，加强与社会保障相关制度及商业保险功能衔接，协同推进健康产业和养老服务体系发展。</w:t>
      </w:r>
    </w:p>
    <w:p w14:paraId="70EFD005">
      <w:pPr>
        <w:widowControl/>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三、筹资标准</w:t>
      </w:r>
    </w:p>
    <w:p w14:paraId="3B0C5111">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长护险筹资标准：基金由个人缴费、财政补助、医保统筹基金划拨三部分组成，其中个人缴费标准为每人每年30元、财政补助标准为每人每年40元，医保统筹基金划拨标准为每人每年30元。</w:t>
      </w:r>
      <w:r>
        <w:rPr>
          <w:rFonts w:hint="eastAsia" w:ascii="宋体" w:hAnsi="宋体" w:eastAsia="宋体" w:cs="宋体"/>
          <w:color w:val="auto"/>
          <w:sz w:val="24"/>
          <w:highlight w:val="none"/>
        </w:rPr>
        <w:t>1至6级残疾军人、建国前老工人、学生及其他未成年人个人缴费部分暂免征缴。借鉴盐城市区经验，初始半年不收取个人缴费部分，按照半年人均35元计算。企业、单位、慈善机构等社会团体和个人给予支持或捐助，纳入长护险基金管理。今后，可根据经济社会发展水平和医疗保障实际需要，由市医疗保障局会同市财政局适时调整筹资标准。如国家、省、市调整参保筹资政策，按新政策执行。</w:t>
      </w:r>
    </w:p>
    <w:p w14:paraId="628EDFC0">
      <w:pPr>
        <w:widowControl/>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四、服务期限</w:t>
      </w:r>
    </w:p>
    <w:p w14:paraId="1E2ABC24">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highlight w:val="none"/>
        </w:rPr>
        <w:t>本项目服务期限1.5年，自2026年7月1日起至2027年12月31日止，分为两个独立且连续的保险周期（2026年7月1日至2026年12月31日为第一期，2027年1月1日至2027年12月31日为第二期）。合同一期一签，每期通过考核后，可续签下一期合同。</w:t>
      </w:r>
    </w:p>
    <w:p w14:paraId="6880806D">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因考核不合格或政策、经办管理模式发生重大变化等原因，采购人有权单方面终止合同或停止续签合同，中标人应无条件服从。</w:t>
      </w:r>
    </w:p>
    <w:p w14:paraId="24CBBD27">
      <w:pPr>
        <w:widowControl/>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五、服务内容和要求</w:t>
      </w:r>
    </w:p>
    <w:p w14:paraId="372435B2">
      <w:pPr>
        <w:widowControl/>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（一）总体要求</w:t>
      </w:r>
    </w:p>
    <w:p w14:paraId="032CADCF">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中标人按《盐城市人民政府关于建立照护保险制度的意见（试行）》（盐政发〔</w:t>
      </w:r>
      <w:r>
        <w:rPr>
          <w:rFonts w:ascii="宋体" w:hAnsi="宋体" w:eastAsia="宋体" w:cs="宋体"/>
          <w:color w:val="auto"/>
          <w:kern w:val="2"/>
          <w:highlight w:val="none"/>
        </w:rPr>
        <w:t>202</w:t>
      </w:r>
      <w:r>
        <w:rPr>
          <w:rFonts w:hint="eastAsia" w:ascii="宋体" w:hAnsi="宋体" w:eastAsia="宋体" w:cs="宋体"/>
          <w:color w:val="auto"/>
          <w:kern w:val="2"/>
          <w:highlight w:val="none"/>
        </w:rPr>
        <w:t>1〕20号）《盐城市长期护理保险实施细则》（盐医保发〔2024〕50号）</w:t>
      </w:r>
      <w:r>
        <w:rPr>
          <w:rFonts w:hint="eastAsia" w:ascii="宋体" w:hAnsi="宋体" w:eastAsia="宋体" w:cs="宋体"/>
          <w:color w:val="auto"/>
          <w:kern w:val="2"/>
          <w:highlight w:val="none"/>
          <w:lang w:eastAsia="zh-CN"/>
        </w:rPr>
        <w:t>《关于印发〈关于拓展长期护理保险试点工作的实施方案〉的通知》（东医保发【2026】20号）</w:t>
      </w:r>
      <w:r>
        <w:rPr>
          <w:rFonts w:hint="eastAsia" w:ascii="宋体" w:hAnsi="宋体" w:eastAsia="宋体" w:cs="宋体"/>
          <w:color w:val="auto"/>
          <w:kern w:val="2"/>
          <w:highlight w:val="none"/>
        </w:rPr>
        <w:t>及相关的配套政策文件要求，在医保经办机构指导下提供</w:t>
      </w:r>
      <w:r>
        <w:rPr>
          <w:rFonts w:hint="eastAsia" w:ascii="宋体" w:hAnsi="宋体" w:eastAsia="宋体" w:cs="宋体"/>
          <w:color w:val="auto"/>
          <w:highlight w:val="none"/>
        </w:rPr>
        <w:t>东台市</w:t>
      </w:r>
      <w:r>
        <w:rPr>
          <w:rFonts w:hint="eastAsia" w:ascii="宋体" w:hAnsi="宋体" w:eastAsia="宋体" w:cs="宋体"/>
          <w:color w:val="auto"/>
          <w:kern w:val="2"/>
          <w:highlight w:val="none"/>
        </w:rPr>
        <w:t xml:space="preserve">长护险承办服务，并接受医保经办机构考核管理、服务群众监督。 </w:t>
      </w:r>
    </w:p>
    <w:p w14:paraId="64147DE4">
      <w:pPr>
        <w:widowControl/>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（二）服务内容</w:t>
      </w:r>
    </w:p>
    <w:p w14:paraId="012E8DAB">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 xml:space="preserve">在合同服务期内，商业保险承办机构（以下简称“承办机构”）负责以下工作： </w:t>
      </w:r>
    </w:p>
    <w:p w14:paraId="71FD8A92">
      <w:pPr>
        <w:widowControl/>
        <w:spacing w:line="5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1.长护险政策宣传、咨询回复及投诉处理工作； </w:t>
      </w:r>
    </w:p>
    <w:p w14:paraId="26B9FEC0">
      <w:pPr>
        <w:widowControl/>
        <w:spacing w:line="5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2.长护险失能等级评估申请的受理审核、评估结论审核，组织失能等级评估、复评估及争议、纠纷处理；</w:t>
      </w:r>
    </w:p>
    <w:p w14:paraId="486EC692">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3.与医保经办机构共同做好长护险定点评估机构、定点长护服务机构的准入、业务指导、日常管理、协议管理、监督考核及违规处理工作；</w:t>
      </w:r>
    </w:p>
    <w:p w14:paraId="5CC49911">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4.长护险待遇费用的核算、对账、审核及稽核，与医保经办机构做好待遇支付的衔接和配合工作；</w:t>
      </w:r>
    </w:p>
    <w:p w14:paraId="7D310CB2">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5.做好失能等级评估费用、专家评审费用核算、对账、审核、复核、支付及稽核工作；</w:t>
      </w:r>
    </w:p>
    <w:p w14:paraId="5DC0FB9A">
      <w:pPr>
        <w:widowControl/>
        <w:spacing w:line="5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6.做好待遇享受人员跟踪回访、满意度调查及稽核调查工作；</w:t>
      </w:r>
    </w:p>
    <w:p w14:paraId="4F81355C">
      <w:pPr>
        <w:widowControl/>
        <w:spacing w:line="5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7.协助做好长护险从业人员的政策业务培训工作； </w:t>
      </w:r>
    </w:p>
    <w:p w14:paraId="2AE8F246">
      <w:pPr>
        <w:widowControl/>
        <w:spacing w:line="5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8.做好长护险基金运行监测分析，按季度编报长护险运行分析报告；</w:t>
      </w:r>
    </w:p>
    <w:p w14:paraId="45A337D4">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9.做好长护险业务档案资料的整理和保存；</w:t>
      </w:r>
    </w:p>
    <w:p w14:paraId="21A19609">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10.协助做好长护险政策调整工作；</w:t>
      </w:r>
    </w:p>
    <w:p w14:paraId="4F059ED3">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11.医保经办机构安排的其他工作。</w:t>
      </w:r>
    </w:p>
    <w:p w14:paraId="25AAF067">
      <w:pPr>
        <w:widowControl/>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（三）项目实施要求</w:t>
      </w:r>
    </w:p>
    <w:p w14:paraId="29D55A8A">
      <w:pPr>
        <w:widowControl/>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1.服务实施方案及要求</w:t>
      </w:r>
    </w:p>
    <w:p w14:paraId="78FF1FAB">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1.1项目启动实施方案</w:t>
      </w:r>
    </w:p>
    <w:p w14:paraId="6E6EE485">
      <w:pPr>
        <w:widowControl/>
        <w:spacing w:line="5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制定完善的项目启动实施方案，详细阐述</w:t>
      </w:r>
      <w:r>
        <w:rPr>
          <w:rFonts w:ascii="宋体" w:hAnsi="宋体" w:eastAsia="宋体" w:cs="宋体"/>
          <w:color w:val="auto"/>
          <w:sz w:val="24"/>
          <w:highlight w:val="none"/>
        </w:rPr>
        <w:t>工作流程，具体</w:t>
      </w:r>
      <w:r>
        <w:rPr>
          <w:rFonts w:hint="eastAsia" w:ascii="宋体" w:hAnsi="宋体" w:eastAsia="宋体" w:cs="宋体"/>
          <w:color w:val="auto"/>
          <w:sz w:val="24"/>
          <w:highlight w:val="none"/>
        </w:rPr>
        <w:t>包括项目实施前准备、推进</w:t>
      </w:r>
      <w:r>
        <w:rPr>
          <w:rFonts w:ascii="宋体" w:hAnsi="宋体" w:eastAsia="宋体" w:cs="宋体"/>
          <w:color w:val="auto"/>
          <w:sz w:val="24"/>
          <w:highlight w:val="none"/>
        </w:rPr>
        <w:t>措施</w:t>
      </w:r>
      <w:r>
        <w:rPr>
          <w:rFonts w:hint="eastAsia" w:ascii="宋体" w:hAnsi="宋体" w:eastAsia="宋体" w:cs="宋体"/>
          <w:color w:val="auto"/>
          <w:sz w:val="24"/>
          <w:highlight w:val="none"/>
        </w:rPr>
        <w:t>以及</w:t>
      </w:r>
      <w:r>
        <w:rPr>
          <w:rFonts w:ascii="宋体" w:hAnsi="宋体" w:eastAsia="宋体" w:cs="宋体"/>
          <w:color w:val="auto"/>
          <w:sz w:val="24"/>
          <w:highlight w:val="none"/>
        </w:rPr>
        <w:t>阶段</w:t>
      </w:r>
      <w:r>
        <w:rPr>
          <w:rFonts w:hint="eastAsia" w:ascii="宋体" w:hAnsi="宋体" w:eastAsia="宋体" w:cs="宋体"/>
          <w:color w:val="auto"/>
          <w:sz w:val="24"/>
          <w:highlight w:val="none"/>
        </w:rPr>
        <w:t>性工作</w:t>
      </w:r>
      <w:r>
        <w:rPr>
          <w:rFonts w:ascii="宋体" w:hAnsi="宋体" w:eastAsia="宋体" w:cs="宋体"/>
          <w:color w:val="auto"/>
          <w:sz w:val="24"/>
          <w:highlight w:val="none"/>
        </w:rPr>
        <w:t>安排，</w:t>
      </w:r>
      <w:r>
        <w:rPr>
          <w:rFonts w:hint="eastAsia" w:ascii="宋体" w:hAnsi="宋体" w:eastAsia="宋体" w:cs="宋体"/>
          <w:color w:val="auto"/>
          <w:sz w:val="24"/>
          <w:highlight w:val="none"/>
        </w:rPr>
        <w:t>建立健全管理制度、制定风险防控和保障措施，配合做好项目实施前各项具体工作，保障制度按计划顺利实施。</w:t>
      </w:r>
    </w:p>
    <w:p w14:paraId="2F41B6D5">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1.2宣传工作方案</w:t>
      </w:r>
    </w:p>
    <w:p w14:paraId="070FCE3E">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基层宣传阵地和渠道完备、力量配备充足，能够精准开展宣传工作，确保市、县、镇、村四级宣传网络全覆盖，有效提高宣传频次及成效，使参保群众能够及时了解参保和待遇政策。</w:t>
      </w:r>
    </w:p>
    <w:p w14:paraId="0467D13B">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1.3培训方案</w:t>
      </w:r>
    </w:p>
    <w:p w14:paraId="1DD27A76">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制定详细可行、针对性强的培训计划，明确时间和进度，能够全面覆盖长护服务机构、照护人员、评估机构及评估人员，保障培训内容的全面性和有效性，针对不同机构和人员实施精准的定制化培训，提升失能评估和照护服务培训成效。</w:t>
      </w:r>
    </w:p>
    <w:p w14:paraId="2EB0B2EC">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1.4失能评估工作方案</w:t>
      </w:r>
    </w:p>
    <w:p w14:paraId="4BCCC819">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涵盖评估机构管理及组织评估的各个方面，具体包括运营管理、失能评估初评、复评及专家复评、评估人员管理、评估能力提升、评估质量管理、协议管理、考核管理、风险监督等多个环节，能够有效提升失能评估结果准确性，保障失能评估工作公平公正。</w:t>
      </w:r>
    </w:p>
    <w:p w14:paraId="0A25420C">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1.5长护服务机构管理方案</w:t>
      </w:r>
    </w:p>
    <w:p w14:paraId="52638D77">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涵盖定点长护服务机构管理的各个方面，具体包括运营管理、照护人员管理、照护能力提升、服务质量及满意度管理、服务档案管理、协议管理、考核管理等多个环节，能够有效促进机构规范运行，提升照护服务质量，增强参保群众幸福感和满意度。</w:t>
      </w:r>
    </w:p>
    <w:p w14:paraId="5036F688">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1.6待遇支付及基金管理方案</w:t>
      </w:r>
    </w:p>
    <w:p w14:paraId="679C9340">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按政策规定和要求做好待遇费用的费用审核、对账以及赔付工作，确保参保群众待遇及时享受。加强基金风险管理，建立健全内控管理机制，按季度开展运行情况分析，保障基金安全平稳运行，确保制度健康和可持续发展。</w:t>
      </w:r>
    </w:p>
    <w:p w14:paraId="7CC9E1E7">
      <w:pPr>
        <w:pStyle w:val="19"/>
        <w:spacing w:before="0" w:after="0" w:line="56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1.7稽核监管工作方案</w:t>
      </w:r>
    </w:p>
    <w:p w14:paraId="67EC4B15">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稽核力量配备充足，稽核人员具备相应的专业知识和实践经验，稽核手段多样化，线下稽核能够做到全覆盖，线上稽核能够实现精准监控、抽检和分析，实现各类监管对象线上线下稽核，实现事前、事中、事后有效监管，提升稽核工作覆盖面和成效。制定切实可行的违规行为处理机制，及时发现违规行为并处理，有效地遏制违规行为的发生。</w:t>
      </w:r>
    </w:p>
    <w:p w14:paraId="6F0961AF">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1.8创新服务方案</w:t>
      </w:r>
    </w:p>
    <w:p w14:paraId="55F5567B">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利用互联网、大数据等先进技术和创新手段，显著提升失能评估、服务质量跟踪管理、待遇享受人员跟踪回访、服务监管及违规行为查处等关键环节的经办服务成效，具备创新亮点、符合经办实际且有可操作性。</w:t>
      </w:r>
    </w:p>
    <w:p w14:paraId="400399B4">
      <w:pPr>
        <w:widowControl/>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2.服务团队配置要求</w:t>
      </w:r>
    </w:p>
    <w:p w14:paraId="652C733E">
      <w:pPr>
        <w:pStyle w:val="19"/>
        <w:spacing w:before="0" w:after="0" w:line="560" w:lineRule="exact"/>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中标人应为本项目配备合理的办公服务场所，用于开展长护险经办服务及内部综合管理等工作。</w:t>
      </w:r>
    </w:p>
    <w:p w14:paraId="754DFE17">
      <w:pPr>
        <w:widowControl/>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应按承诺为本项目配备长护险经办服务全日制工作人员（每3万参保人员至少配备1名工作人员)，其中医学、康复、护理、信息、统计、财务专业（具有大专以上学历）的人员比例不低于30%，派驻相应数量的工作人员至医保经办机构共同办理长护险经办业务。</w:t>
      </w:r>
    </w:p>
    <w:p w14:paraId="4C19C020">
      <w:pPr>
        <w:widowControl/>
        <w:spacing w:line="560" w:lineRule="exact"/>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3.设施配备要求</w:t>
      </w:r>
    </w:p>
    <w:p w14:paraId="12EC6A90">
      <w:pPr>
        <w:widowControl/>
        <w:spacing w:line="5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应配备开展各项业务且与工作量相适应的办公设施（配备打印机、复印机、传真机、扫描仪等能够满足办公需求的办公设备，每人配备办公电脑，稽核岗应按岗位要求配备便携电脑、摄像机、照相机、录音笔等记录核查设备）、核查设备及车辆，并根据长护险各项工作的需求，及时提供。 </w:t>
      </w:r>
    </w:p>
    <w:p w14:paraId="12C0CF1C">
      <w:pPr>
        <w:widowControl/>
        <w:spacing w:line="560" w:lineRule="exact"/>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4.信息系统服务要求</w:t>
      </w:r>
    </w:p>
    <w:p w14:paraId="09D632E0">
      <w:pPr>
        <w:widowControl/>
        <w:spacing w:line="5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有中标人统一纳入信息系统管理，按照合同要求建设长护险信息管理系统，与采购人指定的信息系统进行对接，按要求配置计算机和网络系统，配备与长护险业务相适应的计算机管理人员，实现长护险待遇申请、失能评估、护理服务、基金结算、经办管理、服务监督、风险控制等全流程信息化。建立评估人员、照护人员库，将符合条件的评估人员、照护人员信息录入信息系统，实行动态管理，并做好长护险信息系统各类用户的培训和指导工作。系统开发建设、日常维护以及今后因政策调整所需的软件开发及硬件设备投入费用等费用由承办机构共同承担。</w:t>
      </w:r>
    </w:p>
    <w:p w14:paraId="796A7CB6">
      <w:pPr>
        <w:widowControl/>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5.其他要求 </w:t>
      </w:r>
    </w:p>
    <w:p w14:paraId="053F3AF2">
      <w:pPr>
        <w:widowControl/>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5.1如因长护险发生政策性调整或因行政区划调整导致项目无法履行或需进行变更，中标人承诺服从采购人安排。 </w:t>
      </w:r>
    </w:p>
    <w:p w14:paraId="65C50DE2">
      <w:pPr>
        <w:widowControl/>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5.2中标人需为本项目配备一名专职项目经理；此外，在按照每3万参保人员至少配备1名工作人员的基础上，另行增加的人员成本不纳入长护险合作经办人员成本，由乙方自行承担。</w:t>
      </w:r>
    </w:p>
    <w:p w14:paraId="53B28B3D">
      <w:pPr>
        <w:pStyle w:val="10"/>
        <w:spacing w:line="560" w:lineRule="exact"/>
        <w:ind w:firstLine="482"/>
        <w:rPr>
          <w:rFonts w:hint="eastAsia" w:cs="宋体"/>
          <w:b/>
          <w:bCs/>
          <w:color w:val="auto"/>
          <w:kern w:val="2"/>
          <w:sz w:val="24"/>
          <w:szCs w:val="24"/>
          <w:highlight w:val="none"/>
        </w:rPr>
      </w:pPr>
      <w:r>
        <w:rPr>
          <w:rFonts w:hint="eastAsia" w:cs="宋体"/>
          <w:b/>
          <w:bCs/>
          <w:color w:val="auto"/>
          <w:kern w:val="2"/>
          <w:sz w:val="24"/>
          <w:szCs w:val="24"/>
          <w:highlight w:val="none"/>
        </w:rPr>
        <w:t>六、保障内容及要求</w:t>
      </w:r>
    </w:p>
    <w:p w14:paraId="039491D5">
      <w:pPr>
        <w:spacing w:line="5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1．保障对象</w:t>
      </w:r>
    </w:p>
    <w:p w14:paraId="75AB56B7">
      <w:pPr>
        <w:pStyle w:val="20"/>
        <w:widowControl w:val="0"/>
        <w:spacing w:before="0" w:beforeAutospacing="0" w:after="0" w:afterAutospacing="0" w:line="560" w:lineRule="exact"/>
        <w:ind w:firstLine="480" w:firstLineChars="200"/>
        <w:jc w:val="both"/>
        <w:rPr>
          <w:rFonts w:hint="eastAsia" w:eastAsia="宋体"/>
          <w:color w:val="auto"/>
          <w:highlight w:val="none"/>
        </w:rPr>
      </w:pPr>
      <w:r>
        <w:rPr>
          <w:rFonts w:hint="eastAsia" w:eastAsia="宋体"/>
          <w:color w:val="auto"/>
          <w:highlight w:val="none"/>
        </w:rPr>
        <w:t>全市城乡居民基本医疗保险参保人员为长护险参保对象。</w:t>
      </w:r>
      <w:r>
        <w:rPr>
          <w:rFonts w:hint="eastAsia" w:eastAsia="宋体"/>
          <w:color w:val="auto"/>
          <w:kern w:val="2"/>
          <w:highlight w:val="none"/>
        </w:rPr>
        <w:t>筹资标准100元/人，其中学生等未成年人个人缴费暂免征缴，为70元/人。</w:t>
      </w:r>
      <w:r>
        <w:rPr>
          <w:rFonts w:hint="eastAsia" w:eastAsia="宋体"/>
          <w:color w:val="auto"/>
          <w:highlight w:val="none"/>
        </w:rPr>
        <w:t>借鉴盐城市区经验，初始半年不收取个人缴费部分，按照半年人均35元计算。</w:t>
      </w:r>
    </w:p>
    <w:p w14:paraId="492AAF7A">
      <w:pPr>
        <w:spacing w:line="560" w:lineRule="exact"/>
        <w:ind w:firstLine="480" w:firstLineChars="200"/>
        <w:rPr>
          <w:rFonts w:hint="eastAsia" w:ascii="宋体" w:hAnsi="宋体" w:cs="方正楷体_GBK"/>
          <w:b/>
          <w:color w:val="auto"/>
          <w:kern w:val="0"/>
          <w:sz w:val="30"/>
          <w:szCs w:val="30"/>
          <w:highlight w:val="none"/>
        </w:rPr>
      </w:pPr>
      <w:r>
        <w:rPr>
          <w:rFonts w:hint="eastAsia" w:ascii="宋体" w:hAnsi="宋体" w:eastAsia="宋体" w:cs="宋体"/>
          <w:color w:val="auto"/>
          <w:sz w:val="24"/>
          <w:highlight w:val="none"/>
        </w:rPr>
        <w:t>按照2025年12月底数据，全市城乡居民基本医疗保险参保人数约67.35万人，其中学生约为8.57万人。实际人数以各期参保人数为准。</w:t>
      </w:r>
    </w:p>
    <w:p w14:paraId="059AC50C">
      <w:pPr>
        <w:pStyle w:val="20"/>
        <w:widowControl w:val="0"/>
        <w:spacing w:before="0" w:beforeAutospacing="0" w:after="0" w:afterAutospacing="0" w:line="560" w:lineRule="exact"/>
        <w:ind w:firstLine="482" w:firstLineChars="200"/>
        <w:jc w:val="both"/>
        <w:rPr>
          <w:rFonts w:hint="eastAsia" w:eastAsia="宋体"/>
          <w:b/>
          <w:bCs/>
          <w:color w:val="auto"/>
          <w:kern w:val="2"/>
          <w:highlight w:val="none"/>
        </w:rPr>
      </w:pPr>
      <w:r>
        <w:rPr>
          <w:rFonts w:hint="eastAsia" w:eastAsia="宋体"/>
          <w:b/>
          <w:bCs/>
          <w:color w:val="auto"/>
          <w:kern w:val="2"/>
          <w:highlight w:val="none"/>
        </w:rPr>
        <w:t>2．保障范围及待遇标准</w:t>
      </w:r>
    </w:p>
    <w:p w14:paraId="1D861C27">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2.1失能等级评估为重度失能等级的参保人员（以下简称“失能人员”）可选择入住定点长护服务机构接受照护服务、居家接受定点长护服务机构上门照护服务以及居家接受定点长护服务机构上门照护服务和亲情照护服务相结合等照护服务的方式，享受相应的长护险待遇。</w:t>
      </w:r>
    </w:p>
    <w:p w14:paraId="3CF2BFE3">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2.2失能人员在市内接受照护服务期间，发生的属于长护险照护服务项目范围和标准的费用（照护服务项目另行制定），由长护险基金按以下标准定额支付：</w:t>
      </w:r>
    </w:p>
    <w:p w14:paraId="47B83863">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（一）入住定点长护服务机构的医疗机构照护床位接受照护服务的，由长护险基金按80元/天的标准与定点长护服务机构结算；</w:t>
      </w:r>
    </w:p>
    <w:p w14:paraId="01580E67">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（二）入住定点长护服务机构的养老机构照护床位接受照护服务的，由长护险基金按60元/天的标准与定点长护服务机构结算；</w:t>
      </w:r>
    </w:p>
    <w:p w14:paraId="2A2D3021">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居家接受定点长护服务机构提供上门照护服务的，每月可享受不超过15次服务，每次服务时长不少于1.5小时，由长护险基金按80元/次的标准与定点长护服务机构结算，因故导致上门照护服务低于规定次数的，按实际服务次数结算；</w:t>
      </w:r>
    </w:p>
    <w:p w14:paraId="229C29FF">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四）居家接受定点长护服务机构上门提供照护服务和亲情照护服务相结合的，每月可享受不超过4次服务，每次服务时长不少于1.5小时，由长护险基金按80元/次的标准与定点长护服务机构结算，因故导致上门照护服务低于规定次数的，按实际服务次数结算。同时，长护险基金按10元/天的标准支付亲情照护服务补助，为失能人员提供亲情照护的人员应接受相关照护培训。</w:t>
      </w:r>
    </w:p>
    <w:p w14:paraId="5C03EFF8">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2.3在市外（不含境外）居住的失能人员，由长护险基金暂按20元/天的标准支付照护服务补助。</w:t>
      </w:r>
    </w:p>
    <w:p w14:paraId="1E19D480">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在合同期内，如遇本市长护险相关政策变化，长护险保障范围和待遇水平按照新的政策标准执行。</w:t>
      </w:r>
    </w:p>
    <w:p w14:paraId="5FF9F4BC">
      <w:pPr>
        <w:pStyle w:val="20"/>
        <w:widowControl w:val="0"/>
        <w:spacing w:before="0" w:beforeAutospacing="0" w:after="0" w:afterAutospacing="0" w:line="560" w:lineRule="exact"/>
        <w:ind w:firstLine="482" w:firstLineChars="200"/>
        <w:jc w:val="both"/>
        <w:rPr>
          <w:rFonts w:hint="eastAsia" w:eastAsia="宋体"/>
          <w:b/>
          <w:bCs/>
          <w:color w:val="auto"/>
          <w:kern w:val="2"/>
          <w:highlight w:val="none"/>
        </w:rPr>
      </w:pPr>
      <w:r>
        <w:rPr>
          <w:rFonts w:hint="eastAsia" w:eastAsia="宋体"/>
          <w:b/>
          <w:bCs/>
          <w:color w:val="auto"/>
          <w:kern w:val="2"/>
          <w:highlight w:val="none"/>
        </w:rPr>
        <w:t>七、项目运行模式</w:t>
      </w:r>
    </w:p>
    <w:p w14:paraId="132EC005">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东台市长护险服务机构采购项目实行“运行风险共担、保险事务共办、购买承办服务、年度考核准出”的运行模式。</w:t>
      </w:r>
    </w:p>
    <w:p w14:paraId="03892CA1">
      <w:pPr>
        <w:pStyle w:val="20"/>
        <w:widowControl w:val="0"/>
        <w:spacing w:before="0" w:beforeAutospacing="0" w:after="0" w:afterAutospacing="0" w:line="560" w:lineRule="exact"/>
        <w:ind w:firstLine="482" w:firstLineChars="200"/>
        <w:jc w:val="both"/>
        <w:rPr>
          <w:rFonts w:hint="eastAsia" w:eastAsia="宋体"/>
          <w:color w:val="auto"/>
          <w:kern w:val="2"/>
          <w:highlight w:val="none"/>
        </w:rPr>
      </w:pPr>
      <w:r>
        <w:rPr>
          <w:rFonts w:hint="eastAsia" w:eastAsia="宋体"/>
          <w:b/>
          <w:bCs/>
          <w:color w:val="auto"/>
          <w:kern w:val="2"/>
          <w:highlight w:val="none"/>
        </w:rPr>
        <w:t>1.运行风险共担。</w:t>
      </w:r>
      <w:r>
        <w:rPr>
          <w:rFonts w:hint="eastAsia" w:eastAsia="宋体"/>
          <w:color w:val="auto"/>
          <w:kern w:val="2"/>
          <w:highlight w:val="none"/>
        </w:rPr>
        <w:t>承办机构与长护险基金实行风险共担机制，长护险保费如出现亏损，若年度实际亏损率（绝对值）小于或等于2%的，亏损额由承办机构全额承担；年度实际亏损率（绝对值）大于2%的，亏损率（绝对值）2%以及亏损超额5%部分由承办机构承担，剩余亏损由长护险基金承担；如有结余，全部返还财政专户。</w:t>
      </w:r>
    </w:p>
    <w:p w14:paraId="4081C16E">
      <w:pPr>
        <w:pStyle w:val="20"/>
        <w:widowControl w:val="0"/>
        <w:spacing w:before="0" w:beforeAutospacing="0" w:after="0" w:afterAutospacing="0" w:line="560" w:lineRule="exact"/>
        <w:ind w:firstLine="482" w:firstLineChars="200"/>
        <w:jc w:val="both"/>
        <w:rPr>
          <w:rFonts w:hint="eastAsia" w:eastAsia="宋体"/>
          <w:color w:val="auto"/>
          <w:kern w:val="2"/>
          <w:highlight w:val="none"/>
        </w:rPr>
      </w:pPr>
      <w:r>
        <w:rPr>
          <w:rFonts w:hint="eastAsia" w:eastAsia="宋体"/>
          <w:b/>
          <w:bCs/>
          <w:color w:val="auto"/>
          <w:kern w:val="2"/>
          <w:highlight w:val="none"/>
        </w:rPr>
        <w:t>2.保险事务共办。</w:t>
      </w:r>
      <w:r>
        <w:rPr>
          <w:rFonts w:hint="eastAsia" w:eastAsia="宋体"/>
          <w:color w:val="auto"/>
          <w:kern w:val="2"/>
          <w:highlight w:val="none"/>
        </w:rPr>
        <w:t>长护险经办事务由医保经办机构和承办机构共同承担，分工负责。</w:t>
      </w:r>
    </w:p>
    <w:p w14:paraId="4CE6617E">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医保经办机构负责长护险配套制度的制定、参保登记、基金筹集、保费及承办服务费拨付、待遇费用结算；承办机构的合同签订、管理、监督指导和考核；定点评估机构和定点长护服务机构的准入、协议签订、管理、监督指导和考核；定点长护服务机构服务费用及亲情照护费用的复核及支付结算；评估专家库的组建、管理等工作。</w:t>
      </w:r>
    </w:p>
    <w:p w14:paraId="3D36F205">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承办机构在医保经办机构的指导和监督下，承办具体事务，具体负责做好失能等级评估的评估申请受理、审核，组织失能等级评估和复评的相关工作；待遇费用核算、对账、审核及稽核；失能等级评估、争议复评、专家评审费用核算、对账、审核、复核、支付及稽核；协助医保经办机构对定点评估机构、定点长护服务机构进行日常管理、协议管理、监督管理、稽核管理、业务指导及考核；政策宣传、咨询答复、投诉处理以及待遇享受人员跟踪回访、满意度调查及稽核调查；协助做好长护险信息系统建设；协助做好政策调整、经办服务能力提升等调查研究等工作。</w:t>
      </w:r>
    </w:p>
    <w:p w14:paraId="7FEF7C16">
      <w:pPr>
        <w:pStyle w:val="20"/>
        <w:widowControl w:val="0"/>
        <w:spacing w:before="0" w:beforeAutospacing="0" w:after="0" w:afterAutospacing="0" w:line="560" w:lineRule="exact"/>
        <w:ind w:firstLine="482" w:firstLineChars="200"/>
        <w:jc w:val="both"/>
        <w:rPr>
          <w:rFonts w:hint="eastAsia" w:eastAsia="宋体"/>
          <w:color w:val="auto"/>
          <w:kern w:val="2"/>
          <w:highlight w:val="none"/>
        </w:rPr>
      </w:pPr>
      <w:r>
        <w:rPr>
          <w:rFonts w:hint="eastAsia" w:eastAsia="宋体"/>
          <w:b/>
          <w:bCs/>
          <w:color w:val="auto"/>
          <w:kern w:val="2"/>
          <w:highlight w:val="none"/>
        </w:rPr>
        <w:t>3.购买承办服务。</w:t>
      </w:r>
      <w:r>
        <w:rPr>
          <w:rFonts w:hint="eastAsia" w:eastAsia="宋体"/>
          <w:color w:val="auto"/>
          <w:kern w:val="2"/>
          <w:highlight w:val="none"/>
        </w:rPr>
        <w:t>承办服务费从长护险基金中计提，医保经办机构预留年度承办服务费的5%作为考核金，剩余承办服务费于每季度拨付至承办机构。每年4月底前，医保经办机构根据承办机构合同履行情况、承办服务质量、年度考核结果进行承办服务费年度考核金结算。</w:t>
      </w:r>
    </w:p>
    <w:p w14:paraId="217842C4">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承办机构招录的经办人员人工成本（第三方服务手续费、代理第三方服务管理费、薪酬、保险、福利、误餐费、加班费、工作服费用等）、办公经费（与长护险业务发生的会议、差旅、宣传、培训、培训教材编写劳务费用、专家授课劳务费用、教材和宣传资料等印刷费用、稽核监管、电脑、日常办公用品、车辆及其他交通工具等日常经营费用）、失能评估相关费用（包含初评、复评、专家评审等）、经办服务场所建设费用、办公装备设施费用、信息系统费用（含软件开发建设及更新、硬件设备、安全等保、运行维护等）等均列入承办服务费支出。承保期限内，承办服务费如有结余，归承办机构所有；如有亏损，全部由承办机构承担。承办机构不得因承办服务费限制，出现降低服务质量的行为。</w:t>
      </w:r>
    </w:p>
    <w:p w14:paraId="1DA62CE7">
      <w:pPr>
        <w:pStyle w:val="20"/>
        <w:widowControl w:val="0"/>
        <w:spacing w:before="0" w:beforeAutospacing="0" w:after="0" w:afterAutospacing="0" w:line="560" w:lineRule="exact"/>
        <w:ind w:firstLine="482" w:firstLineChars="200"/>
        <w:jc w:val="both"/>
        <w:rPr>
          <w:rFonts w:hint="eastAsia" w:eastAsia="宋体"/>
          <w:color w:val="auto"/>
          <w:kern w:val="2"/>
          <w:highlight w:val="none"/>
        </w:rPr>
      </w:pPr>
      <w:r>
        <w:rPr>
          <w:rFonts w:hint="eastAsia" w:eastAsia="宋体"/>
          <w:b/>
          <w:bCs/>
          <w:color w:val="auto"/>
          <w:kern w:val="2"/>
          <w:highlight w:val="none"/>
        </w:rPr>
        <w:t>4.年度考核退出。</w:t>
      </w:r>
      <w:r>
        <w:rPr>
          <w:rFonts w:hint="eastAsia" w:eastAsia="宋体"/>
          <w:color w:val="auto"/>
          <w:kern w:val="2"/>
          <w:highlight w:val="none"/>
        </w:rPr>
        <w:t>建立与承办质量相挂钩的考核机制，定期对承办机构合同履行情况、理赔时限情况、基金运行管理情况、服务质量情况、资金管理情况等进行考核，如有承办机构当期考核不通过，则终止合同。</w:t>
      </w:r>
    </w:p>
    <w:p w14:paraId="0B154947">
      <w:pPr>
        <w:pStyle w:val="20"/>
        <w:widowControl w:val="0"/>
        <w:spacing w:before="0" w:beforeAutospacing="0" w:after="0" w:afterAutospacing="0" w:line="560" w:lineRule="exact"/>
        <w:ind w:firstLine="482" w:firstLineChars="200"/>
        <w:jc w:val="both"/>
        <w:rPr>
          <w:rFonts w:hint="eastAsia" w:eastAsia="宋体"/>
          <w:b/>
          <w:bCs/>
          <w:color w:val="auto"/>
          <w:kern w:val="2"/>
          <w:highlight w:val="none"/>
        </w:rPr>
      </w:pPr>
      <w:r>
        <w:rPr>
          <w:rFonts w:hint="eastAsia" w:eastAsia="宋体"/>
          <w:b/>
          <w:bCs/>
          <w:color w:val="auto"/>
          <w:kern w:val="2"/>
          <w:highlight w:val="none"/>
        </w:rPr>
        <w:t>八、考核与管理</w:t>
      </w:r>
    </w:p>
    <w:p w14:paraId="4AA8D47A">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1.医保经办机构有权邀请相关专业机构组成考核小组对承办机构相关工作进行考核评价，内容包括但不限于：合同履行情况、基金运行管理情况、服务质效情况和促进参保扩面情况等，承办机构须积极配合。</w:t>
      </w:r>
    </w:p>
    <w:p w14:paraId="49EC2230">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2.建立健全长护险基金监管机制，对基金使用情况、医疗护理服务、欺诈骗保等进行监督管理。</w:t>
      </w:r>
    </w:p>
    <w:p w14:paraId="02E86B6D">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 xml:space="preserve">3.医保经办机构建立举报投诉、信息披露、基金监管、欺诈防范等监管机制。对承办机构政策制度执行情况及业务经办情况进行实时督查。 </w:t>
      </w:r>
    </w:p>
    <w:p w14:paraId="296DDBDD">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4.承办机构应建立费用审核、内部控制、日常巡查、运行分析等管理制度，通过信息系统、抽查询访、满意度调查等途径，对评估结果、定点长护服务机构服务质量及待遇享受等情况进行跟踪管理，按季度编报长护险运行分析报告报送至医保经办机构。</w:t>
      </w:r>
    </w:p>
    <w:p w14:paraId="769867A7">
      <w:pPr>
        <w:widowControl/>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承办机构应发挥精准精细服务优势，以照护服务为抓手，引导群众及其家庭成员及时参保缴费，实现应保尽保。宣传动员城乡居民、灵活就业人员、个体工商户参加基本医疗保险，进一步优化参保结构，扩大长护险参保覆盖面。</w:t>
      </w:r>
    </w:p>
    <w:p w14:paraId="4FCD759E">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6.承办机构、定点评估机构、定点长护服务机构及其工作人员、参保人员等存在违法违规行为造成基金损失的，可参照医疗保障基金使用监督管理有关规定处理。构成犯罪的，移送司法机关追究刑事责任。</w:t>
      </w:r>
    </w:p>
    <w:p w14:paraId="1826034C">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7.建立健全长护险诚信档案，根据信用评价等级分级分类监督管理，对失信行为按照国家有关规定实施惩戒。</w:t>
      </w:r>
    </w:p>
    <w:p w14:paraId="0559265F">
      <w:pPr>
        <w:pStyle w:val="20"/>
        <w:widowControl w:val="0"/>
        <w:spacing w:before="0" w:beforeAutospacing="0" w:after="0" w:afterAutospacing="0" w:line="560" w:lineRule="exact"/>
        <w:ind w:firstLine="482" w:firstLineChars="200"/>
        <w:jc w:val="both"/>
        <w:rPr>
          <w:rFonts w:hint="eastAsia" w:eastAsia="宋体"/>
          <w:color w:val="auto"/>
          <w:kern w:val="2"/>
          <w:highlight w:val="none"/>
        </w:rPr>
      </w:pPr>
      <w:r>
        <w:rPr>
          <w:rFonts w:hint="eastAsia" w:eastAsia="宋体"/>
          <w:b/>
          <w:bCs/>
          <w:color w:val="auto"/>
          <w:kern w:val="2"/>
          <w:highlight w:val="none"/>
        </w:rPr>
        <w:t>九、采购需求中必须满足的实质性要求</w:t>
      </w:r>
    </w:p>
    <w:p w14:paraId="4821C0FC">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1.投标人为保险监督管理机构批准设立的保险公司，且具备健康保险资质（提供《保险许可证》复印件或扫描件)。</w:t>
      </w:r>
    </w:p>
    <w:p w14:paraId="51F55F68">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2.本项目接受总公司、地市级及以上的分公司（支公司）投标，若为分公司（支公司）进行投标的，须提供总公司的授权书。</w:t>
      </w:r>
    </w:p>
    <w:p w14:paraId="4D5A0D25">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3.投标人书面承诺在2026年7月1日至2027年12月31日均符合国家金融监督管理局规定的相应条件。</w:t>
      </w:r>
    </w:p>
    <w:p w14:paraId="12B721A8">
      <w:pPr>
        <w:pStyle w:val="20"/>
        <w:widowControl w:val="0"/>
        <w:spacing w:before="0" w:beforeAutospacing="0" w:after="0" w:afterAutospacing="0" w:line="560" w:lineRule="exact"/>
        <w:ind w:firstLine="480" w:firstLineChars="200"/>
        <w:jc w:val="both"/>
        <w:rPr>
          <w:rFonts w:hint="eastAsia" w:eastAsia="宋体"/>
          <w:color w:val="auto"/>
          <w:kern w:val="2"/>
          <w:highlight w:val="none"/>
        </w:rPr>
      </w:pPr>
      <w:r>
        <w:rPr>
          <w:rFonts w:hint="eastAsia" w:eastAsia="宋体"/>
          <w:color w:val="auto"/>
          <w:kern w:val="2"/>
          <w:highlight w:val="none"/>
        </w:rPr>
        <w:t>4.同一保险集团公司的不同分（子）公司，不得同时参加本项目投标。</w:t>
      </w:r>
    </w:p>
    <w:p w14:paraId="1692DC03">
      <w:pPr>
        <w:spacing w:line="560" w:lineRule="exact"/>
        <w:rPr>
          <w:color w:val="auto"/>
          <w:highlight w:val="none"/>
        </w:rPr>
      </w:pPr>
      <w:r>
        <w:rPr>
          <w:rFonts w:hint="eastAsia" w:ascii="宋体" w:hAnsi="宋体" w:eastAsia="宋体" w:cs="宋体"/>
          <w:b/>
          <w:bCs/>
          <w:color w:val="auto"/>
          <w:sz w:val="24"/>
          <w:highlight w:val="none"/>
        </w:rPr>
        <w:t>注：采购标的的所属行业为</w:t>
      </w:r>
      <w:bookmarkStart w:id="168" w:name="_Hlk176770558"/>
      <w:r>
        <w:rPr>
          <w:rFonts w:hint="eastAsia" w:ascii="宋体" w:hAnsi="宋体" w:eastAsia="宋体" w:cs="宋体"/>
          <w:b/>
          <w:bCs/>
          <w:color w:val="auto"/>
          <w:sz w:val="24"/>
          <w:highlight w:val="none"/>
        </w:rPr>
        <w:t>其他未列明</w:t>
      </w:r>
      <w:bookmarkEnd w:id="168"/>
      <w:r>
        <w:rPr>
          <w:rFonts w:hint="eastAsia" w:ascii="宋体" w:hAnsi="宋体" w:eastAsia="宋体" w:cs="宋体"/>
          <w:b/>
          <w:bCs/>
          <w:color w:val="auto"/>
          <w:sz w:val="24"/>
          <w:highlight w:val="none"/>
        </w:rPr>
        <w:t>行业，根据《工业和信息化部、国家统计局、国家发展和改革委员会、财政部关于印发中小企业划型标准规定的通知》（工信部联企业〔2011〕300号）规定的划分标准填写。</w:t>
      </w:r>
    </w:p>
    <w:bookmarkEnd w:id="157"/>
    <w:bookmarkEnd w:id="158"/>
    <w:bookmarkEnd w:id="159"/>
    <w:bookmarkEnd w:id="160"/>
    <w:bookmarkEnd w:id="161"/>
    <w:bookmarkEnd w:id="162"/>
    <w:bookmarkEnd w:id="163"/>
    <w:bookmarkEnd w:id="164"/>
    <w:bookmarkEnd w:id="165"/>
    <w:bookmarkEnd w:id="166"/>
    <w:bookmarkEnd w:id="167"/>
    <w:p w14:paraId="1B0F187D">
      <w:pPr>
        <w:rPr>
          <w:rFonts w:hint="eastAsia" w:ascii="黑体" w:hAnsi="宋体" w:eastAsia="黑体" w:cs="黑体"/>
          <w:color w:val="auto"/>
          <w:sz w:val="44"/>
          <w:szCs w:val="44"/>
          <w:highlight w:val="none"/>
        </w:rPr>
      </w:pPr>
      <w:bookmarkStart w:id="169" w:name="_Toc120614281"/>
      <w:r>
        <w:rPr>
          <w:rFonts w:hint="eastAsia" w:ascii="黑体" w:hAnsi="宋体" w:eastAsia="黑体" w:cs="黑体"/>
          <w:color w:val="auto"/>
          <w:sz w:val="44"/>
          <w:szCs w:val="44"/>
          <w:highlight w:val="none"/>
        </w:rPr>
        <w:br w:type="page"/>
      </w:r>
    </w:p>
    <w:p w14:paraId="2D2B2C22">
      <w:pPr>
        <w:pStyle w:val="9"/>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响应文件格式 </w:t>
      </w:r>
    </w:p>
    <w:p w14:paraId="6C48DB15">
      <w:pPr>
        <w:pStyle w:val="9"/>
        <w:spacing w:beforeAutospacing="0" w:afterAutospacing="0"/>
        <w:jc w:val="center"/>
        <w:rPr>
          <w:rFonts w:hint="eastAsia" w:ascii="宋体" w:hAnsi="宋体" w:eastAsia="宋体" w:cs="宋体"/>
          <w:b/>
          <w:color w:val="auto"/>
          <w:sz w:val="72"/>
          <w:szCs w:val="72"/>
          <w:highlight w:val="none"/>
        </w:rPr>
      </w:pPr>
      <w:bookmarkStart w:id="170" w:name="_Toc49090576"/>
      <w:bookmarkEnd w:id="170"/>
      <w:bookmarkStart w:id="171" w:name="_Toc120614282"/>
      <w:bookmarkEnd w:id="171"/>
      <w:bookmarkStart w:id="172" w:name="_Toc26554094"/>
      <w:bookmarkStart w:id="173" w:name="_Hlt26671244"/>
      <w:bookmarkStart w:id="174" w:name="_Hlt26955039"/>
    </w:p>
    <w:p w14:paraId="4209A073">
      <w:pPr>
        <w:pStyle w:val="9"/>
        <w:spacing w:beforeAutospacing="0" w:afterAutospacing="0"/>
        <w:jc w:val="center"/>
        <w:rPr>
          <w:rFonts w:hint="eastAsia" w:ascii="宋体" w:hAnsi="宋体" w:eastAsia="宋体" w:cs="宋体"/>
          <w:b/>
          <w:color w:val="auto"/>
          <w:sz w:val="72"/>
          <w:szCs w:val="72"/>
          <w:highlight w:val="none"/>
        </w:rPr>
      </w:pPr>
    </w:p>
    <w:p w14:paraId="065D444E">
      <w:pPr>
        <w:pStyle w:val="9"/>
        <w:spacing w:beforeAutospacing="0" w:afterAutospacing="0"/>
        <w:jc w:val="center"/>
        <w:rPr>
          <w:color w:val="auto"/>
          <w:highlight w:val="none"/>
        </w:rPr>
      </w:pPr>
      <w:r>
        <w:rPr>
          <w:rFonts w:hint="eastAsia" w:ascii="宋体" w:hAnsi="宋体" w:eastAsia="宋体" w:cs="宋体"/>
          <w:b/>
          <w:color w:val="auto"/>
          <w:sz w:val="72"/>
          <w:szCs w:val="72"/>
          <w:highlight w:val="none"/>
        </w:rPr>
        <w:t>响  应  文  件</w:t>
      </w:r>
    </w:p>
    <w:p w14:paraId="431226B9">
      <w:pPr>
        <w:pStyle w:val="9"/>
        <w:spacing w:beforeAutospacing="0" w:afterAutospacing="0"/>
        <w:jc w:val="center"/>
        <w:rPr>
          <w:color w:val="auto"/>
          <w:highlight w:val="none"/>
        </w:rPr>
      </w:pPr>
      <w:r>
        <w:rPr>
          <w:color w:val="auto"/>
          <w:highlight w:val="none"/>
        </w:rPr>
        <w:t> </w:t>
      </w:r>
    </w:p>
    <w:p w14:paraId="2A645E80">
      <w:pPr>
        <w:pStyle w:val="9"/>
        <w:spacing w:beforeAutospacing="0" w:afterAutospacing="0"/>
        <w:jc w:val="center"/>
        <w:rPr>
          <w:color w:val="auto"/>
          <w:highlight w:val="none"/>
        </w:rPr>
      </w:pPr>
      <w:r>
        <w:rPr>
          <w:color w:val="auto"/>
          <w:highlight w:val="none"/>
        </w:rPr>
        <w:t> </w:t>
      </w:r>
    </w:p>
    <w:p w14:paraId="678A1F6D">
      <w:pPr>
        <w:pStyle w:val="9"/>
        <w:spacing w:beforeAutospacing="0" w:afterAutospacing="0"/>
        <w:jc w:val="center"/>
        <w:rPr>
          <w:color w:val="auto"/>
          <w:highlight w:val="none"/>
        </w:rPr>
      </w:pPr>
      <w:r>
        <w:rPr>
          <w:color w:val="auto"/>
          <w:highlight w:val="none"/>
        </w:rPr>
        <w:t> </w:t>
      </w:r>
    </w:p>
    <w:p w14:paraId="38E48B04">
      <w:pPr>
        <w:pStyle w:val="9"/>
        <w:spacing w:beforeAutospacing="0" w:afterAutospacing="0"/>
        <w:jc w:val="center"/>
        <w:rPr>
          <w:color w:val="auto"/>
          <w:highlight w:val="none"/>
        </w:rPr>
      </w:pPr>
      <w:r>
        <w:rPr>
          <w:color w:val="auto"/>
          <w:highlight w:val="none"/>
        </w:rPr>
        <w:t> </w:t>
      </w:r>
    </w:p>
    <w:p w14:paraId="32B5D9F1">
      <w:pPr>
        <w:pStyle w:val="9"/>
        <w:spacing w:beforeAutospacing="0" w:afterAutospacing="0"/>
        <w:jc w:val="center"/>
        <w:rPr>
          <w:color w:val="auto"/>
          <w:highlight w:val="none"/>
        </w:rPr>
      </w:pPr>
      <w:r>
        <w:rPr>
          <w:color w:val="auto"/>
          <w:highlight w:val="none"/>
        </w:rPr>
        <w:t> </w:t>
      </w:r>
    </w:p>
    <w:p w14:paraId="0576C2F4">
      <w:pPr>
        <w:pStyle w:val="9"/>
        <w:spacing w:beforeAutospacing="0" w:afterAutospacing="0"/>
        <w:ind w:firstLine="723" w:firstLineChars="200"/>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xml:space="preserve">            </w:t>
      </w:r>
    </w:p>
    <w:p w14:paraId="3821BA4C">
      <w:pPr>
        <w:pStyle w:val="9"/>
        <w:spacing w:beforeAutospacing="0" w:afterAutospacing="0"/>
        <w:ind w:firstLine="723" w:firstLineChars="200"/>
        <w:jc w:val="both"/>
        <w:rPr>
          <w:color w:val="auto"/>
          <w:highlight w:val="none"/>
        </w:rPr>
      </w:pPr>
      <w:r>
        <w:rPr>
          <w:rFonts w:hint="eastAsia" w:ascii="宋体" w:hAnsi="宋体" w:eastAsia="宋体" w:cs="宋体"/>
          <w:b/>
          <w:color w:val="auto"/>
          <w:sz w:val="36"/>
          <w:szCs w:val="36"/>
          <w:highlight w:val="none"/>
        </w:rPr>
        <w:t>采 购 编 号：</w:t>
      </w:r>
      <w:r>
        <w:rPr>
          <w:rFonts w:hint="eastAsia" w:ascii="宋体" w:hAnsi="宋体" w:eastAsia="宋体" w:cs="宋体"/>
          <w:b/>
          <w:color w:val="auto"/>
          <w:sz w:val="36"/>
          <w:szCs w:val="36"/>
          <w:highlight w:val="none"/>
          <w:u w:val="single"/>
        </w:rPr>
        <w:t>            </w:t>
      </w:r>
    </w:p>
    <w:p w14:paraId="00F4BD2C">
      <w:pPr>
        <w:pStyle w:val="9"/>
        <w:spacing w:beforeAutospacing="0" w:afterAutospacing="0"/>
        <w:ind w:firstLine="723" w:firstLineChars="200"/>
        <w:jc w:val="both"/>
        <w:rPr>
          <w:color w:val="auto"/>
          <w:highlight w:val="none"/>
        </w:rPr>
      </w:pPr>
      <w:r>
        <w:rPr>
          <w:rFonts w:hint="eastAsia" w:ascii="宋体" w:hAnsi="宋体" w:eastAsia="宋体" w:cs="宋体"/>
          <w:b/>
          <w:color w:val="auto"/>
          <w:sz w:val="36"/>
          <w:szCs w:val="36"/>
          <w:highlight w:val="none"/>
        </w:rPr>
        <w:t>供应商名称 ：</w:t>
      </w:r>
      <w:r>
        <w:rPr>
          <w:rFonts w:hint="eastAsia" w:ascii="宋体" w:hAnsi="宋体" w:eastAsia="宋体" w:cs="宋体"/>
          <w:b/>
          <w:color w:val="auto"/>
          <w:sz w:val="36"/>
          <w:szCs w:val="36"/>
          <w:highlight w:val="none"/>
          <w:u w:val="single"/>
        </w:rPr>
        <w:t>（加盖CA电子公章）</w:t>
      </w:r>
    </w:p>
    <w:p w14:paraId="4809E001">
      <w:pPr>
        <w:pStyle w:val="9"/>
        <w:spacing w:beforeAutospacing="0" w:afterAutospacing="0"/>
        <w:ind w:firstLine="723" w:firstLineChars="200"/>
        <w:jc w:val="both"/>
        <w:rPr>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xml:space="preserve">              </w:t>
      </w:r>
    </w:p>
    <w:p w14:paraId="3DE367D9">
      <w:pPr>
        <w:pStyle w:val="9"/>
        <w:spacing w:beforeAutospacing="0" w:afterAutospacing="0" w:line="0" w:lineRule="atLeast"/>
        <w:jc w:val="center"/>
        <w:rPr>
          <w:color w:val="auto"/>
          <w:highlight w:val="none"/>
        </w:rPr>
      </w:pPr>
      <w:r>
        <w:rPr>
          <w:color w:val="auto"/>
          <w:highlight w:val="none"/>
        </w:rPr>
        <w:t> </w:t>
      </w:r>
    </w:p>
    <w:p w14:paraId="5813BAD6">
      <w:pPr>
        <w:pStyle w:val="9"/>
        <w:spacing w:beforeAutospacing="0" w:afterAutospacing="0" w:line="0" w:lineRule="atLeast"/>
        <w:jc w:val="both"/>
        <w:rPr>
          <w:color w:val="auto"/>
          <w:highlight w:val="none"/>
        </w:rPr>
      </w:pPr>
      <w:r>
        <w:rPr>
          <w:color w:val="auto"/>
          <w:highlight w:val="none"/>
        </w:rPr>
        <w:t> </w:t>
      </w:r>
    </w:p>
    <w:p w14:paraId="07F376C4">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221FFA92">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3FDC83D0">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09B99510">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2F9839C4">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7DECDB75">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02AC0DBF">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1D97FDC7">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6AEF8745">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022559F5">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6DF8B117">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78AEBC2F">
      <w:pPr>
        <w:pStyle w:val="9"/>
        <w:spacing w:beforeAutospacing="0" w:afterAutospacing="0" w:line="0" w:lineRule="atLeast"/>
        <w:jc w:val="center"/>
        <w:rPr>
          <w:rFonts w:hint="eastAsia" w:ascii="宋体" w:hAnsi="宋体" w:eastAsia="宋体" w:cs="宋体"/>
          <w:b/>
          <w:color w:val="auto"/>
          <w:sz w:val="36"/>
          <w:szCs w:val="36"/>
          <w:highlight w:val="none"/>
          <w:u w:val="single"/>
        </w:rPr>
      </w:pPr>
    </w:p>
    <w:p w14:paraId="62765F84">
      <w:pPr>
        <w:pStyle w:val="9"/>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响应文件目录</w:t>
      </w:r>
    </w:p>
    <w:p w14:paraId="723B4250">
      <w:pPr>
        <w:pStyle w:val="9"/>
        <w:spacing w:beforeAutospacing="0" w:afterAutospacing="0" w:line="0" w:lineRule="atLeast"/>
        <w:jc w:val="center"/>
        <w:rPr>
          <w:color w:val="auto"/>
          <w:highlight w:val="none"/>
        </w:rPr>
      </w:pPr>
      <w:r>
        <w:rPr>
          <w:color w:val="auto"/>
          <w:highlight w:val="none"/>
        </w:rPr>
        <w:t> </w:t>
      </w:r>
    </w:p>
    <w:p w14:paraId="666BDE76">
      <w:pPr>
        <w:pStyle w:val="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一、法人或者其他组织的营业执照等证明文件，自然人的身份证明</w:t>
      </w:r>
    </w:p>
    <w:p w14:paraId="30D7FB75">
      <w:pPr>
        <w:tabs>
          <w:tab w:val="left" w:pos="1331"/>
        </w:tabs>
        <w:ind w:firstLine="480" w:firstLineChars="200"/>
        <w:jc w:val="left"/>
        <w:rPr>
          <w:rFonts w:hint="eastAsia" w:ascii="宋体" w:hAnsi="宋体" w:eastAsia="宋体" w:cs="宋体"/>
          <w:iCs/>
          <w:color w:val="auto"/>
          <w:highlight w:val="none"/>
        </w:rPr>
      </w:pPr>
      <w:r>
        <w:rPr>
          <w:rFonts w:hint="eastAsia" w:ascii="宋体" w:hAnsi="宋体" w:eastAsia="宋体" w:cs="宋体"/>
          <w:iCs/>
          <w:color w:val="auto"/>
          <w:kern w:val="0"/>
          <w:sz w:val="24"/>
          <w:highlight w:val="none"/>
        </w:rPr>
        <w:t>二、上一年度的财务状况报告（至少提供资产负债表、利润表、现金流量表，协商供应商成立不满一年无需提供</w:t>
      </w:r>
      <w:r>
        <w:rPr>
          <w:rFonts w:hint="eastAsia" w:ascii="宋体" w:hAnsi="宋体" w:eastAsia="宋体" w:cs="宋体"/>
          <w:iCs/>
          <w:color w:val="auto"/>
          <w:highlight w:val="none"/>
        </w:rPr>
        <w:t>）</w:t>
      </w:r>
    </w:p>
    <w:p w14:paraId="68D67CCF">
      <w:pPr>
        <w:pStyle w:val="9"/>
        <w:numPr>
          <w:ilvl w:val="0"/>
          <w:numId w:val="2"/>
        </w:numPr>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具备履行合同所必需的设备和专业技术能力的书面声明</w:t>
      </w:r>
    </w:p>
    <w:p w14:paraId="077F1214">
      <w:pPr>
        <w:pStyle w:val="9"/>
        <w:spacing w:beforeAutospacing="0" w:afterAutospacing="0"/>
        <w:ind w:firstLine="480" w:firstLineChars="200"/>
        <w:jc w:val="both"/>
        <w:rPr>
          <w:rFonts w:hint="eastAsia" w:ascii="宋体" w:hAnsi="宋体" w:eastAsia="宋体" w:cs="宋体"/>
          <w:iCs/>
          <w:color w:val="auto"/>
          <w:highlight w:val="none"/>
        </w:rPr>
      </w:pPr>
      <w:r>
        <w:rPr>
          <w:rFonts w:hint="eastAsia" w:ascii="宋体" w:hAnsi="宋体" w:eastAsia="宋体" w:cs="宋体"/>
          <w:iCs/>
          <w:color w:val="auto"/>
          <w:highlight w:val="none"/>
        </w:rPr>
        <w:t>四、依法缴纳税收和社会保障资金的相关材料（提供提交协商响应文件截止时间前一年内至少一个月依法缴纳税收及缴纳社会保障资金的证明材料。协商供应商依法享受缓缴、免缴税收、社会保障资金的提供证明材料。）</w:t>
      </w:r>
    </w:p>
    <w:p w14:paraId="30E54CED">
      <w:pPr>
        <w:pStyle w:val="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五、参加政府采购活动前 3 年内在经营活动中没有重大违法记录的书面声明</w:t>
      </w:r>
    </w:p>
    <w:p w14:paraId="3B12AE29">
      <w:pPr>
        <w:pStyle w:val="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单位负责人为同一人或者存在直接控股、管理关系的不同供应商，不得参加同一合同项下的政府采购活动</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格式自拟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67C4FAC2">
      <w:pPr>
        <w:pStyle w:val="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七</w:t>
      </w:r>
      <w:r>
        <w:rPr>
          <w:rFonts w:hint="eastAsia" w:ascii="宋体" w:hAnsi="宋体" w:eastAsia="宋体" w:cs="宋体"/>
          <w:iCs/>
          <w:color w:val="auto"/>
          <w:highlight w:val="none"/>
        </w:rPr>
        <w:t>、特定资格要求的证明文件（如果本项目设置特定资格要求，则需要提供）</w:t>
      </w:r>
    </w:p>
    <w:p w14:paraId="3B1C9B6F">
      <w:pPr>
        <w:pStyle w:val="9"/>
        <w:spacing w:beforeAutospacing="0" w:afterAutospacing="0" w:line="0" w:lineRule="atLeast"/>
        <w:ind w:firstLine="480"/>
        <w:jc w:val="both"/>
        <w:rPr>
          <w:rFonts w:hint="eastAsia" w:ascii="宋体" w:hAnsi="宋体" w:eastAsia="宋体" w:cs="宋体"/>
          <w:iCs/>
          <w:color w:val="auto"/>
          <w:highlight w:val="none"/>
          <w:lang w:val="en-US" w:eastAsia="zh-CN"/>
        </w:rPr>
      </w:pPr>
      <w:r>
        <w:rPr>
          <w:rFonts w:hint="eastAsia" w:ascii="宋体" w:hAnsi="宋体" w:eastAsia="宋体" w:cs="宋体"/>
          <w:iCs/>
          <w:color w:val="auto"/>
          <w:highlight w:val="none"/>
          <w:lang w:val="en-US" w:eastAsia="zh-CN"/>
        </w:rPr>
        <w:t>八、第一共保体资格审查文件（包括以上一至七项）</w:t>
      </w:r>
    </w:p>
    <w:p w14:paraId="35176F61">
      <w:pPr>
        <w:pStyle w:val="9"/>
        <w:spacing w:beforeAutospacing="0" w:afterAutospacing="0" w:line="0" w:lineRule="atLeast"/>
        <w:ind w:firstLine="480"/>
        <w:jc w:val="both"/>
        <w:rPr>
          <w:rFonts w:hint="default" w:ascii="宋体" w:hAnsi="宋体" w:eastAsia="宋体" w:cs="宋体"/>
          <w:iCs/>
          <w:color w:val="auto"/>
          <w:highlight w:val="none"/>
          <w:lang w:val="en-US" w:eastAsia="zh-CN"/>
        </w:rPr>
      </w:pPr>
      <w:r>
        <w:rPr>
          <w:rFonts w:hint="eastAsia" w:ascii="宋体" w:hAnsi="宋体" w:eastAsia="宋体" w:cs="宋体"/>
          <w:iCs/>
          <w:color w:val="auto"/>
          <w:highlight w:val="none"/>
          <w:lang w:val="en-US" w:eastAsia="zh-CN"/>
        </w:rPr>
        <w:t>九、第二共保体资格审查文件（包括以上一至七项）</w:t>
      </w:r>
    </w:p>
    <w:p w14:paraId="0AD4DC71">
      <w:pPr>
        <w:pStyle w:val="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十</w:t>
      </w:r>
      <w:r>
        <w:rPr>
          <w:rFonts w:hint="eastAsia" w:ascii="宋体" w:hAnsi="宋体" w:eastAsia="宋体" w:cs="宋体"/>
          <w:iCs/>
          <w:color w:val="auto"/>
          <w:highlight w:val="none"/>
        </w:rPr>
        <w:t>、法定代表人（负责人）授权书</w:t>
      </w:r>
      <w:r>
        <w:rPr>
          <w:rFonts w:hint="eastAsia" w:ascii="宋体" w:hAnsi="宋体" w:eastAsia="宋体" w:cs="宋体"/>
          <w:iCs/>
          <w:color w:val="auto"/>
          <w:highlight w:val="none"/>
          <w:lang w:eastAsia="zh-CN"/>
        </w:rPr>
        <w:t>。</w:t>
      </w:r>
      <w:r>
        <w:rPr>
          <w:rFonts w:hint="eastAsia" w:ascii="宋体" w:hAnsi="宋体" w:eastAsia="宋体" w:cs="宋体"/>
          <w:iCs/>
          <w:color w:val="auto"/>
          <w:highlight w:val="none"/>
        </w:rPr>
        <w:t>附：投标人法定代表人（负责人）身份证正反面复印件、被授权人身份证正反面复印件、投标人或其上级公司为被授权人缴纳的社会养老保险证明（如委托被授权人参与）</w:t>
      </w:r>
    </w:p>
    <w:p w14:paraId="2319871C">
      <w:pPr>
        <w:pStyle w:val="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十一</w:t>
      </w:r>
      <w:r>
        <w:rPr>
          <w:rFonts w:hint="eastAsia" w:ascii="宋体" w:hAnsi="宋体" w:eastAsia="宋体" w:cs="宋体"/>
          <w:iCs/>
          <w:color w:val="auto"/>
          <w:highlight w:val="none"/>
        </w:rPr>
        <w:t>、单一来源响应函</w:t>
      </w:r>
    </w:p>
    <w:p w14:paraId="179D2CB2">
      <w:pPr>
        <w:pStyle w:val="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二</w:t>
      </w:r>
      <w:r>
        <w:rPr>
          <w:rFonts w:hint="eastAsia" w:ascii="宋体" w:hAnsi="宋体" w:eastAsia="宋体" w:cs="宋体"/>
          <w:iCs/>
          <w:color w:val="auto"/>
          <w:highlight w:val="none"/>
        </w:rPr>
        <w:t>、中小企业声明函</w:t>
      </w:r>
    </w:p>
    <w:p w14:paraId="03C8782B">
      <w:pPr>
        <w:pStyle w:val="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三</w:t>
      </w:r>
      <w:r>
        <w:rPr>
          <w:rFonts w:hint="eastAsia" w:ascii="宋体" w:hAnsi="宋体" w:eastAsia="宋体" w:cs="宋体"/>
          <w:iCs/>
          <w:color w:val="auto"/>
          <w:highlight w:val="none"/>
        </w:rPr>
        <w:t>、残疾人福利性单位声明函</w:t>
      </w:r>
    </w:p>
    <w:p w14:paraId="3CB6B262">
      <w:pPr>
        <w:pStyle w:val="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四</w:t>
      </w:r>
      <w:r>
        <w:rPr>
          <w:rFonts w:hint="eastAsia" w:ascii="宋体" w:hAnsi="宋体" w:eastAsia="宋体" w:cs="宋体"/>
          <w:iCs/>
          <w:color w:val="auto"/>
          <w:highlight w:val="none"/>
        </w:rPr>
        <w:t>、技术要求响应及偏离表</w:t>
      </w:r>
    </w:p>
    <w:p w14:paraId="47E62C3F">
      <w:pPr>
        <w:pStyle w:val="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五</w:t>
      </w:r>
      <w:r>
        <w:rPr>
          <w:rFonts w:hint="eastAsia" w:ascii="宋体" w:hAnsi="宋体" w:eastAsia="宋体" w:cs="宋体"/>
          <w:iCs/>
          <w:color w:val="auto"/>
          <w:highlight w:val="none"/>
        </w:rPr>
        <w:t>、商务要求响应及偏离表</w:t>
      </w:r>
    </w:p>
    <w:p w14:paraId="643C5423">
      <w:pPr>
        <w:pStyle w:val="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六</w:t>
      </w:r>
      <w:r>
        <w:rPr>
          <w:rFonts w:hint="eastAsia" w:ascii="宋体" w:hAnsi="宋体" w:eastAsia="宋体" w:cs="宋体"/>
          <w:iCs/>
          <w:color w:val="auto"/>
          <w:highlight w:val="none"/>
        </w:rPr>
        <w:t>、开标一览表</w:t>
      </w:r>
    </w:p>
    <w:p w14:paraId="7974A817">
      <w:pPr>
        <w:pStyle w:val="9"/>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七</w:t>
      </w:r>
      <w:r>
        <w:rPr>
          <w:rFonts w:hint="eastAsia" w:ascii="宋体" w:hAnsi="宋体" w:eastAsia="宋体" w:cs="宋体"/>
          <w:iCs/>
          <w:color w:val="auto"/>
          <w:highlight w:val="none"/>
        </w:rPr>
        <w:t>、盐城市政府采购事前信用承诺书</w:t>
      </w:r>
    </w:p>
    <w:p w14:paraId="61B8F61E">
      <w:pPr>
        <w:pStyle w:val="9"/>
        <w:spacing w:beforeAutospacing="0" w:afterAutospacing="0" w:line="360" w:lineRule="auto"/>
        <w:ind w:firstLine="480"/>
        <w:jc w:val="both"/>
        <w:rPr>
          <w:rFonts w:hint="eastAsia" w:ascii="宋体" w:hAnsi="宋体" w:eastAsia="宋体" w:cs="宋体"/>
          <w:iCs/>
          <w:color w:val="auto"/>
          <w:highlight w:val="none"/>
          <w:lang w:val="en-US" w:eastAsia="zh-CN"/>
        </w:rPr>
      </w:pPr>
      <w:r>
        <w:rPr>
          <w:rFonts w:hint="eastAsia" w:ascii="宋体" w:hAnsi="宋体" w:eastAsia="宋体" w:cs="宋体"/>
          <w:iCs/>
          <w:color w:val="auto"/>
          <w:highlight w:val="none"/>
          <w:lang w:val="en-US" w:eastAsia="zh-CN"/>
        </w:rPr>
        <w:t>十八、</w:t>
      </w:r>
      <w:r>
        <w:rPr>
          <w:rFonts w:hint="eastAsia" w:ascii="宋体" w:hAnsi="宋体" w:eastAsia="宋体" w:cs="宋体"/>
          <w:color w:val="000000"/>
          <w:sz w:val="24"/>
          <w:szCs w:val="24"/>
          <w:highlight w:val="none"/>
        </w:rPr>
        <w:t>第一共保体符合性审查文件（包括以上</w:t>
      </w:r>
      <w:r>
        <w:rPr>
          <w:rFonts w:hint="eastAsia" w:ascii="宋体" w:hAnsi="宋体" w:eastAsia="宋体" w:cs="宋体"/>
          <w:color w:val="000000"/>
          <w:sz w:val="24"/>
          <w:szCs w:val="24"/>
          <w:highlight w:val="none"/>
          <w:lang w:val="en-US" w:eastAsia="zh-CN"/>
        </w:rPr>
        <w:t>十</w:t>
      </w:r>
      <w:r>
        <w:rPr>
          <w:rFonts w:hint="eastAsia" w:ascii="宋体" w:hAnsi="宋体" w:eastAsia="宋体" w:cs="宋体"/>
          <w:color w:val="000000"/>
          <w:sz w:val="24"/>
          <w:szCs w:val="24"/>
          <w:highlight w:val="none"/>
        </w:rPr>
        <w:t>至十</w:t>
      </w:r>
      <w:r>
        <w:rPr>
          <w:rFonts w:hint="eastAsia" w:ascii="宋体" w:hAnsi="宋体" w:eastAsia="宋体" w:cs="宋体"/>
          <w:color w:val="000000"/>
          <w:sz w:val="24"/>
          <w:szCs w:val="24"/>
          <w:highlight w:val="none"/>
          <w:lang w:val="en-US" w:eastAsia="zh-CN"/>
        </w:rPr>
        <w:t>七</w:t>
      </w:r>
      <w:r>
        <w:rPr>
          <w:rFonts w:hint="eastAsia" w:ascii="宋体" w:hAnsi="宋体" w:eastAsia="宋体" w:cs="宋体"/>
          <w:color w:val="000000"/>
          <w:sz w:val="24"/>
          <w:szCs w:val="24"/>
          <w:highlight w:val="none"/>
        </w:rPr>
        <w:t>项）</w:t>
      </w:r>
    </w:p>
    <w:p w14:paraId="4B65358F">
      <w:pPr>
        <w:pStyle w:val="9"/>
        <w:spacing w:beforeAutospacing="0" w:afterAutospacing="0" w:line="360" w:lineRule="auto"/>
        <w:ind w:firstLine="480"/>
        <w:jc w:val="both"/>
        <w:rPr>
          <w:rFonts w:hint="default" w:ascii="宋体" w:hAnsi="宋体" w:eastAsia="宋体" w:cs="宋体"/>
          <w:iCs/>
          <w:color w:val="auto"/>
          <w:highlight w:val="none"/>
          <w:lang w:val="en-US" w:eastAsia="zh-CN"/>
        </w:rPr>
      </w:pPr>
      <w:r>
        <w:rPr>
          <w:rFonts w:hint="eastAsia" w:ascii="宋体" w:hAnsi="宋体" w:eastAsia="宋体" w:cs="宋体"/>
          <w:iCs/>
          <w:color w:val="auto"/>
          <w:highlight w:val="none"/>
          <w:lang w:val="en-US" w:eastAsia="zh-CN"/>
        </w:rPr>
        <w:t>十九、</w:t>
      </w:r>
      <w:r>
        <w:rPr>
          <w:rFonts w:hint="eastAsia" w:ascii="宋体" w:hAnsi="宋体" w:eastAsia="宋体" w:cs="宋体"/>
          <w:color w:val="000000"/>
          <w:sz w:val="24"/>
          <w:szCs w:val="24"/>
          <w:highlight w:val="none"/>
        </w:rPr>
        <w:t>第二共保体符合性审查文件（包括以上</w:t>
      </w:r>
      <w:r>
        <w:rPr>
          <w:rFonts w:hint="eastAsia" w:ascii="宋体" w:hAnsi="宋体" w:eastAsia="宋体" w:cs="宋体"/>
          <w:color w:val="000000"/>
          <w:sz w:val="24"/>
          <w:szCs w:val="24"/>
          <w:highlight w:val="none"/>
          <w:lang w:val="en-US" w:eastAsia="zh-CN"/>
        </w:rPr>
        <w:t>十</w:t>
      </w:r>
      <w:r>
        <w:rPr>
          <w:rFonts w:hint="eastAsia" w:ascii="宋体" w:hAnsi="宋体" w:eastAsia="宋体" w:cs="宋体"/>
          <w:color w:val="000000"/>
          <w:sz w:val="24"/>
          <w:szCs w:val="24"/>
          <w:highlight w:val="none"/>
        </w:rPr>
        <w:t>至十</w:t>
      </w:r>
      <w:r>
        <w:rPr>
          <w:rFonts w:hint="eastAsia" w:ascii="宋体" w:hAnsi="宋体" w:eastAsia="宋体" w:cs="宋体"/>
          <w:color w:val="000000"/>
          <w:sz w:val="24"/>
          <w:szCs w:val="24"/>
          <w:highlight w:val="none"/>
          <w:lang w:val="en-US" w:eastAsia="zh-CN"/>
        </w:rPr>
        <w:t>七</w:t>
      </w:r>
      <w:r>
        <w:rPr>
          <w:rFonts w:hint="eastAsia" w:ascii="宋体" w:hAnsi="宋体" w:eastAsia="宋体" w:cs="宋体"/>
          <w:color w:val="000000"/>
          <w:sz w:val="24"/>
          <w:szCs w:val="24"/>
          <w:highlight w:val="none"/>
        </w:rPr>
        <w:t>项）</w:t>
      </w:r>
    </w:p>
    <w:p w14:paraId="0B617158">
      <w:pPr>
        <w:pStyle w:val="9"/>
        <w:spacing w:beforeAutospacing="0" w:afterAutospacing="0" w:line="0" w:lineRule="atLeast"/>
        <w:ind w:firstLine="480"/>
        <w:jc w:val="both"/>
        <w:rPr>
          <w:rFonts w:hint="eastAsia" w:ascii="宋体" w:hAnsi="宋体" w:eastAsia="宋体" w:cs="宋体"/>
          <w:iCs/>
          <w:color w:val="auto"/>
          <w:highlight w:val="none"/>
        </w:rPr>
      </w:pPr>
    </w:p>
    <w:p w14:paraId="34460187">
      <w:pPr>
        <w:pStyle w:val="9"/>
        <w:spacing w:beforeAutospacing="0" w:afterAutospacing="0" w:line="360" w:lineRule="auto"/>
        <w:ind w:firstLine="480"/>
        <w:jc w:val="both"/>
        <w:rPr>
          <w:rFonts w:hint="eastAsia" w:ascii="宋体" w:hAnsi="宋体" w:eastAsia="宋体" w:cs="宋体"/>
          <w:color w:val="auto"/>
          <w:highlight w:val="none"/>
        </w:rPr>
      </w:pPr>
      <w:r>
        <w:rPr>
          <w:color w:val="auto"/>
          <w:highlight w:val="none"/>
        </w:rPr>
        <w:t> </w:t>
      </w:r>
    </w:p>
    <w:p w14:paraId="7CB57999">
      <w:pPr>
        <w:pStyle w:val="9"/>
        <w:spacing w:beforeAutospacing="0" w:afterAutospacing="0" w:line="0" w:lineRule="atLeast"/>
        <w:ind w:firstLine="480"/>
        <w:jc w:val="both"/>
        <w:rPr>
          <w:color w:val="auto"/>
          <w:highlight w:val="none"/>
        </w:rPr>
      </w:pPr>
    </w:p>
    <w:p w14:paraId="5906CF74">
      <w:pPr>
        <w:pStyle w:val="9"/>
        <w:spacing w:beforeAutospacing="0" w:afterAutospacing="0" w:line="0" w:lineRule="atLeast"/>
        <w:ind w:firstLine="480"/>
        <w:jc w:val="both"/>
        <w:rPr>
          <w:color w:val="auto"/>
          <w:highlight w:val="none"/>
        </w:rPr>
      </w:pPr>
      <w:r>
        <w:rPr>
          <w:color w:val="auto"/>
          <w:highlight w:val="none"/>
        </w:rPr>
        <w:t> </w:t>
      </w:r>
    </w:p>
    <w:p w14:paraId="75516C21">
      <w:pPr>
        <w:pStyle w:val="9"/>
        <w:spacing w:beforeAutospacing="0" w:afterAutospacing="0" w:line="0" w:lineRule="atLeast"/>
        <w:ind w:firstLine="480"/>
        <w:jc w:val="both"/>
        <w:rPr>
          <w:color w:val="auto"/>
          <w:highlight w:val="none"/>
        </w:rPr>
      </w:pPr>
      <w:r>
        <w:rPr>
          <w:color w:val="auto"/>
          <w:highlight w:val="none"/>
        </w:rPr>
        <w:t> </w:t>
      </w:r>
    </w:p>
    <w:p w14:paraId="4FAE29C5">
      <w:pPr>
        <w:pStyle w:val="9"/>
        <w:spacing w:beforeAutospacing="0" w:afterAutospacing="0" w:line="0" w:lineRule="atLeast"/>
        <w:ind w:firstLine="480"/>
        <w:jc w:val="both"/>
        <w:rPr>
          <w:color w:val="auto"/>
          <w:highlight w:val="none"/>
        </w:rPr>
      </w:pPr>
      <w:r>
        <w:rPr>
          <w:color w:val="auto"/>
          <w:highlight w:val="none"/>
        </w:rPr>
        <w:t> </w:t>
      </w:r>
    </w:p>
    <w:p w14:paraId="6785471A">
      <w:pPr>
        <w:pStyle w:val="9"/>
        <w:spacing w:beforeAutospacing="0" w:afterAutospacing="0" w:line="0" w:lineRule="atLeast"/>
        <w:ind w:firstLine="480"/>
        <w:jc w:val="both"/>
        <w:rPr>
          <w:color w:val="auto"/>
          <w:highlight w:val="none"/>
        </w:rPr>
      </w:pPr>
      <w:r>
        <w:rPr>
          <w:color w:val="auto"/>
          <w:highlight w:val="none"/>
        </w:rPr>
        <w:t> </w:t>
      </w:r>
    </w:p>
    <w:p w14:paraId="7F0596CB">
      <w:pPr>
        <w:pStyle w:val="9"/>
        <w:spacing w:beforeAutospacing="0" w:afterAutospacing="0" w:line="0" w:lineRule="atLeast"/>
        <w:ind w:firstLine="480"/>
        <w:jc w:val="both"/>
        <w:rPr>
          <w:color w:val="auto"/>
          <w:highlight w:val="none"/>
        </w:rPr>
      </w:pPr>
      <w:r>
        <w:rPr>
          <w:color w:val="auto"/>
          <w:highlight w:val="none"/>
        </w:rPr>
        <w:t> </w:t>
      </w:r>
    </w:p>
    <w:p w14:paraId="1476EE99">
      <w:pPr>
        <w:pStyle w:val="9"/>
        <w:spacing w:beforeAutospacing="0" w:afterAutospacing="0" w:line="0" w:lineRule="atLeast"/>
        <w:ind w:firstLine="480"/>
        <w:jc w:val="both"/>
        <w:rPr>
          <w:color w:val="auto"/>
          <w:highlight w:val="none"/>
        </w:rPr>
      </w:pPr>
    </w:p>
    <w:p w14:paraId="31AC1902">
      <w:pPr>
        <w:pStyle w:val="9"/>
        <w:spacing w:beforeAutospacing="0" w:afterAutospacing="0" w:line="0" w:lineRule="atLeast"/>
        <w:ind w:firstLine="480"/>
        <w:jc w:val="both"/>
        <w:rPr>
          <w:color w:val="auto"/>
          <w:highlight w:val="none"/>
        </w:rPr>
      </w:pPr>
    </w:p>
    <w:p w14:paraId="324828C2">
      <w:pPr>
        <w:pStyle w:val="9"/>
        <w:spacing w:beforeAutospacing="0" w:afterAutospacing="0" w:line="0" w:lineRule="atLeast"/>
        <w:ind w:firstLine="480"/>
        <w:jc w:val="both"/>
        <w:rPr>
          <w:color w:val="auto"/>
          <w:highlight w:val="none"/>
        </w:rPr>
      </w:pPr>
    </w:p>
    <w:p w14:paraId="15507BD0">
      <w:pPr>
        <w:pStyle w:val="9"/>
        <w:spacing w:beforeAutospacing="0" w:afterAutospacing="0" w:line="0" w:lineRule="atLeast"/>
        <w:ind w:firstLine="480"/>
        <w:jc w:val="both"/>
        <w:rPr>
          <w:color w:val="auto"/>
          <w:highlight w:val="none"/>
        </w:rPr>
      </w:pPr>
    </w:p>
    <w:p w14:paraId="4BAA8C2A">
      <w:pPr>
        <w:pStyle w:val="9"/>
        <w:spacing w:beforeAutospacing="0" w:afterAutospacing="0" w:line="0" w:lineRule="atLeast"/>
        <w:ind w:firstLine="480"/>
        <w:jc w:val="both"/>
        <w:rPr>
          <w:color w:val="auto"/>
          <w:highlight w:val="none"/>
        </w:rPr>
      </w:pPr>
    </w:p>
    <w:p w14:paraId="68D00A89">
      <w:pPr>
        <w:pStyle w:val="9"/>
        <w:spacing w:beforeAutospacing="0" w:afterAutospacing="0" w:line="0" w:lineRule="atLeast"/>
        <w:ind w:firstLine="480"/>
        <w:jc w:val="both"/>
        <w:rPr>
          <w:color w:val="auto"/>
          <w:highlight w:val="none"/>
        </w:rPr>
      </w:pPr>
    </w:p>
    <w:p w14:paraId="10311D76">
      <w:pPr>
        <w:pStyle w:val="9"/>
        <w:spacing w:beforeAutospacing="0" w:afterAutospacing="0" w:line="0" w:lineRule="atLeast"/>
        <w:ind w:firstLine="480"/>
        <w:jc w:val="both"/>
        <w:rPr>
          <w:color w:val="auto"/>
          <w:highlight w:val="none"/>
        </w:rPr>
      </w:pPr>
    </w:p>
    <w:p w14:paraId="4743FCBA">
      <w:pPr>
        <w:pStyle w:val="9"/>
        <w:spacing w:beforeAutospacing="0" w:afterAutospacing="0" w:line="0" w:lineRule="atLeast"/>
        <w:ind w:firstLine="480"/>
        <w:jc w:val="both"/>
        <w:rPr>
          <w:color w:val="auto"/>
          <w:highlight w:val="none"/>
        </w:rPr>
      </w:pPr>
    </w:p>
    <w:p w14:paraId="164342A4">
      <w:pPr>
        <w:pStyle w:val="9"/>
        <w:spacing w:beforeAutospacing="0" w:afterAutospacing="0" w:line="0" w:lineRule="atLeast"/>
        <w:ind w:firstLine="480"/>
        <w:jc w:val="both"/>
        <w:rPr>
          <w:color w:val="auto"/>
          <w:highlight w:val="none"/>
        </w:rPr>
      </w:pPr>
    </w:p>
    <w:p w14:paraId="2D60439A">
      <w:pPr>
        <w:pStyle w:val="9"/>
        <w:spacing w:beforeAutospacing="0" w:afterAutospacing="0" w:line="0" w:lineRule="atLeast"/>
        <w:ind w:firstLine="480"/>
        <w:jc w:val="both"/>
        <w:rPr>
          <w:color w:val="auto"/>
          <w:highlight w:val="none"/>
        </w:rPr>
      </w:pPr>
    </w:p>
    <w:p w14:paraId="610E435C">
      <w:pPr>
        <w:pStyle w:val="9"/>
        <w:spacing w:beforeAutospacing="0" w:afterAutospacing="0" w:line="0" w:lineRule="atLeast"/>
        <w:ind w:firstLine="480"/>
        <w:jc w:val="both"/>
        <w:rPr>
          <w:color w:val="auto"/>
          <w:highlight w:val="none"/>
        </w:rPr>
      </w:pPr>
    </w:p>
    <w:p w14:paraId="7B3B0725">
      <w:pPr>
        <w:pStyle w:val="9"/>
        <w:spacing w:beforeAutospacing="0" w:afterAutospacing="0" w:line="0" w:lineRule="atLeast"/>
        <w:ind w:firstLine="480"/>
        <w:jc w:val="both"/>
        <w:rPr>
          <w:color w:val="auto"/>
          <w:highlight w:val="none"/>
        </w:rPr>
      </w:pPr>
    </w:p>
    <w:p w14:paraId="731F603F">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15BC5031">
      <w:pPr>
        <w:pStyle w:val="9"/>
        <w:spacing w:beforeAutospacing="0" w:afterAutospacing="0" w:line="0" w:lineRule="atLeast"/>
        <w:ind w:firstLine="480"/>
        <w:jc w:val="both"/>
        <w:rPr>
          <w:color w:val="auto"/>
          <w:highlight w:val="none"/>
        </w:rPr>
      </w:pPr>
      <w:r>
        <w:rPr>
          <w:color w:val="auto"/>
          <w:highlight w:val="none"/>
        </w:rPr>
        <w:t> </w:t>
      </w:r>
    </w:p>
    <w:p w14:paraId="745D32A7">
      <w:pPr>
        <w:pStyle w:val="9"/>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二、上一年度的财务状况报告</w:t>
      </w:r>
    </w:p>
    <w:p w14:paraId="366D1C1E">
      <w:pPr>
        <w:tabs>
          <w:tab w:val="left" w:pos="1331"/>
        </w:tabs>
        <w:ind w:firstLine="480" w:firstLineChars="200"/>
        <w:jc w:val="left"/>
        <w:rPr>
          <w:rFonts w:hint="eastAsia" w:ascii="宋体" w:hAnsi="宋体" w:eastAsia="宋体" w:cs="宋体"/>
          <w:iCs/>
          <w:color w:val="auto"/>
          <w:kern w:val="0"/>
          <w:sz w:val="24"/>
          <w:highlight w:val="none"/>
        </w:rPr>
      </w:pPr>
      <w:r>
        <w:rPr>
          <w:rFonts w:hint="eastAsia" w:ascii="宋体" w:hAnsi="宋体" w:eastAsia="宋体" w:cs="宋体"/>
          <w:iCs/>
          <w:color w:val="auto"/>
          <w:kern w:val="0"/>
          <w:sz w:val="24"/>
          <w:highlight w:val="none"/>
        </w:rPr>
        <w:t>（至少提供资产负债表、利润表、现金流量表，协商供应商成立不满一年无需提供）</w:t>
      </w:r>
    </w:p>
    <w:p w14:paraId="12DC70A9">
      <w:pPr>
        <w:pStyle w:val="9"/>
        <w:spacing w:beforeAutospacing="0" w:afterAutospacing="0"/>
        <w:jc w:val="both"/>
        <w:rPr>
          <w:color w:val="auto"/>
          <w:highlight w:val="none"/>
        </w:rPr>
      </w:pPr>
      <w:r>
        <w:rPr>
          <w:color w:val="auto"/>
          <w:highlight w:val="none"/>
        </w:rPr>
        <w:t> </w:t>
      </w:r>
    </w:p>
    <w:p w14:paraId="2DDABAFE">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3B447392">
      <w:pPr>
        <w:pStyle w:val="9"/>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4C1284F3">
      <w:pPr>
        <w:pStyle w:val="9"/>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D83411B">
      <w:pPr>
        <w:pStyle w:val="9"/>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F65990D">
      <w:pPr>
        <w:pStyle w:val="9"/>
        <w:spacing w:beforeAutospacing="0" w:afterAutospacing="0" w:line="0" w:lineRule="atLeast"/>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67AD6575">
      <w:pPr>
        <w:pStyle w:val="9"/>
        <w:spacing w:beforeAutospacing="0" w:afterAutospacing="0"/>
        <w:ind w:firstLine="480"/>
        <w:jc w:val="both"/>
        <w:rPr>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021A1C43">
      <w:pPr>
        <w:pStyle w:val="9"/>
        <w:spacing w:beforeAutospacing="0" w:afterAutospacing="0"/>
        <w:jc w:val="both"/>
        <w:rPr>
          <w:color w:val="auto"/>
          <w:highlight w:val="none"/>
        </w:rPr>
      </w:pPr>
      <w:r>
        <w:rPr>
          <w:rFonts w:hint="eastAsia" w:ascii="宋体" w:hAnsi="宋体" w:eastAsia="宋体" w:cs="宋体"/>
          <w:color w:val="auto"/>
          <w:highlight w:val="none"/>
        </w:rPr>
        <w:t> </w:t>
      </w:r>
    </w:p>
    <w:p w14:paraId="3EBAF940">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25F8EDF6">
      <w:pPr>
        <w:pStyle w:val="9"/>
        <w:spacing w:beforeAutospacing="0" w:afterAutospacing="0" w:line="0" w:lineRule="atLeast"/>
        <w:jc w:val="center"/>
        <w:rPr>
          <w:color w:val="auto"/>
          <w:highlight w:val="none"/>
        </w:rPr>
      </w:pPr>
      <w:r>
        <w:rPr>
          <w:rFonts w:hint="eastAsia" w:ascii="宋体" w:hAnsi="宋体" w:eastAsia="宋体" w:cs="宋体"/>
          <w:b/>
          <w:color w:val="auto"/>
          <w:sz w:val="44"/>
          <w:szCs w:val="44"/>
          <w:highlight w:val="none"/>
        </w:rPr>
        <w:t>声  明</w:t>
      </w:r>
    </w:p>
    <w:p w14:paraId="59CDBB73">
      <w:pPr>
        <w:pStyle w:val="9"/>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449D16C0">
      <w:pPr>
        <w:pStyle w:val="9"/>
        <w:spacing w:beforeAutospacing="0" w:afterAutospacing="0"/>
        <w:jc w:val="both"/>
        <w:rPr>
          <w:rFonts w:hint="eastAsia" w:ascii="黑体" w:hAnsi="宋体" w:eastAsia="黑体" w:cs="黑体"/>
          <w:i/>
          <w:color w:val="auto"/>
          <w:sz w:val="32"/>
          <w:szCs w:val="32"/>
          <w:highlight w:val="none"/>
          <w:u w:val="single"/>
        </w:rPr>
      </w:pPr>
      <w:r>
        <w:rPr>
          <w:color w:val="auto"/>
          <w:highlight w:val="none"/>
        </w:rPr>
        <w:t> </w:t>
      </w:r>
      <w:r>
        <w:rPr>
          <w:rFonts w:hint="eastAsia" w:ascii="黑体" w:hAnsi="宋体" w:eastAsia="黑体" w:cs="黑体"/>
          <w:i/>
          <w:color w:val="auto"/>
          <w:sz w:val="32"/>
          <w:szCs w:val="32"/>
          <w:highlight w:val="none"/>
          <w:u w:val="single"/>
        </w:rPr>
        <w:t>六、单位负责人为同一人或者存在直接控股、管理关系的不同供应商，不得参加同一合同项下的政府采购活动（格式自拟）。</w:t>
      </w:r>
    </w:p>
    <w:p w14:paraId="597E93C6">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七</w:t>
      </w:r>
      <w:r>
        <w:rPr>
          <w:rFonts w:hint="eastAsia" w:ascii="黑体" w:hAnsi="宋体" w:eastAsia="黑体" w:cs="黑体"/>
          <w:i/>
          <w:color w:val="auto"/>
          <w:sz w:val="32"/>
          <w:szCs w:val="32"/>
          <w:highlight w:val="none"/>
          <w:u w:val="single"/>
        </w:rPr>
        <w:t>、特定资格要求的证明文件</w:t>
      </w:r>
    </w:p>
    <w:p w14:paraId="67F7EC78">
      <w:pPr>
        <w:pStyle w:val="9"/>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2D3793C2">
      <w:pPr>
        <w:pStyle w:val="9"/>
        <w:spacing w:beforeAutospacing="0" w:afterAutospacing="0"/>
        <w:ind w:firstLine="480" w:firstLineChars="200"/>
        <w:jc w:val="both"/>
        <w:rPr>
          <w:rFonts w:hint="eastAsia" w:ascii="宋体" w:hAnsi="宋体" w:eastAsia="宋体" w:cs="宋体"/>
          <w:color w:val="auto"/>
          <w:highlight w:val="none"/>
        </w:rPr>
      </w:pPr>
      <w:bookmarkStart w:id="175" w:name="_Toc120614284"/>
      <w:r>
        <w:rPr>
          <w:rFonts w:hint="eastAsia" w:ascii="宋体" w:hAnsi="宋体" w:eastAsia="宋体" w:cs="宋体"/>
          <w:color w:val="auto"/>
          <w:highlight w:val="none"/>
        </w:rPr>
        <w:t>6.1投标人为保险监督管理机构批准设立的保险公司，且具备健康保险资质（提供《保险许可证》复印件或扫描件)。</w:t>
      </w:r>
    </w:p>
    <w:p w14:paraId="482C3CFD">
      <w:pPr>
        <w:pStyle w:val="9"/>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6.2本项目接受总公司、地市级及以上的分公司（支公司）投标，若为分公司（支公司）进行投标的，须提供总公司的授权书。（见格式）</w:t>
      </w:r>
    </w:p>
    <w:p w14:paraId="642C82A3">
      <w:pPr>
        <w:pStyle w:val="9"/>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6.3投标人书面承诺在2026年7月1日至2027年12月31日均符合国家金融监督管理局规定的相应条件。（见格式）</w:t>
      </w:r>
    </w:p>
    <w:p w14:paraId="1A9C810E">
      <w:pPr>
        <w:pStyle w:val="9"/>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6.4同一保险集团公司的不同分（子）公司，不得同时参加本项目投标</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格式自拟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010FC7C3">
      <w:pPr>
        <w:pStyle w:val="21"/>
        <w:spacing w:before="0" w:after="0" w:line="580" w:lineRule="exac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符合国家金融监督管理局规定的相应条件</w:t>
      </w:r>
    </w:p>
    <w:p w14:paraId="556F36DD">
      <w:pPr>
        <w:pStyle w:val="21"/>
        <w:spacing w:before="0" w:after="0" w:line="580" w:lineRule="exact"/>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书面承诺</w:t>
      </w:r>
    </w:p>
    <w:p w14:paraId="2698B0E0">
      <w:pPr>
        <w:pStyle w:val="22"/>
        <w:rPr>
          <w:color w:val="auto"/>
          <w:highlight w:val="none"/>
        </w:rPr>
      </w:pPr>
    </w:p>
    <w:p w14:paraId="4AC65897">
      <w:pPr>
        <w:spacing w:line="600" w:lineRule="exact"/>
        <w:ind w:firstLine="480"/>
        <w:outlineLvl w:val="1"/>
        <w:rPr>
          <w:rFonts w:hint="eastAsia" w:ascii="宋体" w:hAnsi="宋体" w:eastAsia="宋体" w:cs="宋体"/>
          <w:color w:val="auto"/>
          <w:sz w:val="24"/>
          <w:highlight w:val="none"/>
        </w:rPr>
      </w:pPr>
      <w:r>
        <w:rPr>
          <w:rFonts w:hint="eastAsia" w:ascii="宋体" w:hAnsi="宋体"/>
          <w:bCs/>
          <w:color w:val="auto"/>
          <w:sz w:val="24"/>
          <w:highlight w:val="none"/>
        </w:rPr>
        <w:t>我公司郑重承</w:t>
      </w:r>
      <w:r>
        <w:rPr>
          <w:rFonts w:hint="eastAsia" w:ascii="宋体" w:hAnsi="宋体" w:eastAsia="宋体" w:cs="宋体"/>
          <w:color w:val="auto"/>
          <w:sz w:val="24"/>
          <w:highlight w:val="none"/>
        </w:rPr>
        <w:t>诺：在2026年7月1日至2027年12月31日，我公司均符合国家金融监督管理局规定的履行本项合同的相应条件。</w:t>
      </w:r>
    </w:p>
    <w:p w14:paraId="3641832E">
      <w:pPr>
        <w:spacing w:line="580" w:lineRule="exact"/>
        <w:jc w:val="left"/>
        <w:rPr>
          <w:rFonts w:hint="eastAsia" w:ascii="宋体" w:hAnsi="宋体"/>
          <w:bCs/>
          <w:color w:val="auto"/>
          <w:sz w:val="24"/>
          <w:highlight w:val="none"/>
        </w:rPr>
      </w:pPr>
    </w:p>
    <w:p w14:paraId="0A524BE3">
      <w:pPr>
        <w:spacing w:line="580" w:lineRule="exact"/>
        <w:jc w:val="left"/>
        <w:rPr>
          <w:rFonts w:hint="eastAsia" w:ascii="宋体" w:hAnsi="宋体"/>
          <w:bCs/>
          <w:color w:val="auto"/>
          <w:sz w:val="24"/>
          <w:highlight w:val="none"/>
        </w:rPr>
      </w:pPr>
    </w:p>
    <w:p w14:paraId="12360495">
      <w:pPr>
        <w:spacing w:line="580" w:lineRule="exact"/>
        <w:ind w:firstLine="480"/>
        <w:jc w:val="left"/>
        <w:rPr>
          <w:rFonts w:hint="eastAsia" w:ascii="宋体" w:hAnsi="宋体"/>
          <w:bCs/>
          <w:color w:val="auto"/>
          <w:sz w:val="24"/>
          <w:highlight w:val="none"/>
        </w:rPr>
      </w:pPr>
    </w:p>
    <w:p w14:paraId="3D5A75B0">
      <w:pPr>
        <w:spacing w:line="600" w:lineRule="exact"/>
        <w:ind w:firstLine="562"/>
        <w:outlineLvl w:val="1"/>
        <w:rPr>
          <w:rFonts w:hint="eastAsia" w:ascii="宋体" w:hAnsi="宋体" w:eastAsia="宋体" w:cs="宋体"/>
          <w:i/>
          <w:color w:val="auto"/>
          <w:sz w:val="24"/>
          <w:highlight w:val="none"/>
          <w:u w:val="single"/>
        </w:rPr>
      </w:pPr>
      <w:r>
        <w:rPr>
          <w:rFonts w:hint="eastAsia" w:ascii="微软雅黑" w:hAnsi="微软雅黑" w:eastAsia="微软雅黑" w:cs="微软雅黑"/>
          <w:b/>
          <w:bCs/>
          <w:color w:val="auto"/>
          <w:sz w:val="28"/>
          <w:szCs w:val="28"/>
          <w:highlight w:val="none"/>
        </w:rPr>
        <w:br w:type="page" w:clear="all"/>
      </w:r>
    </w:p>
    <w:p w14:paraId="5261A532">
      <w:pPr>
        <w:pStyle w:val="22"/>
        <w:spacing w:line="560" w:lineRule="exact"/>
        <w:ind w:firstLine="0"/>
        <w:jc w:val="center"/>
        <w:rPr>
          <w:rFonts w:hint="eastAsia" w:ascii="宋体" w:hAnsi="宋体" w:eastAsia="宋体"/>
          <w:color w:val="auto"/>
          <w:highlight w:val="none"/>
        </w:rPr>
      </w:pPr>
      <w:r>
        <w:rPr>
          <w:rFonts w:hint="eastAsia" w:ascii="宋体" w:hAnsi="宋体" w:eastAsia="宋体" w:cs="宋体"/>
          <w:b/>
          <w:bCs/>
          <w:color w:val="auto"/>
          <w:sz w:val="24"/>
          <w:szCs w:val="21"/>
          <w:highlight w:val="none"/>
        </w:rPr>
        <w:t>总公司授权书（如有）</w:t>
      </w:r>
    </w:p>
    <w:p w14:paraId="070B5B37">
      <w:pPr>
        <w:pStyle w:val="3"/>
        <w:overflowPunct w:val="0"/>
        <w:spacing w:line="560" w:lineRule="exact"/>
        <w:rPr>
          <w:rFonts w:hint="eastAsia" w:ascii="宋体" w:hAnsi="宋体" w:eastAsia="宋体"/>
          <w:color w:val="auto"/>
          <w:highlight w:val="none"/>
        </w:rPr>
      </w:pPr>
    </w:p>
    <w:p w14:paraId="59B6FD9C">
      <w:pPr>
        <w:pStyle w:val="3"/>
        <w:overflowPunct w:val="0"/>
        <w:spacing w:line="560" w:lineRule="exact"/>
        <w:rPr>
          <w:rFonts w:hint="eastAsia" w:ascii="宋体" w:hAnsi="宋体" w:eastAsia="宋体"/>
          <w:color w:val="auto"/>
          <w:highlight w:val="none"/>
        </w:rPr>
      </w:pPr>
      <w:r>
        <w:rPr>
          <w:rFonts w:hint="eastAsia" w:ascii="宋体" w:hAnsi="宋体" w:eastAsia="宋体"/>
          <w:color w:val="auto"/>
          <w:highlight w:val="none"/>
        </w:rPr>
        <w:t>兹授权</w:t>
      </w:r>
      <w:r>
        <w:rPr>
          <w:rFonts w:hint="eastAsia" w:ascii="宋体" w:hAnsi="宋体" w:eastAsia="宋体"/>
          <w:color w:val="auto"/>
          <w:highlight w:val="none"/>
          <w:u w:val="single"/>
        </w:rPr>
        <w:t xml:space="preserve">    （分公司名称） </w:t>
      </w:r>
      <w:r>
        <w:rPr>
          <w:rFonts w:hint="eastAsia" w:ascii="宋体" w:hAnsi="宋体" w:eastAsia="宋体"/>
          <w:color w:val="auto"/>
          <w:highlight w:val="none"/>
        </w:rPr>
        <w:t>全权代表</w:t>
      </w:r>
      <w:r>
        <w:rPr>
          <w:rFonts w:hint="eastAsia" w:ascii="宋体" w:hAnsi="宋体" w:eastAsia="宋体"/>
          <w:color w:val="auto"/>
          <w:highlight w:val="none"/>
          <w:u w:val="single"/>
        </w:rPr>
        <w:t xml:space="preserve">   （总公司名称）</w:t>
      </w:r>
      <w:r>
        <w:rPr>
          <w:rFonts w:hint="eastAsia" w:ascii="宋体" w:hAnsi="宋体" w:eastAsia="宋体"/>
          <w:color w:val="auto"/>
          <w:highlight w:val="none"/>
        </w:rPr>
        <w:t>参加</w:t>
      </w:r>
      <w:r>
        <w:rPr>
          <w:rFonts w:hint="eastAsia" w:ascii="宋体" w:hAnsi="宋体" w:eastAsia="宋体"/>
          <w:color w:val="auto"/>
          <w:highlight w:val="none"/>
          <w:u w:val="single"/>
        </w:rPr>
        <w:t>（项目编号）</w:t>
      </w:r>
      <w:r>
        <w:rPr>
          <w:rFonts w:hint="eastAsia" w:ascii="宋体" w:hAnsi="宋体" w:eastAsia="宋体"/>
          <w:color w:val="auto"/>
          <w:highlight w:val="none"/>
        </w:rPr>
        <w:t>，</w:t>
      </w:r>
      <w:r>
        <w:rPr>
          <w:rFonts w:hint="eastAsia" w:ascii="宋体" w:hAnsi="宋体" w:eastAsia="宋体"/>
          <w:color w:val="auto"/>
          <w:highlight w:val="none"/>
          <w:u w:val="single"/>
        </w:rPr>
        <w:t>（项目名称）</w:t>
      </w:r>
      <w:r>
        <w:rPr>
          <w:rFonts w:hint="eastAsia" w:ascii="宋体" w:hAnsi="宋体" w:eastAsia="宋体"/>
          <w:color w:val="auto"/>
          <w:highlight w:val="none"/>
        </w:rPr>
        <w:t>的招标活动。</w:t>
      </w:r>
    </w:p>
    <w:p w14:paraId="5C2C1F17">
      <w:pPr>
        <w:pStyle w:val="3"/>
        <w:overflowPunct w:val="0"/>
        <w:spacing w:line="560" w:lineRule="exact"/>
        <w:rPr>
          <w:rFonts w:hint="eastAsia" w:ascii="宋体" w:hAnsi="宋体" w:eastAsia="宋体"/>
          <w:color w:val="auto"/>
          <w:highlight w:val="none"/>
        </w:rPr>
      </w:pPr>
      <w:r>
        <w:rPr>
          <w:rFonts w:hint="eastAsia" w:ascii="宋体" w:hAnsi="宋体" w:eastAsia="宋体"/>
          <w:color w:val="auto"/>
          <w:highlight w:val="none"/>
        </w:rPr>
        <w:t>分公司的投标文件以及在开标、评标、合同谈判过程中所签署的一切文件和处理与这有关的一切事务，本公司（总公司）均予以承认，并承担相应的法律后果。</w:t>
      </w:r>
    </w:p>
    <w:p w14:paraId="23B191E5">
      <w:pPr>
        <w:pStyle w:val="3"/>
        <w:overflowPunct w:val="0"/>
        <w:spacing w:line="560" w:lineRule="exact"/>
        <w:jc w:val="both"/>
        <w:rPr>
          <w:rFonts w:hint="eastAsia" w:ascii="宋体" w:hAnsi="宋体" w:eastAsia="宋体"/>
          <w:color w:val="auto"/>
          <w:highlight w:val="none"/>
        </w:rPr>
      </w:pPr>
      <w:r>
        <w:rPr>
          <w:rFonts w:hint="eastAsia" w:ascii="宋体" w:hAnsi="宋体" w:eastAsia="宋体"/>
          <w:color w:val="auto"/>
          <w:highlight w:val="none"/>
        </w:rPr>
        <w:t>分公司在授权委托书有效期内签署的所有文件不因授权委托的撤销而失效，除非有撤销授权委托的书面通知。</w:t>
      </w:r>
    </w:p>
    <w:p w14:paraId="452AC932">
      <w:pPr>
        <w:pStyle w:val="3"/>
        <w:overflowPunct w:val="0"/>
        <w:spacing w:line="560" w:lineRule="exact"/>
        <w:jc w:val="both"/>
        <w:rPr>
          <w:rFonts w:hint="eastAsia" w:ascii="宋体" w:hAnsi="宋体" w:eastAsia="宋体"/>
          <w:color w:val="auto"/>
          <w:highlight w:val="none"/>
        </w:rPr>
      </w:pPr>
      <w:r>
        <w:rPr>
          <w:rFonts w:hint="eastAsia" w:ascii="宋体" w:hAnsi="宋体" w:eastAsia="宋体" w:cs="宋体"/>
          <w:color w:val="auto"/>
          <w:highlight w:val="none"/>
        </w:rPr>
        <w:t>本授权书于______年____月____日起生效，特此声明。</w:t>
      </w:r>
    </w:p>
    <w:p w14:paraId="15755EF4">
      <w:pPr>
        <w:pStyle w:val="3"/>
        <w:overflowPunct w:val="0"/>
        <w:spacing w:line="560" w:lineRule="exact"/>
        <w:jc w:val="both"/>
        <w:rPr>
          <w:rFonts w:hint="eastAsia" w:ascii="宋体" w:hAnsi="宋体" w:eastAsia="宋体"/>
          <w:color w:val="auto"/>
          <w:highlight w:val="none"/>
          <w:u w:val="single"/>
        </w:rPr>
      </w:pPr>
      <w:r>
        <w:rPr>
          <w:rFonts w:hint="eastAsia" w:ascii="宋体" w:hAnsi="宋体" w:eastAsia="宋体"/>
          <w:color w:val="auto"/>
          <w:highlight w:val="none"/>
        </w:rPr>
        <w:t>授权单位（盖章）：</w:t>
      </w:r>
      <w:r>
        <w:rPr>
          <w:rFonts w:hint="eastAsia" w:ascii="宋体" w:hAnsi="宋体" w:eastAsia="宋体"/>
          <w:color w:val="auto"/>
          <w:highlight w:val="none"/>
          <w:u w:val="single"/>
        </w:rPr>
        <w:t xml:space="preserve">                    </w:t>
      </w:r>
    </w:p>
    <w:p w14:paraId="52C87DAC">
      <w:pPr>
        <w:pStyle w:val="3"/>
        <w:overflowPunct w:val="0"/>
        <w:spacing w:line="560" w:lineRule="exact"/>
        <w:jc w:val="both"/>
        <w:rPr>
          <w:rFonts w:hint="eastAsia" w:ascii="宋体" w:hAnsi="宋体" w:eastAsia="宋体"/>
          <w:color w:val="auto"/>
          <w:highlight w:val="none"/>
        </w:rPr>
      </w:pPr>
      <w:r>
        <w:rPr>
          <w:rFonts w:hint="eastAsia" w:ascii="宋体" w:hAnsi="宋体" w:eastAsia="宋体"/>
          <w:color w:val="auto"/>
          <w:highlight w:val="none"/>
        </w:rPr>
        <w:t>法定代表人（签字或盖章）：</w:t>
      </w:r>
      <w:r>
        <w:rPr>
          <w:rFonts w:hint="eastAsia" w:ascii="宋体" w:hAnsi="宋体" w:eastAsia="宋体"/>
          <w:color w:val="auto"/>
          <w:highlight w:val="none"/>
          <w:u w:val="single"/>
        </w:rPr>
        <w:t xml:space="preserve">                    </w:t>
      </w:r>
    </w:p>
    <w:p w14:paraId="708A10D0">
      <w:pPr>
        <w:pStyle w:val="9"/>
        <w:spacing w:beforeAutospacing="0" w:afterAutospacing="0"/>
        <w:jc w:val="both"/>
        <w:rPr>
          <w:rFonts w:hint="eastAsia"/>
          <w:b/>
          <w:bCs/>
          <w:color w:val="auto"/>
          <w:highlight w:val="none"/>
        </w:rPr>
      </w:pPr>
      <w:r>
        <w:rPr>
          <w:rFonts w:hint="eastAsia"/>
          <w:b/>
          <w:bCs/>
          <w:color w:val="auto"/>
          <w:highlight w:val="none"/>
        </w:rPr>
        <w:t>附：法定代表人身份证正反面</w:t>
      </w:r>
    </w:p>
    <w:p w14:paraId="24255A39">
      <w:pPr>
        <w:pStyle w:val="9"/>
        <w:spacing w:beforeAutospacing="0" w:afterAutospacing="0"/>
        <w:jc w:val="both"/>
        <w:rPr>
          <w:rFonts w:hint="eastAsia"/>
          <w:b/>
          <w:bCs/>
          <w:color w:val="auto"/>
          <w:highlight w:val="none"/>
        </w:rPr>
      </w:pPr>
    </w:p>
    <w:p w14:paraId="02ABC6EA">
      <w:pPr>
        <w:pStyle w:val="9"/>
        <w:spacing w:beforeAutospacing="0" w:afterAutospacing="0"/>
        <w:jc w:val="both"/>
        <w:rPr>
          <w:rFonts w:hint="eastAsia"/>
          <w:b/>
          <w:bCs/>
          <w:color w:val="auto"/>
          <w:highlight w:val="none"/>
        </w:rPr>
      </w:pPr>
    </w:p>
    <w:p w14:paraId="7AF381EB">
      <w:pPr>
        <w:pStyle w:val="9"/>
        <w:spacing w:beforeAutospacing="0" w:afterAutospacing="0"/>
        <w:jc w:val="center"/>
        <w:rPr>
          <w:rFonts w:hint="eastAsia" w:ascii="黑体" w:hAnsi="宋体" w:eastAsia="黑体" w:cs="黑体"/>
          <w:i w:val="0"/>
          <w:iCs/>
          <w:color w:val="auto"/>
          <w:sz w:val="32"/>
          <w:szCs w:val="32"/>
          <w:highlight w:val="none"/>
          <w:u w:val="single"/>
          <w:lang w:val="en-US" w:eastAsia="zh-CN"/>
        </w:rPr>
      </w:pPr>
      <w:r>
        <w:rPr>
          <w:rFonts w:hint="eastAsia" w:ascii="黑体" w:hAnsi="宋体" w:eastAsia="黑体" w:cs="黑体"/>
          <w:i w:val="0"/>
          <w:iCs/>
          <w:color w:val="auto"/>
          <w:sz w:val="32"/>
          <w:szCs w:val="32"/>
          <w:highlight w:val="none"/>
          <w:u w:val="single"/>
          <w:lang w:val="en-US" w:eastAsia="zh-CN"/>
        </w:rPr>
        <w:t>八、第一共保体资格审查文件（包括以上一至七项）</w:t>
      </w:r>
    </w:p>
    <w:p w14:paraId="7C9BBD24">
      <w:pPr>
        <w:pStyle w:val="9"/>
        <w:spacing w:beforeAutospacing="0" w:afterAutospacing="0"/>
        <w:jc w:val="center"/>
        <w:rPr>
          <w:rFonts w:hint="eastAsia" w:ascii="黑体" w:hAnsi="宋体" w:eastAsia="黑体" w:cs="黑体"/>
          <w:i/>
          <w:color w:val="auto"/>
          <w:sz w:val="32"/>
          <w:szCs w:val="32"/>
          <w:highlight w:val="none"/>
          <w:u w:val="single"/>
        </w:rPr>
      </w:pPr>
      <w:r>
        <w:rPr>
          <w:rFonts w:hint="eastAsia" w:ascii="黑体" w:hAnsi="宋体" w:eastAsia="黑体" w:cs="黑体"/>
          <w:i w:val="0"/>
          <w:iCs/>
          <w:color w:val="auto"/>
          <w:sz w:val="32"/>
          <w:szCs w:val="32"/>
          <w:highlight w:val="none"/>
          <w:u w:val="single"/>
          <w:lang w:val="en-US" w:eastAsia="zh-CN"/>
        </w:rPr>
        <w:t>九、第二共保体资格审查文件（包括以上一至七项）</w:t>
      </w:r>
    </w:p>
    <w:p w14:paraId="7BB3F9E3">
      <w:pPr>
        <w:pStyle w:val="9"/>
        <w:spacing w:beforeAutospacing="0" w:afterAutospacing="0"/>
        <w:jc w:val="center"/>
        <w:rPr>
          <w:b/>
          <w:bCs/>
          <w:color w:val="auto"/>
          <w:highlight w:val="none"/>
        </w:rPr>
      </w:pPr>
    </w:p>
    <w:p w14:paraId="1A0A2504">
      <w:pPr>
        <w:pStyle w:val="9"/>
        <w:spacing w:beforeAutospacing="0" w:afterAutospacing="0"/>
        <w:jc w:val="center"/>
        <w:rPr>
          <w:i w:val="0"/>
          <w:iCs/>
          <w:color w:val="auto"/>
          <w:sz w:val="32"/>
          <w:szCs w:val="32"/>
          <w:highlight w:val="none"/>
        </w:rPr>
      </w:pPr>
      <w:r>
        <w:rPr>
          <w:rFonts w:hint="eastAsia" w:ascii="黑体" w:hAnsi="宋体" w:eastAsia="黑体" w:cs="黑体"/>
          <w:i w:val="0"/>
          <w:iCs/>
          <w:color w:val="auto"/>
          <w:sz w:val="32"/>
          <w:szCs w:val="32"/>
          <w:highlight w:val="none"/>
          <w:u w:val="single"/>
          <w:lang w:val="en-US" w:eastAsia="zh-CN"/>
        </w:rPr>
        <w:t>十</w:t>
      </w:r>
      <w:r>
        <w:rPr>
          <w:rFonts w:hint="eastAsia" w:ascii="黑体" w:hAnsi="宋体" w:eastAsia="黑体" w:cs="黑体"/>
          <w:i w:val="0"/>
          <w:iCs/>
          <w:color w:val="auto"/>
          <w:sz w:val="32"/>
          <w:szCs w:val="32"/>
          <w:highlight w:val="none"/>
          <w:u w:val="single"/>
        </w:rPr>
        <w:t>、法定代表人（负责人）授权书（如有）</w:t>
      </w:r>
    </w:p>
    <w:p w14:paraId="123AB7CA">
      <w:pPr>
        <w:pStyle w:val="9"/>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71A96FBC">
      <w:pPr>
        <w:pStyle w:val="9"/>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0C3077B6">
      <w:pPr>
        <w:pStyle w:val="9"/>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3A6D30B3">
      <w:pPr>
        <w:pStyle w:val="9"/>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09F2039F">
      <w:pPr>
        <w:pStyle w:val="9"/>
        <w:tabs>
          <w:tab w:val="left" w:pos="360"/>
        </w:tabs>
        <w:spacing w:beforeAutospacing="0" w:afterAutospacing="0"/>
        <w:ind w:firstLine="720" w:firstLineChars="3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24818DE8">
      <w:pPr>
        <w:pStyle w:val="9"/>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3CF145E0">
      <w:pPr>
        <w:pStyle w:val="9"/>
        <w:tabs>
          <w:tab w:val="left" w:pos="360"/>
        </w:tabs>
        <w:spacing w:beforeAutospacing="0" w:afterAutospacing="0"/>
        <w:ind w:firstLine="480"/>
        <w:jc w:val="both"/>
        <w:rPr>
          <w:rFonts w:ascii="Times New Roman" w:hAnsi="Times New Roman"/>
          <w:color w:val="auto"/>
          <w:highlight w:val="none"/>
          <w:u w:val="single"/>
        </w:rPr>
      </w:pPr>
      <w:r>
        <w:rPr>
          <w:rFonts w:ascii="Times New Roman" w:hAnsi="Times New Roman"/>
          <w:color w:val="auto"/>
          <w:highlight w:val="none"/>
        </w:rPr>
        <w:t>    日期：</w:t>
      </w:r>
      <w:bookmarkStart w:id="176" w:name="_Hlt26955070"/>
      <w:bookmarkStart w:id="177" w:name="_Hlt26671380"/>
      <w:bookmarkStart w:id="178" w:name="_格式3__银行出具的资信证明"/>
      <w:r>
        <w:rPr>
          <w:rFonts w:ascii="Times New Roman" w:hAnsi="Times New Roman"/>
          <w:color w:val="auto"/>
          <w:highlight w:val="none"/>
          <w:u w:val="single"/>
        </w:rPr>
        <w:t>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p>
    <w:p w14:paraId="31F044B6">
      <w:pPr>
        <w:pStyle w:val="9"/>
        <w:tabs>
          <w:tab w:val="left" w:pos="360"/>
        </w:tabs>
        <w:spacing w:beforeAutospacing="0" w:afterAutospacing="0"/>
        <w:ind w:firstLine="480"/>
        <w:jc w:val="both"/>
        <w:rPr>
          <w:rFonts w:hint="eastAsia" w:ascii="宋体" w:hAnsi="宋体" w:cs="宋体"/>
          <w:b/>
          <w:bCs/>
          <w:color w:val="auto"/>
          <w:highlight w:val="none"/>
        </w:rPr>
      </w:pPr>
      <w:r>
        <w:rPr>
          <w:rFonts w:hint="eastAsia" w:ascii="宋体" w:hAnsi="宋体" w:cs="宋体"/>
          <w:b/>
          <w:bCs/>
          <w:color w:val="auto"/>
          <w:highlight w:val="none"/>
        </w:rPr>
        <w:t>附</w:t>
      </w:r>
      <w:r>
        <w:rPr>
          <w:rFonts w:hint="eastAsia" w:ascii="宋体" w:hAnsi="宋体" w:eastAsia="宋体" w:cs="宋体"/>
          <w:b/>
          <w:bCs/>
          <w:color w:val="auto"/>
          <w:highlight w:val="none"/>
        </w:rPr>
        <w:t>：投标人法定代表人（负责人）</w:t>
      </w:r>
      <w:r>
        <w:rPr>
          <w:rFonts w:hint="eastAsia" w:ascii="宋体" w:hAnsi="宋体" w:cs="宋体"/>
          <w:b/>
          <w:bCs/>
          <w:color w:val="auto"/>
          <w:highlight w:val="none"/>
        </w:rPr>
        <w:t>身份证正反面复印件</w:t>
      </w:r>
      <w:r>
        <w:rPr>
          <w:rFonts w:hint="eastAsia" w:ascii="宋体" w:hAnsi="宋体" w:eastAsia="宋体" w:cs="宋体"/>
          <w:b/>
          <w:bCs/>
          <w:color w:val="auto"/>
          <w:highlight w:val="none"/>
        </w:rPr>
        <w:t>、</w:t>
      </w:r>
      <w:r>
        <w:rPr>
          <w:rFonts w:hint="eastAsia" w:ascii="宋体" w:hAnsi="宋体" w:cs="宋体"/>
          <w:b/>
          <w:bCs/>
          <w:color w:val="auto"/>
          <w:highlight w:val="none"/>
        </w:rPr>
        <w:t>被授权人身份证正反面复印件</w:t>
      </w:r>
      <w:r>
        <w:rPr>
          <w:rFonts w:hint="eastAsia" w:ascii="宋体" w:hAnsi="宋体" w:cs="宋体"/>
          <w:b/>
          <w:bCs/>
          <w:color w:val="auto"/>
          <w:highlight w:val="none"/>
          <w:lang w:eastAsia="zh-CN"/>
        </w:rPr>
        <w:t>、</w:t>
      </w:r>
      <w:r>
        <w:rPr>
          <w:rFonts w:hint="eastAsia" w:ascii="宋体" w:hAnsi="宋体" w:cs="宋体"/>
          <w:b/>
          <w:bCs/>
          <w:color w:val="auto"/>
          <w:highlight w:val="none"/>
        </w:rPr>
        <w:t>投标人</w:t>
      </w:r>
      <w:r>
        <w:rPr>
          <w:rFonts w:hint="eastAsia" w:ascii="宋体" w:hAnsi="宋体" w:cs="宋体"/>
          <w:b/>
          <w:bCs/>
          <w:color w:val="auto"/>
          <w:highlight w:val="none"/>
          <w:lang w:val="en-US" w:eastAsia="zh-CN"/>
        </w:rPr>
        <w:t>或其上级公司</w:t>
      </w:r>
      <w:r>
        <w:rPr>
          <w:rFonts w:hint="eastAsia" w:ascii="宋体" w:hAnsi="宋体" w:cs="宋体"/>
          <w:b/>
          <w:bCs/>
          <w:color w:val="auto"/>
          <w:highlight w:val="none"/>
        </w:rPr>
        <w:t>为被授权人缴纳的社会养老保险证明（如委托被授权人参与）</w:t>
      </w:r>
    </w:p>
    <w:p w14:paraId="0F126A89">
      <w:pPr>
        <w:pStyle w:val="9"/>
        <w:keepNext/>
        <w:keepLines/>
        <w:spacing w:before="260" w:beforeAutospacing="0" w:after="260" w:afterAutospacing="0" w:line="415" w:lineRule="auto"/>
        <w:jc w:val="center"/>
        <w:rPr>
          <w:color w:val="auto"/>
          <w:highlight w:val="none"/>
        </w:rPr>
      </w:pPr>
      <w:r>
        <w:rPr>
          <w:rFonts w:hint="eastAsia" w:ascii="宋体" w:hAnsi="宋体" w:eastAsia="宋体" w:cs="宋体"/>
          <w:b/>
          <w:color w:val="auto"/>
          <w:highlight w:val="none"/>
        </w:rPr>
        <w:br w:type="page"/>
      </w:r>
      <w:r>
        <w:rPr>
          <w:rFonts w:hint="eastAsia" w:ascii="黑体" w:hAnsi="宋体" w:eastAsia="黑体" w:cs="黑体"/>
          <w:b/>
          <w:i w:val="0"/>
          <w:iCs/>
          <w:color w:val="auto"/>
          <w:sz w:val="32"/>
          <w:szCs w:val="32"/>
          <w:highlight w:val="none"/>
          <w:u w:val="single"/>
          <w:lang w:val="en-US" w:eastAsia="zh-CN"/>
        </w:rPr>
        <w:t>十一</w:t>
      </w:r>
      <w:r>
        <w:rPr>
          <w:rFonts w:hint="eastAsia" w:ascii="黑体" w:hAnsi="宋体" w:eastAsia="黑体" w:cs="黑体"/>
          <w:b/>
          <w:i w:val="0"/>
          <w:iCs/>
          <w:color w:val="auto"/>
          <w:sz w:val="32"/>
          <w:szCs w:val="32"/>
          <w:highlight w:val="none"/>
          <w:u w:val="single"/>
        </w:rPr>
        <w:t>、单一来源响应函</w:t>
      </w:r>
    </w:p>
    <w:p w14:paraId="508DBA2C">
      <w:pPr>
        <w:pStyle w:val="9"/>
        <w:spacing w:beforeAutospacing="0" w:afterAutospacing="0" w:line="0" w:lineRule="atLeast"/>
        <w:rPr>
          <w:rFonts w:eastAsia="宋体"/>
          <w:color w:val="auto"/>
          <w:highlight w:val="none"/>
        </w:rPr>
      </w:pPr>
      <w:r>
        <w:rPr>
          <w:rFonts w:hint="eastAsia" w:ascii="宋体" w:hAnsi="宋体" w:eastAsia="宋体" w:cs="宋体"/>
          <w:color w:val="auto"/>
          <w:highlight w:val="none"/>
        </w:rPr>
        <w:t>致：东台市医疗保险基金管理中心</w:t>
      </w:r>
    </w:p>
    <w:p w14:paraId="682C10DC">
      <w:pPr>
        <w:pStyle w:val="9"/>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根据贵方的JSZC-320981-***</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号采购文件，正式授权下述签字人______(姓名)代表我方______________（供应商的名称），全权处理本次项目单一来源采购的有关事宜。</w:t>
      </w:r>
    </w:p>
    <w:p w14:paraId="7D8FB0D1">
      <w:pPr>
        <w:pStyle w:val="9"/>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0C7F4D85">
      <w:pPr>
        <w:pStyle w:val="9"/>
        <w:spacing w:beforeAutospacing="0" w:afterAutospacing="0" w:line="0" w:lineRule="atLeast"/>
        <w:ind w:firstLine="480"/>
        <w:rPr>
          <w:color w:val="auto"/>
          <w:highlight w:val="none"/>
        </w:rPr>
      </w:pPr>
      <w:r>
        <w:rPr>
          <w:rFonts w:hint="eastAsia" w:ascii="宋体" w:hAnsi="宋体" w:eastAsia="宋体" w:cs="宋体"/>
          <w:color w:val="auto"/>
          <w:highlight w:val="none"/>
        </w:rPr>
        <w:t>1.按采购文件规定的各项要求，向买方提供所需货物、服务（包含与货物相关的服务及与服务相关的货物）。</w:t>
      </w:r>
    </w:p>
    <w:p w14:paraId="0ACDAA15">
      <w:pPr>
        <w:pStyle w:val="9"/>
        <w:spacing w:beforeAutospacing="0" w:afterAutospacing="0" w:line="0" w:lineRule="atLeast"/>
        <w:ind w:firstLine="480"/>
        <w:rPr>
          <w:color w:val="auto"/>
          <w:highlight w:val="none"/>
        </w:rPr>
      </w:pPr>
      <w:r>
        <w:rPr>
          <w:rFonts w:hint="eastAsia" w:ascii="宋体" w:hAnsi="宋体" w:eastAsia="宋体" w:cs="宋体"/>
          <w:color w:val="auto"/>
          <w:highlight w:val="none"/>
        </w:rPr>
        <w:t>2.我们已详细审核全部采购文件及其有效补充文件，我们知道必须放弃提出含糊不清或误解问题的权利。</w:t>
      </w:r>
    </w:p>
    <w:p w14:paraId="0F02950A">
      <w:pPr>
        <w:pStyle w:val="9"/>
        <w:spacing w:beforeAutospacing="0" w:afterAutospacing="0" w:line="0" w:lineRule="atLeast"/>
        <w:ind w:firstLine="480"/>
        <w:rPr>
          <w:color w:val="auto"/>
          <w:highlight w:val="none"/>
        </w:rPr>
      </w:pPr>
      <w:r>
        <w:rPr>
          <w:rFonts w:hint="eastAsia" w:ascii="宋体" w:hAnsi="宋体" w:eastAsia="宋体" w:cs="宋体"/>
          <w:color w:val="auto"/>
          <w:highlight w:val="none"/>
        </w:rPr>
        <w:t>3.我们同意从规定的单一来源协商时间起遵循本响应文件，并在规定的单一来源协商有效期期满之前均具有约束力。</w:t>
      </w:r>
    </w:p>
    <w:p w14:paraId="711C56F4">
      <w:pPr>
        <w:pStyle w:val="9"/>
        <w:spacing w:beforeAutospacing="0" w:afterAutospacing="0" w:line="0" w:lineRule="atLeast"/>
        <w:ind w:firstLine="480"/>
        <w:rPr>
          <w:color w:val="auto"/>
          <w:highlight w:val="none"/>
        </w:rPr>
      </w:pPr>
      <w:r>
        <w:rPr>
          <w:rFonts w:hint="eastAsia" w:ascii="宋体" w:hAnsi="宋体" w:eastAsia="宋体" w:cs="宋体"/>
          <w:color w:val="auto"/>
          <w:highlight w:val="none"/>
        </w:rPr>
        <w:t>4.同意向贵方提供贵方可能另外要求的与单一来源采购有关的任何证据或资料，并保证我方已提供和将要提供的文件是真实的、准确的。</w:t>
      </w:r>
    </w:p>
    <w:p w14:paraId="6740C2ED">
      <w:pPr>
        <w:pStyle w:val="9"/>
        <w:spacing w:beforeAutospacing="0" w:afterAutospacing="0" w:line="0" w:lineRule="atLeast"/>
        <w:ind w:firstLine="480"/>
        <w:rPr>
          <w:color w:val="auto"/>
          <w:highlight w:val="none"/>
        </w:rPr>
      </w:pPr>
      <w:r>
        <w:rPr>
          <w:rFonts w:hint="eastAsia" w:ascii="宋体" w:hAnsi="宋体" w:eastAsia="宋体" w:cs="宋体"/>
          <w:color w:val="auto"/>
          <w:highlight w:val="none"/>
        </w:rPr>
        <w:t>5.一旦我方成交,我方将根据采购文件的规定，严格履行合同的责任和义务,并保证在采购文件规定的时间完成项目，交付买方验收、使用。</w:t>
      </w:r>
    </w:p>
    <w:p w14:paraId="3A82FAB4">
      <w:pPr>
        <w:pStyle w:val="9"/>
        <w:spacing w:beforeAutospacing="0" w:afterAutospacing="0" w:line="0" w:lineRule="atLeast"/>
        <w:ind w:left="425"/>
        <w:rPr>
          <w:color w:val="auto"/>
          <w:highlight w:val="none"/>
        </w:rPr>
      </w:pPr>
      <w:r>
        <w:rPr>
          <w:rFonts w:hint="eastAsia" w:ascii="宋体" w:hAnsi="宋体" w:eastAsia="宋体" w:cs="宋体"/>
          <w:color w:val="auto"/>
          <w:highlight w:val="none"/>
        </w:rPr>
        <w:t>6.我方与本次单一来源采购有关的正式通讯地址为：</w:t>
      </w:r>
    </w:p>
    <w:p w14:paraId="4DD8A7DA">
      <w:pPr>
        <w:pStyle w:val="9"/>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地址：</w:t>
      </w:r>
    </w:p>
    <w:p w14:paraId="0BAC3595">
      <w:pPr>
        <w:pStyle w:val="9"/>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邮编：</w:t>
      </w:r>
    </w:p>
    <w:p w14:paraId="6890515E">
      <w:pPr>
        <w:pStyle w:val="9"/>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电话：</w:t>
      </w:r>
    </w:p>
    <w:p w14:paraId="038E84DA">
      <w:pPr>
        <w:pStyle w:val="9"/>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传真：</w:t>
      </w:r>
    </w:p>
    <w:p w14:paraId="0D8B62C9">
      <w:pPr>
        <w:pStyle w:val="9"/>
        <w:spacing w:beforeAutospacing="0" w:afterAutospacing="0" w:line="0" w:lineRule="atLeast"/>
        <w:ind w:left="420" w:firstLine="480"/>
        <w:rPr>
          <w:color w:val="auto"/>
          <w:highlight w:val="none"/>
        </w:rPr>
      </w:pPr>
      <w:r>
        <w:rPr>
          <w:rFonts w:hint="eastAsia" w:ascii="宋体" w:hAnsi="宋体" w:eastAsia="宋体" w:cs="宋体"/>
          <w:color w:val="auto"/>
          <w:highlight w:val="none"/>
        </w:rPr>
        <w:t>供应商开户行：</w:t>
      </w:r>
    </w:p>
    <w:p w14:paraId="3759665A">
      <w:pPr>
        <w:pStyle w:val="9"/>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账号： </w:t>
      </w:r>
    </w:p>
    <w:p w14:paraId="7BB86069">
      <w:pPr>
        <w:pStyle w:val="9"/>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日期：________年____月____日</w:t>
      </w:r>
    </w:p>
    <w:p w14:paraId="6B57948D">
      <w:pPr>
        <w:pStyle w:val="9"/>
        <w:spacing w:beforeAutospacing="0" w:afterAutospacing="0" w:line="0" w:lineRule="atLeast"/>
        <w:ind w:firstLine="240"/>
        <w:jc w:val="center"/>
        <w:rPr>
          <w:color w:val="auto"/>
          <w:highlight w:val="none"/>
        </w:rPr>
      </w:pPr>
      <w:r>
        <w:rPr>
          <w:color w:val="auto"/>
          <w:highlight w:val="none"/>
        </w:rPr>
        <w:t> </w:t>
      </w:r>
    </w:p>
    <w:p w14:paraId="19EAE188">
      <w:pPr>
        <w:pStyle w:val="9"/>
        <w:spacing w:beforeAutospacing="0" w:afterAutospacing="0" w:line="0" w:lineRule="atLeast"/>
        <w:ind w:firstLine="240"/>
        <w:jc w:val="center"/>
        <w:rPr>
          <w:color w:val="auto"/>
          <w:highlight w:val="none"/>
        </w:rPr>
      </w:pPr>
      <w:r>
        <w:rPr>
          <w:color w:val="auto"/>
          <w:highlight w:val="none"/>
        </w:rPr>
        <w:t> </w:t>
      </w:r>
    </w:p>
    <w:p w14:paraId="62DADF11">
      <w:pPr>
        <w:pStyle w:val="9"/>
        <w:spacing w:beforeAutospacing="0" w:afterAutospacing="0" w:line="0" w:lineRule="atLeast"/>
        <w:ind w:firstLine="240"/>
        <w:jc w:val="center"/>
        <w:rPr>
          <w:color w:val="auto"/>
          <w:highlight w:val="none"/>
        </w:rPr>
      </w:pPr>
      <w:r>
        <w:rPr>
          <w:color w:val="auto"/>
          <w:highlight w:val="none"/>
        </w:rPr>
        <w:t> </w:t>
      </w:r>
    </w:p>
    <w:p w14:paraId="01AC8604">
      <w:pPr>
        <w:pStyle w:val="9"/>
        <w:spacing w:beforeAutospacing="0" w:afterAutospacing="0" w:line="0" w:lineRule="atLeast"/>
        <w:ind w:firstLine="240"/>
        <w:jc w:val="center"/>
        <w:rPr>
          <w:color w:val="auto"/>
          <w:highlight w:val="none"/>
        </w:rPr>
      </w:pPr>
      <w:r>
        <w:rPr>
          <w:color w:val="auto"/>
          <w:highlight w:val="none"/>
        </w:rPr>
        <w:t> </w:t>
      </w:r>
    </w:p>
    <w:p w14:paraId="529DFE13">
      <w:pPr>
        <w:pStyle w:val="9"/>
        <w:spacing w:beforeAutospacing="0" w:afterAutospacing="0" w:line="0" w:lineRule="atLeast"/>
        <w:ind w:firstLine="240"/>
        <w:jc w:val="center"/>
        <w:rPr>
          <w:color w:val="auto"/>
          <w:highlight w:val="none"/>
        </w:rPr>
      </w:pPr>
      <w:r>
        <w:rPr>
          <w:color w:val="auto"/>
          <w:highlight w:val="none"/>
        </w:rPr>
        <w:t> </w:t>
      </w:r>
    </w:p>
    <w:p w14:paraId="122908B5">
      <w:pPr>
        <w:pStyle w:val="9"/>
        <w:spacing w:beforeAutospacing="0" w:afterAutospacing="0" w:line="0" w:lineRule="atLeast"/>
        <w:ind w:firstLine="240"/>
        <w:jc w:val="center"/>
        <w:rPr>
          <w:color w:val="auto"/>
          <w:highlight w:val="none"/>
        </w:rPr>
      </w:pPr>
    </w:p>
    <w:p w14:paraId="4B3FBE27">
      <w:pPr>
        <w:pStyle w:val="9"/>
        <w:spacing w:beforeAutospacing="0" w:afterAutospacing="0" w:line="0" w:lineRule="atLeast"/>
        <w:ind w:firstLine="240"/>
        <w:jc w:val="center"/>
        <w:rPr>
          <w:color w:val="auto"/>
          <w:highlight w:val="none"/>
        </w:rPr>
      </w:pPr>
    </w:p>
    <w:p w14:paraId="676EB30F">
      <w:pPr>
        <w:pStyle w:val="9"/>
        <w:spacing w:beforeAutospacing="0" w:afterAutospacing="0" w:line="0" w:lineRule="atLeast"/>
        <w:ind w:firstLine="240"/>
        <w:jc w:val="center"/>
        <w:rPr>
          <w:color w:val="auto"/>
          <w:highlight w:val="none"/>
        </w:rPr>
      </w:pPr>
    </w:p>
    <w:p w14:paraId="1CD83EF0">
      <w:pPr>
        <w:pStyle w:val="9"/>
        <w:spacing w:beforeAutospacing="0" w:afterAutospacing="0" w:line="0" w:lineRule="atLeast"/>
        <w:ind w:firstLine="240"/>
        <w:jc w:val="center"/>
        <w:rPr>
          <w:color w:val="auto"/>
          <w:highlight w:val="none"/>
        </w:rPr>
      </w:pPr>
    </w:p>
    <w:p w14:paraId="2EF333A9">
      <w:pPr>
        <w:pStyle w:val="9"/>
        <w:spacing w:beforeAutospacing="0" w:afterAutospacing="0" w:line="0" w:lineRule="atLeast"/>
        <w:ind w:firstLine="240"/>
        <w:jc w:val="center"/>
        <w:rPr>
          <w:color w:val="auto"/>
          <w:highlight w:val="none"/>
        </w:rPr>
      </w:pPr>
    </w:p>
    <w:p w14:paraId="4311B642">
      <w:pPr>
        <w:pStyle w:val="9"/>
        <w:spacing w:beforeAutospacing="0" w:afterAutospacing="0" w:line="0" w:lineRule="atLeast"/>
        <w:ind w:firstLine="240"/>
        <w:jc w:val="center"/>
        <w:rPr>
          <w:color w:val="auto"/>
          <w:highlight w:val="none"/>
        </w:rPr>
      </w:pPr>
    </w:p>
    <w:p w14:paraId="1989CFFB">
      <w:pPr>
        <w:pStyle w:val="9"/>
        <w:spacing w:beforeAutospacing="0" w:afterAutospacing="0" w:line="0" w:lineRule="atLeast"/>
        <w:ind w:firstLine="240"/>
        <w:jc w:val="center"/>
        <w:rPr>
          <w:color w:val="auto"/>
          <w:highlight w:val="none"/>
        </w:rPr>
      </w:pPr>
    </w:p>
    <w:p w14:paraId="56FC8708">
      <w:pPr>
        <w:pStyle w:val="9"/>
        <w:spacing w:beforeAutospacing="0" w:afterAutospacing="0" w:line="0" w:lineRule="atLeast"/>
        <w:ind w:firstLine="240"/>
        <w:jc w:val="center"/>
        <w:rPr>
          <w:color w:val="auto"/>
          <w:highlight w:val="none"/>
        </w:rPr>
      </w:pPr>
    </w:p>
    <w:p w14:paraId="30D5163F">
      <w:pPr>
        <w:pStyle w:val="9"/>
        <w:spacing w:beforeAutospacing="0" w:afterAutospacing="0" w:line="0" w:lineRule="atLeast"/>
        <w:ind w:firstLine="240"/>
        <w:jc w:val="center"/>
        <w:rPr>
          <w:color w:val="auto"/>
          <w:highlight w:val="none"/>
        </w:rPr>
      </w:pPr>
    </w:p>
    <w:p w14:paraId="79C34EA4">
      <w:pPr>
        <w:pStyle w:val="9"/>
        <w:spacing w:beforeAutospacing="0" w:afterAutospacing="0" w:line="0" w:lineRule="atLeast"/>
        <w:ind w:firstLine="240"/>
        <w:jc w:val="center"/>
        <w:rPr>
          <w:color w:val="auto"/>
          <w:highlight w:val="none"/>
        </w:rPr>
      </w:pPr>
    </w:p>
    <w:p w14:paraId="54ACEF06">
      <w:pPr>
        <w:pStyle w:val="9"/>
        <w:spacing w:beforeAutospacing="0" w:afterAutospacing="0" w:line="0" w:lineRule="atLeast"/>
        <w:ind w:firstLine="240"/>
        <w:jc w:val="center"/>
        <w:rPr>
          <w:color w:val="auto"/>
          <w:highlight w:val="none"/>
        </w:rPr>
      </w:pPr>
    </w:p>
    <w:p w14:paraId="095AA65B">
      <w:pPr>
        <w:pStyle w:val="9"/>
        <w:spacing w:beforeAutospacing="0" w:afterAutospacing="0" w:line="0" w:lineRule="atLeast"/>
        <w:ind w:firstLine="240"/>
        <w:jc w:val="center"/>
        <w:rPr>
          <w:color w:val="auto"/>
          <w:highlight w:val="none"/>
        </w:rPr>
      </w:pPr>
    </w:p>
    <w:p w14:paraId="75AC971F">
      <w:pPr>
        <w:pStyle w:val="9"/>
        <w:spacing w:beforeAutospacing="0" w:afterAutospacing="0" w:line="0" w:lineRule="atLeast"/>
        <w:ind w:firstLine="321"/>
        <w:jc w:val="center"/>
        <w:rPr>
          <w:color w:val="auto"/>
          <w:highlight w:val="none"/>
        </w:rPr>
      </w:pPr>
      <w:r>
        <w:rPr>
          <w:color w:val="auto"/>
          <w:highlight w:val="none"/>
        </w:rPr>
        <w:t> </w:t>
      </w:r>
    </w:p>
    <w:p w14:paraId="2217075B">
      <w:pPr>
        <w:pStyle w:val="9"/>
        <w:spacing w:beforeAutospacing="0" w:afterAutospacing="0" w:line="0" w:lineRule="atLeast"/>
        <w:jc w:val="center"/>
        <w:rPr>
          <w:rFonts w:hint="eastAsia" w:ascii="黑体" w:hAnsi="宋体" w:eastAsia="黑体" w:cs="黑体"/>
          <w:b/>
          <w:color w:val="auto"/>
          <w:sz w:val="32"/>
          <w:szCs w:val="32"/>
          <w:highlight w:val="none"/>
        </w:rPr>
      </w:pPr>
    </w:p>
    <w:p w14:paraId="20FDD777">
      <w:pPr>
        <w:pStyle w:val="9"/>
        <w:spacing w:beforeAutospacing="0" w:afterAutospacing="0" w:line="0" w:lineRule="atLeast"/>
        <w:jc w:val="center"/>
        <w:rPr>
          <w:rFonts w:hint="eastAsia" w:ascii="宋体" w:hAnsi="宋体" w:eastAsia="宋体" w:cs="宋体"/>
          <w:b/>
          <w:bCs/>
          <w:color w:val="auto"/>
          <w:kern w:val="2"/>
          <w:szCs w:val="21"/>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、中小企业声明函（服务）</w:t>
      </w:r>
    </w:p>
    <w:p w14:paraId="453FB2D7">
      <w:pPr>
        <w:pStyle w:val="9"/>
        <w:spacing w:beforeAutospacing="0" w:afterAutospacing="0" w:line="560" w:lineRule="exact"/>
        <w:ind w:firstLine="480" w:firstLineChars="200"/>
        <w:jc w:val="both"/>
        <w:rPr>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7BCCE4E">
      <w:pPr>
        <w:pStyle w:val="9"/>
        <w:spacing w:beforeAutospacing="0" w:afterAutospacing="0" w:line="560" w:lineRule="exact"/>
        <w:ind w:firstLine="480" w:firstLineChars="200"/>
        <w:jc w:val="both"/>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保险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i/>
          <w:iCs/>
          <w:color w:val="auto"/>
          <w:highlight w:val="none"/>
          <w:u w:val="single"/>
        </w:rPr>
        <w:t>中型企业、</w:t>
      </w:r>
      <w:r>
        <w:rPr>
          <w:rFonts w:hint="eastAsia" w:ascii="宋体" w:hAnsi="宋体" w:eastAsia="宋体" w:cs="宋体"/>
          <w:color w:val="auto"/>
          <w:highlight w:val="none"/>
          <w:u w:val="single"/>
        </w:rPr>
        <w:t>小型企业、微型企业）；</w:t>
      </w:r>
    </w:p>
    <w:p w14:paraId="614344E6">
      <w:pPr>
        <w:pStyle w:val="9"/>
        <w:spacing w:beforeAutospacing="0" w:afterAutospacing="0" w:line="560" w:lineRule="exact"/>
        <w:ind w:firstLine="480" w:firstLineChars="200"/>
        <w:jc w:val="both"/>
        <w:rPr>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i/>
          <w:iCs/>
          <w:color w:val="auto"/>
          <w:highlight w:val="none"/>
          <w:u w:val="single"/>
        </w:rPr>
        <w:t>中型企业、</w:t>
      </w:r>
      <w:r>
        <w:rPr>
          <w:rFonts w:hint="eastAsia" w:ascii="宋体" w:hAnsi="宋体" w:eastAsia="宋体" w:cs="宋体"/>
          <w:color w:val="auto"/>
          <w:highlight w:val="none"/>
          <w:u w:val="single"/>
        </w:rPr>
        <w:t>小型企业、微型企业）；</w:t>
      </w:r>
    </w:p>
    <w:p w14:paraId="6CB71F17">
      <w:pPr>
        <w:pStyle w:val="9"/>
        <w:spacing w:beforeAutospacing="0" w:afterAutospacing="0" w:line="560" w:lineRule="exact"/>
        <w:ind w:firstLine="480" w:firstLineChars="200"/>
        <w:jc w:val="both"/>
        <w:rPr>
          <w:color w:val="auto"/>
          <w:highlight w:val="none"/>
        </w:rPr>
      </w:pPr>
      <w:r>
        <w:rPr>
          <w:rFonts w:hint="eastAsia" w:ascii="宋体" w:hAnsi="宋体" w:eastAsia="宋体" w:cs="宋体"/>
          <w:color w:val="auto"/>
          <w:highlight w:val="none"/>
        </w:rPr>
        <w:t>……</w:t>
      </w:r>
    </w:p>
    <w:p w14:paraId="4830B901">
      <w:pPr>
        <w:pStyle w:val="9"/>
        <w:spacing w:beforeAutospacing="0" w:afterAutospacing="0" w:line="560" w:lineRule="exact"/>
        <w:ind w:firstLine="480" w:firstLineChars="200"/>
        <w:jc w:val="both"/>
        <w:rPr>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10363AC0">
      <w:pPr>
        <w:pStyle w:val="9"/>
        <w:spacing w:beforeAutospacing="0" w:afterAutospacing="0" w:line="560" w:lineRule="exact"/>
        <w:ind w:firstLine="480" w:firstLineChars="200"/>
        <w:jc w:val="both"/>
        <w:rPr>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0B7893FF">
      <w:pPr>
        <w:pStyle w:val="9"/>
        <w:spacing w:beforeAutospacing="0" w:afterAutospacing="0" w:line="560" w:lineRule="exact"/>
        <w:ind w:firstLine="480" w:firstLineChars="200"/>
        <w:jc w:val="both"/>
        <w:rPr>
          <w:color w:val="auto"/>
          <w:highlight w:val="none"/>
        </w:rPr>
      </w:pPr>
      <w:r>
        <w:rPr>
          <w:color w:val="auto"/>
          <w:highlight w:val="none"/>
        </w:rPr>
        <w:t> </w:t>
      </w:r>
    </w:p>
    <w:p w14:paraId="2BD2529D">
      <w:pPr>
        <w:pStyle w:val="9"/>
        <w:spacing w:beforeAutospacing="0" w:afterAutospacing="0" w:line="560" w:lineRule="exact"/>
        <w:ind w:firstLine="480" w:firstLineChars="200"/>
        <w:jc w:val="center"/>
        <w:rPr>
          <w:color w:val="auto"/>
          <w:highlight w:val="none"/>
        </w:rPr>
      </w:pPr>
      <w:r>
        <w:rPr>
          <w:rFonts w:hint="eastAsia" w:ascii="宋体" w:hAnsi="宋体" w:eastAsia="宋体" w:cs="宋体"/>
          <w:color w:val="auto"/>
          <w:highlight w:val="none"/>
        </w:rPr>
        <w:t xml:space="preserve">                企业名称（加盖CA电子公章）：</w:t>
      </w:r>
    </w:p>
    <w:p w14:paraId="3EB8149F">
      <w:pPr>
        <w:pStyle w:val="9"/>
        <w:spacing w:beforeAutospacing="0" w:afterAutospacing="0" w:line="560" w:lineRule="exact"/>
        <w:ind w:firstLine="3600" w:firstLineChars="1500"/>
        <w:jc w:val="both"/>
        <w:rPr>
          <w:rFonts w:eastAsia="宋体"/>
          <w:color w:val="auto"/>
          <w:highlight w:val="none"/>
        </w:rPr>
      </w:pPr>
      <w:r>
        <w:rPr>
          <w:rFonts w:hint="eastAsia" w:ascii="宋体" w:hAnsi="宋体" w:eastAsia="宋体" w:cs="宋体"/>
          <w:color w:val="auto"/>
          <w:highlight w:val="none"/>
        </w:rPr>
        <w:t>日  期：    年    月    日</w:t>
      </w:r>
    </w:p>
    <w:p w14:paraId="36FBEB75">
      <w:pPr>
        <w:pStyle w:val="9"/>
        <w:spacing w:beforeAutospacing="0" w:afterAutospacing="0" w:line="560" w:lineRule="exact"/>
        <w:ind w:firstLine="480" w:firstLineChars="200"/>
        <w:jc w:val="both"/>
        <w:rPr>
          <w:color w:val="auto"/>
          <w:highlight w:val="none"/>
        </w:rPr>
      </w:pPr>
      <w:r>
        <w:rPr>
          <w:color w:val="auto"/>
          <w:highlight w:val="none"/>
        </w:rPr>
        <w:t> </w:t>
      </w:r>
      <w:r>
        <w:rPr>
          <w:rFonts w:hint="eastAsia" w:ascii="宋体" w:hAnsi="宋体" w:eastAsia="宋体" w:cs="宋体"/>
          <w:color w:val="auto"/>
          <w:highlight w:val="none"/>
        </w:rPr>
        <w:t>备注1：从业人员、营业收入、资产总额填报上一年度数据，无上一年度数据的新成立企业可不填报。</w:t>
      </w:r>
    </w:p>
    <w:p w14:paraId="7984BD38">
      <w:pPr>
        <w:pStyle w:val="9"/>
        <w:spacing w:beforeAutospacing="0" w:afterAutospacing="0" w:line="560" w:lineRule="exact"/>
        <w:ind w:firstLine="480" w:firstLineChars="200"/>
        <w:jc w:val="both"/>
        <w:rPr>
          <w:color w:val="auto"/>
          <w:highlight w:val="none"/>
        </w:rPr>
      </w:pPr>
      <w:r>
        <w:rPr>
          <w:rFonts w:hint="eastAsia" w:ascii="宋体" w:hAnsi="宋体" w:eastAsia="宋体" w:cs="宋体"/>
          <w:color w:val="auto"/>
          <w:highlight w:val="none"/>
        </w:rPr>
        <w:t>备注2：供应商如不提供此声明函，价格将不做相应扣除。</w:t>
      </w:r>
    </w:p>
    <w:p w14:paraId="745C05C0">
      <w:pPr>
        <w:pStyle w:val="9"/>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、残疾人福利性单位声明函</w:t>
      </w:r>
    </w:p>
    <w:p w14:paraId="0955930F">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项目采购活动由本单位提供服务。</w:t>
      </w:r>
    </w:p>
    <w:p w14:paraId="32F7671D">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583B9402">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0A9EDB7">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（备注：1、供应商如不提供此声明函，价格将不做相应扣除。2、中标人为残疾人福利单位的，此声明函将随中标结果同时公告，接受社会监督）</w:t>
      </w:r>
    </w:p>
    <w:p w14:paraId="121148EB">
      <w:pPr>
        <w:pStyle w:val="9"/>
        <w:spacing w:beforeAutospacing="0" w:afterAutospacing="0" w:line="5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C272522">
      <w:pPr>
        <w:pStyle w:val="9"/>
        <w:tabs>
          <w:tab w:val="left" w:pos="4864"/>
        </w:tabs>
        <w:spacing w:beforeAutospacing="0" w:afterAutospacing="0" w:line="560" w:lineRule="exac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企业名称（加盖CA电子公章）：</w:t>
      </w:r>
    </w:p>
    <w:p w14:paraId="44C84C73">
      <w:pPr>
        <w:pStyle w:val="9"/>
        <w:spacing w:beforeAutospacing="0" w:afterAutospacing="0" w:line="0" w:lineRule="atLeast"/>
        <w:jc w:val="both"/>
        <w:rPr>
          <w:color w:val="auto"/>
          <w:highlight w:val="none"/>
        </w:rPr>
      </w:pPr>
      <w:r>
        <w:rPr>
          <w:rFonts w:hint="eastAsia" w:ascii="宋体" w:hAnsi="宋体" w:eastAsia="宋体" w:cs="宋体"/>
          <w:color w:val="auto"/>
          <w:highlight w:val="none"/>
        </w:rPr>
        <w:t>                                日  期：    年    月    日</w:t>
      </w:r>
    </w:p>
    <w:p w14:paraId="5329B7AF">
      <w:pPr>
        <w:pStyle w:val="9"/>
        <w:spacing w:beforeAutospacing="0" w:afterAutospacing="0" w:line="0" w:lineRule="atLeast"/>
        <w:jc w:val="both"/>
        <w:rPr>
          <w:color w:val="auto"/>
          <w:highlight w:val="none"/>
        </w:rPr>
      </w:pPr>
      <w:r>
        <w:rPr>
          <w:color w:val="auto"/>
          <w:highlight w:val="none"/>
        </w:rPr>
        <w:t> </w:t>
      </w:r>
    </w:p>
    <w:p w14:paraId="0278A199">
      <w:pPr>
        <w:pStyle w:val="9"/>
        <w:spacing w:beforeAutospacing="0" w:afterAutospacing="0"/>
        <w:jc w:val="both"/>
        <w:rPr>
          <w:color w:val="auto"/>
          <w:highlight w:val="none"/>
        </w:rPr>
      </w:pPr>
      <w:r>
        <w:rPr>
          <w:color w:val="auto"/>
          <w:highlight w:val="none"/>
        </w:rPr>
        <w:t> </w:t>
      </w:r>
    </w:p>
    <w:p w14:paraId="68DC2912">
      <w:pPr>
        <w:pStyle w:val="9"/>
        <w:spacing w:beforeAutospacing="0" w:afterAutospacing="0" w:line="0" w:lineRule="atLeast"/>
        <w:ind w:firstLine="321"/>
        <w:jc w:val="center"/>
        <w:rPr>
          <w:color w:val="auto"/>
          <w:highlight w:val="none"/>
        </w:rPr>
      </w:pPr>
    </w:p>
    <w:p w14:paraId="6120841C">
      <w:pPr>
        <w:pStyle w:val="9"/>
        <w:spacing w:beforeAutospacing="0" w:afterAutospacing="0" w:line="0" w:lineRule="atLeast"/>
        <w:ind w:firstLine="321"/>
        <w:jc w:val="center"/>
        <w:rPr>
          <w:color w:val="auto"/>
          <w:highlight w:val="none"/>
        </w:rPr>
      </w:pPr>
    </w:p>
    <w:p w14:paraId="37791E95">
      <w:pPr>
        <w:pStyle w:val="9"/>
        <w:spacing w:beforeAutospacing="0" w:afterAutospacing="0" w:line="0" w:lineRule="atLeast"/>
        <w:ind w:firstLine="321"/>
        <w:jc w:val="center"/>
        <w:rPr>
          <w:color w:val="auto"/>
          <w:highlight w:val="none"/>
        </w:rPr>
      </w:pPr>
    </w:p>
    <w:p w14:paraId="3C970FFF">
      <w:pPr>
        <w:pStyle w:val="9"/>
        <w:spacing w:beforeAutospacing="0" w:afterAutospacing="0" w:line="0" w:lineRule="atLeast"/>
        <w:ind w:firstLine="321"/>
        <w:jc w:val="center"/>
        <w:rPr>
          <w:color w:val="auto"/>
          <w:highlight w:val="none"/>
        </w:rPr>
      </w:pPr>
    </w:p>
    <w:p w14:paraId="0A4D89A0">
      <w:pPr>
        <w:pStyle w:val="9"/>
        <w:spacing w:beforeAutospacing="0" w:afterAutospacing="0" w:line="0" w:lineRule="atLeast"/>
        <w:ind w:firstLine="321"/>
        <w:jc w:val="center"/>
        <w:rPr>
          <w:color w:val="auto"/>
          <w:highlight w:val="none"/>
        </w:rPr>
      </w:pPr>
    </w:p>
    <w:p w14:paraId="5BA56663">
      <w:pPr>
        <w:pStyle w:val="9"/>
        <w:spacing w:beforeAutospacing="0" w:afterAutospacing="0" w:line="0" w:lineRule="atLeast"/>
        <w:ind w:firstLine="321"/>
        <w:jc w:val="center"/>
        <w:rPr>
          <w:color w:val="auto"/>
          <w:highlight w:val="none"/>
        </w:rPr>
      </w:pPr>
    </w:p>
    <w:p w14:paraId="7355C4B2">
      <w:pPr>
        <w:pStyle w:val="9"/>
        <w:spacing w:beforeAutospacing="0" w:afterAutospacing="0" w:line="0" w:lineRule="atLeast"/>
        <w:ind w:firstLine="321"/>
        <w:jc w:val="center"/>
        <w:rPr>
          <w:color w:val="auto"/>
          <w:highlight w:val="none"/>
        </w:rPr>
      </w:pPr>
    </w:p>
    <w:p w14:paraId="3C67CD9C">
      <w:pPr>
        <w:pStyle w:val="9"/>
        <w:spacing w:beforeAutospacing="0" w:afterAutospacing="0" w:line="0" w:lineRule="atLeast"/>
        <w:ind w:firstLine="321"/>
        <w:jc w:val="center"/>
        <w:rPr>
          <w:color w:val="auto"/>
          <w:highlight w:val="none"/>
        </w:rPr>
      </w:pPr>
    </w:p>
    <w:p w14:paraId="7547B7B4">
      <w:pPr>
        <w:pStyle w:val="9"/>
        <w:spacing w:beforeAutospacing="0" w:afterAutospacing="0" w:line="0" w:lineRule="atLeast"/>
        <w:ind w:firstLine="321"/>
        <w:jc w:val="center"/>
        <w:rPr>
          <w:color w:val="auto"/>
          <w:highlight w:val="none"/>
        </w:rPr>
      </w:pPr>
    </w:p>
    <w:p w14:paraId="5B5F7305">
      <w:pPr>
        <w:pStyle w:val="9"/>
        <w:spacing w:beforeAutospacing="0" w:afterAutospacing="0" w:line="0" w:lineRule="atLeast"/>
        <w:ind w:firstLine="321"/>
        <w:jc w:val="center"/>
        <w:rPr>
          <w:color w:val="auto"/>
          <w:highlight w:val="none"/>
        </w:rPr>
      </w:pPr>
    </w:p>
    <w:p w14:paraId="77CC5FC1">
      <w:pPr>
        <w:pStyle w:val="9"/>
        <w:spacing w:beforeAutospacing="0" w:afterAutospacing="0" w:line="0" w:lineRule="atLeast"/>
        <w:ind w:firstLine="321"/>
        <w:jc w:val="center"/>
        <w:rPr>
          <w:color w:val="auto"/>
          <w:highlight w:val="none"/>
        </w:rPr>
      </w:pPr>
    </w:p>
    <w:p w14:paraId="76826041">
      <w:pPr>
        <w:pStyle w:val="9"/>
        <w:spacing w:beforeAutospacing="0" w:afterAutospacing="0" w:line="0" w:lineRule="atLeast"/>
        <w:ind w:firstLine="321"/>
        <w:jc w:val="center"/>
        <w:rPr>
          <w:color w:val="auto"/>
          <w:highlight w:val="none"/>
        </w:rPr>
      </w:pPr>
    </w:p>
    <w:p w14:paraId="02B3823F">
      <w:pPr>
        <w:pStyle w:val="9"/>
        <w:spacing w:beforeAutospacing="0" w:afterAutospacing="0" w:line="0" w:lineRule="atLeast"/>
        <w:ind w:firstLine="321"/>
        <w:jc w:val="center"/>
        <w:rPr>
          <w:color w:val="auto"/>
          <w:highlight w:val="none"/>
        </w:rPr>
      </w:pPr>
    </w:p>
    <w:p w14:paraId="3B985C44">
      <w:pPr>
        <w:pStyle w:val="9"/>
        <w:spacing w:beforeAutospacing="0" w:afterAutospacing="0" w:line="0" w:lineRule="atLeast"/>
        <w:ind w:firstLine="321"/>
        <w:jc w:val="center"/>
        <w:rPr>
          <w:color w:val="auto"/>
          <w:highlight w:val="none"/>
        </w:rPr>
      </w:pPr>
    </w:p>
    <w:p w14:paraId="5F186B14">
      <w:pPr>
        <w:pStyle w:val="9"/>
        <w:spacing w:beforeAutospacing="0" w:afterAutospacing="0" w:line="0" w:lineRule="atLeast"/>
        <w:ind w:firstLine="321"/>
        <w:jc w:val="center"/>
        <w:rPr>
          <w:color w:val="auto"/>
          <w:highlight w:val="none"/>
        </w:rPr>
      </w:pPr>
    </w:p>
    <w:p w14:paraId="46D0CEF5">
      <w:pPr>
        <w:pStyle w:val="9"/>
        <w:spacing w:beforeAutospacing="0" w:afterAutospacing="0" w:line="0" w:lineRule="atLeast"/>
        <w:ind w:firstLine="321"/>
        <w:jc w:val="center"/>
        <w:rPr>
          <w:color w:val="auto"/>
          <w:highlight w:val="none"/>
        </w:rPr>
      </w:pPr>
    </w:p>
    <w:p w14:paraId="53A06E09">
      <w:pPr>
        <w:pStyle w:val="9"/>
        <w:spacing w:beforeAutospacing="0" w:afterAutospacing="0" w:line="0" w:lineRule="atLeast"/>
        <w:ind w:firstLine="321"/>
        <w:jc w:val="center"/>
        <w:rPr>
          <w:color w:val="auto"/>
          <w:highlight w:val="none"/>
        </w:rPr>
      </w:pPr>
    </w:p>
    <w:p w14:paraId="4CAA31BA">
      <w:pPr>
        <w:pStyle w:val="9"/>
        <w:spacing w:beforeAutospacing="0" w:afterAutospacing="0" w:line="0" w:lineRule="atLeast"/>
        <w:ind w:firstLine="321"/>
        <w:jc w:val="center"/>
        <w:rPr>
          <w:color w:val="auto"/>
          <w:highlight w:val="none"/>
        </w:rPr>
      </w:pPr>
    </w:p>
    <w:p w14:paraId="384279F9">
      <w:pPr>
        <w:pStyle w:val="9"/>
        <w:spacing w:beforeAutospacing="0" w:afterAutospacing="0" w:line="0" w:lineRule="atLeast"/>
        <w:ind w:firstLine="321"/>
        <w:jc w:val="center"/>
        <w:rPr>
          <w:color w:val="auto"/>
          <w:highlight w:val="none"/>
        </w:rPr>
      </w:pPr>
    </w:p>
    <w:p w14:paraId="694E1148">
      <w:pPr>
        <w:pStyle w:val="9"/>
        <w:spacing w:beforeAutospacing="0" w:afterAutospacing="0" w:line="0" w:lineRule="atLeast"/>
        <w:ind w:firstLine="321"/>
        <w:jc w:val="center"/>
        <w:rPr>
          <w:color w:val="auto"/>
          <w:highlight w:val="none"/>
        </w:rPr>
      </w:pPr>
    </w:p>
    <w:p w14:paraId="72F9F076">
      <w:pPr>
        <w:pStyle w:val="9"/>
        <w:spacing w:beforeAutospacing="0" w:afterAutospacing="0" w:line="0" w:lineRule="atLeast"/>
        <w:ind w:firstLine="321"/>
        <w:jc w:val="center"/>
        <w:rPr>
          <w:color w:val="auto"/>
          <w:highlight w:val="none"/>
        </w:rPr>
      </w:pPr>
    </w:p>
    <w:p w14:paraId="798AE1FD">
      <w:pPr>
        <w:pStyle w:val="9"/>
        <w:spacing w:beforeAutospacing="0" w:afterAutospacing="0" w:line="0" w:lineRule="atLeast"/>
        <w:ind w:firstLine="321"/>
        <w:jc w:val="center"/>
        <w:rPr>
          <w:color w:val="auto"/>
          <w:highlight w:val="none"/>
        </w:rPr>
      </w:pPr>
    </w:p>
    <w:p w14:paraId="600CA251">
      <w:pPr>
        <w:pStyle w:val="9"/>
        <w:spacing w:beforeAutospacing="0" w:afterAutospacing="0"/>
        <w:jc w:val="center"/>
        <w:rPr>
          <w:color w:val="auto"/>
          <w:highlight w:val="none"/>
        </w:rPr>
      </w:pPr>
      <w:r>
        <w:rPr>
          <w:color w:val="auto"/>
          <w:highlight w:val="none"/>
        </w:rPr>
        <w:t> </w:t>
      </w:r>
    </w:p>
    <w:p w14:paraId="5FBBDD8F">
      <w:pPr>
        <w:pStyle w:val="9"/>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795"/>
        <w:gridCol w:w="2769"/>
        <w:gridCol w:w="2608"/>
        <w:gridCol w:w="1247"/>
        <w:gridCol w:w="1101"/>
      </w:tblGrid>
      <w:tr w14:paraId="52F14F44">
        <w:tblPrEx>
          <w:tblCellMar>
            <w:top w:w="0" w:type="dxa"/>
            <w:left w:w="108" w:type="dxa"/>
            <w:bottom w:w="0" w:type="dxa"/>
            <w:right w:w="108" w:type="dxa"/>
          </w:tblCellMar>
        </w:tblPrEx>
        <w:trPr>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452F9283">
            <w:pPr>
              <w:pStyle w:val="9"/>
              <w:spacing w:beforeAutospacing="0" w:afterAutospacing="0"/>
              <w:jc w:val="center"/>
              <w:rPr>
                <w:color w:val="auto"/>
                <w:highlight w:val="none"/>
              </w:rPr>
            </w:pPr>
            <w:r>
              <w:rPr>
                <w:rFonts w:hint="eastAsia" w:ascii="宋体" w:hAnsi="宋体" w:eastAsia="宋体" w:cs="宋体"/>
                <w:color w:val="auto"/>
                <w:highlight w:val="none"/>
              </w:rPr>
              <w:t>序号</w:t>
            </w:r>
          </w:p>
        </w:tc>
        <w:tc>
          <w:tcPr>
            <w:tcW w:w="2769" w:type="dxa"/>
            <w:tcBorders>
              <w:top w:val="single" w:color="000000" w:sz="4" w:space="0"/>
              <w:left w:val="single" w:color="000000" w:sz="4" w:space="0"/>
              <w:bottom w:val="single" w:color="000000" w:sz="4" w:space="0"/>
              <w:right w:val="single" w:color="000000" w:sz="4" w:space="0"/>
            </w:tcBorders>
            <w:vAlign w:val="center"/>
          </w:tcPr>
          <w:p w14:paraId="4D148414">
            <w:pPr>
              <w:pStyle w:val="9"/>
              <w:spacing w:beforeAutospacing="0" w:afterAutospacing="0"/>
              <w:jc w:val="center"/>
              <w:rPr>
                <w:color w:val="auto"/>
                <w:highlight w:val="none"/>
              </w:rPr>
            </w:pPr>
            <w:r>
              <w:rPr>
                <w:rFonts w:hint="eastAsia" w:ascii="宋体" w:hAnsi="宋体" w:eastAsia="宋体" w:cs="宋体"/>
                <w:color w:val="auto"/>
                <w:highlight w:val="none"/>
              </w:rPr>
              <w:t>采购文件要求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271BE0F6">
            <w:pPr>
              <w:pStyle w:val="9"/>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73921435">
            <w:pPr>
              <w:pStyle w:val="9"/>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461E2319">
            <w:pPr>
              <w:pStyle w:val="9"/>
              <w:spacing w:beforeAutospacing="0" w:afterAutospacing="0"/>
              <w:jc w:val="center"/>
              <w:rPr>
                <w:color w:val="auto"/>
                <w:highlight w:val="none"/>
              </w:rPr>
            </w:pPr>
            <w:r>
              <w:rPr>
                <w:rFonts w:hint="eastAsia" w:ascii="宋体" w:hAnsi="宋体" w:eastAsia="宋体" w:cs="宋体"/>
                <w:color w:val="auto"/>
                <w:highlight w:val="none"/>
              </w:rPr>
              <w:t>证明</w:t>
            </w:r>
          </w:p>
          <w:p w14:paraId="0D355B04">
            <w:pPr>
              <w:pStyle w:val="9"/>
              <w:spacing w:beforeAutospacing="0" w:afterAutospacing="0"/>
              <w:jc w:val="center"/>
              <w:rPr>
                <w:color w:val="auto"/>
                <w:highlight w:val="none"/>
              </w:rPr>
            </w:pPr>
            <w:r>
              <w:rPr>
                <w:rFonts w:hint="eastAsia" w:ascii="宋体" w:hAnsi="宋体" w:eastAsia="宋体" w:cs="宋体"/>
                <w:color w:val="auto"/>
                <w:highlight w:val="none"/>
              </w:rPr>
              <w:t>材料</w:t>
            </w:r>
          </w:p>
        </w:tc>
      </w:tr>
      <w:tr w14:paraId="0A098863">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0E7AC0FE">
            <w:pPr>
              <w:pStyle w:val="9"/>
              <w:spacing w:beforeAutospacing="0" w:afterAutospacing="0"/>
              <w:jc w:val="center"/>
              <w:rPr>
                <w:color w:val="auto"/>
                <w:highlight w:val="none"/>
              </w:rPr>
            </w:pPr>
            <w:r>
              <w:rPr>
                <w:color w:val="auto"/>
                <w:highlight w:val="none"/>
              </w:rP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164A8939">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47F04FB">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7EEF0A4">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492AD28">
            <w:pPr>
              <w:pStyle w:val="9"/>
              <w:spacing w:beforeAutospacing="0" w:afterAutospacing="0"/>
              <w:jc w:val="center"/>
              <w:rPr>
                <w:color w:val="auto"/>
                <w:highlight w:val="none"/>
              </w:rPr>
            </w:pPr>
            <w:r>
              <w:rPr>
                <w:color w:val="auto"/>
                <w:highlight w:val="none"/>
              </w:rPr>
              <w:t> </w:t>
            </w:r>
          </w:p>
        </w:tc>
      </w:tr>
      <w:tr w14:paraId="522D5FED">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2AC201ED">
            <w:pPr>
              <w:pStyle w:val="9"/>
              <w:spacing w:beforeAutospacing="0" w:afterAutospacing="0"/>
              <w:jc w:val="center"/>
              <w:rPr>
                <w:color w:val="auto"/>
                <w:highlight w:val="none"/>
              </w:rPr>
            </w:pPr>
            <w:r>
              <w:rPr>
                <w:color w:val="auto"/>
                <w:highlight w:val="none"/>
              </w:rP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6FD0B145">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42D8B8B">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24F277D">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1AAD800">
            <w:pPr>
              <w:pStyle w:val="9"/>
              <w:spacing w:beforeAutospacing="0" w:afterAutospacing="0"/>
              <w:jc w:val="center"/>
              <w:rPr>
                <w:color w:val="auto"/>
                <w:highlight w:val="none"/>
              </w:rPr>
            </w:pPr>
            <w:r>
              <w:rPr>
                <w:color w:val="auto"/>
                <w:highlight w:val="none"/>
              </w:rPr>
              <w:t> </w:t>
            </w:r>
          </w:p>
        </w:tc>
      </w:tr>
      <w:tr w14:paraId="40AED348">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31C5DE77">
            <w:pPr>
              <w:pStyle w:val="9"/>
              <w:spacing w:beforeAutospacing="0" w:afterAutospacing="0"/>
              <w:jc w:val="center"/>
              <w:rPr>
                <w:color w:val="auto"/>
                <w:highlight w:val="none"/>
              </w:rPr>
            </w:pPr>
            <w:r>
              <w:rPr>
                <w:color w:val="auto"/>
                <w:highlight w:val="none"/>
              </w:rP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0EF44D21">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D3FB2EB">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FBFC999">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BA5BF76">
            <w:pPr>
              <w:pStyle w:val="9"/>
              <w:spacing w:beforeAutospacing="0" w:afterAutospacing="0"/>
              <w:jc w:val="center"/>
              <w:rPr>
                <w:color w:val="auto"/>
                <w:highlight w:val="none"/>
              </w:rPr>
            </w:pPr>
            <w:r>
              <w:rPr>
                <w:color w:val="auto"/>
                <w:highlight w:val="none"/>
              </w:rPr>
              <w:t> </w:t>
            </w:r>
          </w:p>
        </w:tc>
      </w:tr>
      <w:tr w14:paraId="11076A92">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0DEC3A97">
            <w:pPr>
              <w:pStyle w:val="9"/>
              <w:spacing w:beforeAutospacing="0" w:afterAutospacing="0"/>
              <w:jc w:val="center"/>
              <w:rPr>
                <w:color w:val="auto"/>
                <w:highlight w:val="none"/>
              </w:rPr>
            </w:pPr>
            <w:r>
              <w:rPr>
                <w:color w:val="auto"/>
                <w:highlight w:val="none"/>
              </w:rP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3A9066A2">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0BE1C08">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8464E2D">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C31E413">
            <w:pPr>
              <w:pStyle w:val="9"/>
              <w:spacing w:beforeAutospacing="0" w:afterAutospacing="0"/>
              <w:jc w:val="center"/>
              <w:rPr>
                <w:color w:val="auto"/>
                <w:highlight w:val="none"/>
              </w:rPr>
            </w:pPr>
            <w:r>
              <w:rPr>
                <w:color w:val="auto"/>
                <w:highlight w:val="none"/>
              </w:rPr>
              <w:t> </w:t>
            </w:r>
          </w:p>
        </w:tc>
      </w:tr>
      <w:tr w14:paraId="154556BA">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64902952">
            <w:pPr>
              <w:pStyle w:val="9"/>
              <w:spacing w:beforeAutospacing="0" w:afterAutospacing="0"/>
              <w:jc w:val="center"/>
              <w:rPr>
                <w:color w:val="auto"/>
                <w:highlight w:val="none"/>
              </w:rPr>
            </w:pPr>
            <w:r>
              <w:rPr>
                <w:color w:val="auto"/>
                <w:highlight w:val="none"/>
              </w:rP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098E172B">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B1B8113">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9336F12">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538F615">
            <w:pPr>
              <w:pStyle w:val="9"/>
              <w:spacing w:beforeAutospacing="0" w:afterAutospacing="0"/>
              <w:jc w:val="center"/>
              <w:rPr>
                <w:color w:val="auto"/>
                <w:highlight w:val="none"/>
              </w:rPr>
            </w:pPr>
            <w:r>
              <w:rPr>
                <w:color w:val="auto"/>
                <w:highlight w:val="none"/>
              </w:rPr>
              <w:t> </w:t>
            </w:r>
          </w:p>
        </w:tc>
      </w:tr>
      <w:tr w14:paraId="0599FAF0">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201CE1E8">
            <w:pPr>
              <w:pStyle w:val="9"/>
              <w:spacing w:beforeAutospacing="0" w:afterAutospacing="0"/>
              <w:jc w:val="center"/>
              <w:rPr>
                <w:color w:val="auto"/>
                <w:highlight w:val="none"/>
              </w:rPr>
            </w:pPr>
            <w:r>
              <w:rPr>
                <w:color w:val="auto"/>
                <w:highlight w:val="none"/>
              </w:rP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0F134DF0">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2A19CB1">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D052E75">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AD41799">
            <w:pPr>
              <w:pStyle w:val="9"/>
              <w:spacing w:beforeAutospacing="0" w:afterAutospacing="0"/>
              <w:jc w:val="center"/>
              <w:rPr>
                <w:color w:val="auto"/>
                <w:highlight w:val="none"/>
              </w:rPr>
            </w:pPr>
            <w:r>
              <w:rPr>
                <w:color w:val="auto"/>
                <w:highlight w:val="none"/>
              </w:rPr>
              <w:t> </w:t>
            </w:r>
          </w:p>
        </w:tc>
      </w:tr>
      <w:tr w14:paraId="0CD54ACE">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7F3C7F0F">
            <w:pPr>
              <w:pStyle w:val="9"/>
              <w:spacing w:beforeAutospacing="0" w:afterAutospacing="0"/>
              <w:jc w:val="center"/>
              <w:rPr>
                <w:color w:val="auto"/>
                <w:highlight w:val="none"/>
              </w:rPr>
            </w:pPr>
            <w:r>
              <w:rPr>
                <w:color w:val="auto"/>
                <w:highlight w:val="none"/>
              </w:rP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4EE3534A">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1FF2D01">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56E4127">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1C63B14">
            <w:pPr>
              <w:pStyle w:val="9"/>
              <w:spacing w:beforeAutospacing="0" w:afterAutospacing="0"/>
              <w:jc w:val="center"/>
              <w:rPr>
                <w:color w:val="auto"/>
                <w:highlight w:val="none"/>
              </w:rPr>
            </w:pPr>
            <w:r>
              <w:rPr>
                <w:color w:val="auto"/>
                <w:highlight w:val="none"/>
              </w:rPr>
              <w:t> </w:t>
            </w:r>
          </w:p>
        </w:tc>
      </w:tr>
      <w:tr w14:paraId="037B58B9">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6DA380D2">
            <w:pPr>
              <w:pStyle w:val="9"/>
              <w:spacing w:beforeAutospacing="0" w:afterAutospacing="0"/>
              <w:jc w:val="center"/>
              <w:rPr>
                <w:color w:val="auto"/>
                <w:highlight w:val="none"/>
              </w:rPr>
            </w:pPr>
            <w:r>
              <w:rPr>
                <w:color w:val="auto"/>
                <w:highlight w:val="none"/>
              </w:rP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3491FD23">
            <w:pPr>
              <w:pStyle w:val="9"/>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5FA90380">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1F832E5">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9C55C86">
            <w:pPr>
              <w:pStyle w:val="9"/>
              <w:spacing w:beforeAutospacing="0" w:afterAutospacing="0"/>
              <w:jc w:val="center"/>
              <w:rPr>
                <w:color w:val="auto"/>
                <w:highlight w:val="none"/>
              </w:rPr>
            </w:pPr>
            <w:r>
              <w:rPr>
                <w:color w:val="auto"/>
                <w:highlight w:val="none"/>
              </w:rPr>
              <w:t> </w:t>
            </w:r>
          </w:p>
        </w:tc>
      </w:tr>
    </w:tbl>
    <w:p w14:paraId="2E077518">
      <w:pPr>
        <w:pStyle w:val="9"/>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6F23E2EC">
      <w:pPr>
        <w:pStyle w:val="9"/>
        <w:spacing w:beforeAutospacing="0" w:afterAutospacing="0"/>
        <w:jc w:val="center"/>
        <w:rPr>
          <w:color w:val="auto"/>
          <w:highlight w:val="none"/>
        </w:rPr>
      </w:pPr>
      <w:r>
        <w:rPr>
          <w:color w:val="auto"/>
          <w:highlight w:val="none"/>
        </w:rPr>
        <w:t> </w:t>
      </w:r>
    </w:p>
    <w:p w14:paraId="4EC56355">
      <w:pPr>
        <w:pStyle w:val="9"/>
        <w:spacing w:beforeAutospacing="0" w:afterAutospacing="0"/>
        <w:jc w:val="center"/>
        <w:rPr>
          <w:color w:val="auto"/>
          <w:highlight w:val="none"/>
        </w:rPr>
      </w:pPr>
      <w:r>
        <w:rPr>
          <w:color w:val="auto"/>
          <w:highlight w:val="none"/>
        </w:rPr>
        <w:t> </w:t>
      </w:r>
    </w:p>
    <w:p w14:paraId="0580876E">
      <w:pPr>
        <w:pStyle w:val="9"/>
        <w:spacing w:beforeAutospacing="0" w:afterAutospacing="0"/>
        <w:jc w:val="center"/>
        <w:rPr>
          <w:color w:val="auto"/>
          <w:highlight w:val="none"/>
        </w:rPr>
      </w:pPr>
      <w:r>
        <w:rPr>
          <w:color w:val="auto"/>
          <w:highlight w:val="none"/>
        </w:rPr>
        <w:t> </w:t>
      </w:r>
    </w:p>
    <w:p w14:paraId="2ED82861">
      <w:pPr>
        <w:pStyle w:val="9"/>
        <w:spacing w:beforeAutospacing="0" w:afterAutospacing="0"/>
        <w:jc w:val="center"/>
        <w:rPr>
          <w:color w:val="auto"/>
          <w:highlight w:val="none"/>
        </w:rPr>
      </w:pPr>
      <w:r>
        <w:rPr>
          <w:color w:val="auto"/>
          <w:highlight w:val="none"/>
        </w:rPr>
        <w:t> </w:t>
      </w:r>
    </w:p>
    <w:p w14:paraId="3591EB87">
      <w:pPr>
        <w:pStyle w:val="9"/>
        <w:spacing w:beforeAutospacing="0" w:afterAutospacing="0"/>
        <w:jc w:val="both"/>
        <w:rPr>
          <w:color w:val="auto"/>
          <w:highlight w:val="none"/>
        </w:rPr>
      </w:pPr>
      <w:r>
        <w:rPr>
          <w:color w:val="auto"/>
          <w:highlight w:val="none"/>
        </w:rPr>
        <w:t> </w:t>
      </w:r>
    </w:p>
    <w:p w14:paraId="3A056F2A">
      <w:pPr>
        <w:pStyle w:val="9"/>
        <w:spacing w:beforeAutospacing="0" w:afterAutospacing="0"/>
        <w:jc w:val="both"/>
        <w:rPr>
          <w:color w:val="auto"/>
          <w:highlight w:val="none"/>
        </w:rPr>
      </w:pPr>
      <w:r>
        <w:rPr>
          <w:color w:val="auto"/>
          <w:highlight w:val="none"/>
        </w:rPr>
        <w:t> </w:t>
      </w:r>
    </w:p>
    <w:p w14:paraId="7D865EEB">
      <w:pPr>
        <w:pStyle w:val="9"/>
        <w:spacing w:beforeAutospacing="0" w:afterAutospacing="0"/>
        <w:jc w:val="both"/>
        <w:rPr>
          <w:color w:val="auto"/>
          <w:highlight w:val="none"/>
        </w:rPr>
      </w:pPr>
      <w:r>
        <w:rPr>
          <w:color w:val="auto"/>
          <w:highlight w:val="none"/>
        </w:rPr>
        <w:t> </w:t>
      </w:r>
    </w:p>
    <w:p w14:paraId="26F45436">
      <w:pPr>
        <w:pStyle w:val="9"/>
        <w:spacing w:beforeAutospacing="0" w:afterAutospacing="0"/>
        <w:jc w:val="both"/>
        <w:rPr>
          <w:color w:val="auto"/>
          <w:highlight w:val="none"/>
        </w:rPr>
      </w:pPr>
      <w:r>
        <w:rPr>
          <w:color w:val="auto"/>
          <w:highlight w:val="none"/>
        </w:rPr>
        <w:t> </w:t>
      </w:r>
    </w:p>
    <w:p w14:paraId="064F5265">
      <w:pPr>
        <w:pStyle w:val="9"/>
        <w:spacing w:beforeAutospacing="0" w:afterAutospacing="0"/>
        <w:jc w:val="both"/>
        <w:rPr>
          <w:color w:val="auto"/>
          <w:highlight w:val="none"/>
        </w:rPr>
      </w:pPr>
      <w:r>
        <w:rPr>
          <w:color w:val="auto"/>
          <w:highlight w:val="none"/>
        </w:rPr>
        <w:t> </w:t>
      </w:r>
    </w:p>
    <w:p w14:paraId="2C1897B4">
      <w:pPr>
        <w:pStyle w:val="9"/>
        <w:spacing w:beforeAutospacing="0" w:afterAutospacing="0"/>
        <w:jc w:val="both"/>
        <w:rPr>
          <w:color w:val="auto"/>
          <w:highlight w:val="none"/>
        </w:rPr>
      </w:pPr>
    </w:p>
    <w:p w14:paraId="468091E8">
      <w:pPr>
        <w:pStyle w:val="9"/>
        <w:spacing w:beforeAutospacing="0" w:afterAutospacing="0"/>
        <w:jc w:val="both"/>
        <w:rPr>
          <w:color w:val="auto"/>
          <w:highlight w:val="none"/>
        </w:rPr>
      </w:pPr>
    </w:p>
    <w:p w14:paraId="4D6A4FFD">
      <w:pPr>
        <w:pStyle w:val="9"/>
        <w:spacing w:beforeAutospacing="0" w:afterAutospacing="0"/>
        <w:jc w:val="both"/>
        <w:rPr>
          <w:color w:val="auto"/>
          <w:highlight w:val="none"/>
        </w:rPr>
      </w:pPr>
    </w:p>
    <w:p w14:paraId="028B8D88">
      <w:pPr>
        <w:pStyle w:val="9"/>
        <w:spacing w:beforeAutospacing="0" w:afterAutospacing="0"/>
        <w:jc w:val="both"/>
        <w:rPr>
          <w:color w:val="auto"/>
          <w:highlight w:val="none"/>
        </w:rPr>
      </w:pPr>
    </w:p>
    <w:p w14:paraId="3EC14E1B">
      <w:pPr>
        <w:pStyle w:val="9"/>
        <w:spacing w:beforeAutospacing="0" w:afterAutospacing="0"/>
        <w:jc w:val="both"/>
        <w:rPr>
          <w:color w:val="auto"/>
          <w:highlight w:val="none"/>
        </w:rPr>
      </w:pPr>
    </w:p>
    <w:p w14:paraId="18DE4864">
      <w:pPr>
        <w:pStyle w:val="9"/>
        <w:spacing w:beforeAutospacing="0" w:afterAutospacing="0"/>
        <w:jc w:val="both"/>
        <w:rPr>
          <w:color w:val="auto"/>
          <w:highlight w:val="none"/>
        </w:rPr>
      </w:pPr>
    </w:p>
    <w:p w14:paraId="228BE1FF">
      <w:pPr>
        <w:pStyle w:val="9"/>
        <w:spacing w:beforeAutospacing="0" w:afterAutospacing="0"/>
        <w:jc w:val="both"/>
        <w:rPr>
          <w:color w:val="auto"/>
          <w:highlight w:val="none"/>
        </w:rPr>
      </w:pPr>
    </w:p>
    <w:p w14:paraId="6B69B9EB">
      <w:pPr>
        <w:pStyle w:val="9"/>
        <w:spacing w:beforeAutospacing="0" w:afterAutospacing="0"/>
        <w:jc w:val="both"/>
        <w:rPr>
          <w:color w:val="auto"/>
          <w:highlight w:val="none"/>
        </w:rPr>
      </w:pPr>
    </w:p>
    <w:p w14:paraId="520E54BF">
      <w:pPr>
        <w:pStyle w:val="9"/>
        <w:spacing w:beforeAutospacing="0" w:afterAutospacing="0"/>
        <w:jc w:val="both"/>
        <w:rPr>
          <w:color w:val="auto"/>
          <w:highlight w:val="none"/>
        </w:rPr>
      </w:pPr>
    </w:p>
    <w:p w14:paraId="0AD5FE47">
      <w:pPr>
        <w:pStyle w:val="9"/>
        <w:spacing w:beforeAutospacing="0" w:afterAutospacing="0"/>
        <w:jc w:val="both"/>
        <w:rPr>
          <w:color w:val="auto"/>
          <w:highlight w:val="none"/>
        </w:rPr>
      </w:pPr>
    </w:p>
    <w:p w14:paraId="4E88A9EE">
      <w:pPr>
        <w:pStyle w:val="9"/>
        <w:spacing w:beforeAutospacing="0" w:afterAutospacing="0"/>
        <w:jc w:val="both"/>
        <w:rPr>
          <w:color w:val="auto"/>
          <w:highlight w:val="none"/>
        </w:rPr>
      </w:pPr>
      <w:r>
        <w:rPr>
          <w:color w:val="auto"/>
          <w:highlight w:val="none"/>
        </w:rPr>
        <w:t> </w:t>
      </w:r>
    </w:p>
    <w:p w14:paraId="6BEBFBE1">
      <w:pPr>
        <w:pStyle w:val="9"/>
        <w:spacing w:beforeAutospacing="0" w:afterAutospacing="0"/>
        <w:jc w:val="both"/>
        <w:rPr>
          <w:color w:val="auto"/>
          <w:highlight w:val="none"/>
        </w:rPr>
      </w:pPr>
      <w:r>
        <w:rPr>
          <w:color w:val="auto"/>
          <w:highlight w:val="none"/>
        </w:rPr>
        <w:t> </w:t>
      </w:r>
    </w:p>
    <w:p w14:paraId="572AE092">
      <w:pPr>
        <w:pStyle w:val="9"/>
        <w:spacing w:beforeAutospacing="0" w:afterAutospacing="0"/>
        <w:jc w:val="both"/>
        <w:rPr>
          <w:color w:val="auto"/>
          <w:highlight w:val="none"/>
        </w:rPr>
      </w:pPr>
      <w:r>
        <w:rPr>
          <w:color w:val="auto"/>
          <w:highlight w:val="none"/>
        </w:rPr>
        <w:t> </w:t>
      </w:r>
    </w:p>
    <w:p w14:paraId="22F6285E">
      <w:pPr>
        <w:pStyle w:val="9"/>
        <w:spacing w:beforeAutospacing="0" w:afterAutospacing="0"/>
        <w:jc w:val="center"/>
        <w:rPr>
          <w:color w:val="auto"/>
          <w:highlight w:val="none"/>
        </w:rPr>
      </w:pPr>
      <w:bookmarkStart w:id="179"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763"/>
        <w:gridCol w:w="2801"/>
        <w:gridCol w:w="2608"/>
        <w:gridCol w:w="1247"/>
        <w:gridCol w:w="1101"/>
      </w:tblGrid>
      <w:tr w14:paraId="6AF16705">
        <w:tblPrEx>
          <w:tblCellMar>
            <w:top w:w="0" w:type="dxa"/>
            <w:left w:w="108" w:type="dxa"/>
            <w:bottom w:w="0" w:type="dxa"/>
            <w:right w:w="108" w:type="dxa"/>
          </w:tblCellMar>
        </w:tblPrEx>
        <w:trPr>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58776421">
            <w:pPr>
              <w:pStyle w:val="9"/>
              <w:spacing w:beforeAutospacing="0" w:afterAutospacing="0"/>
              <w:jc w:val="center"/>
              <w:rPr>
                <w:color w:val="auto"/>
                <w:highlight w:val="none"/>
              </w:rPr>
            </w:pPr>
            <w:bookmarkStart w:id="180" w:name="_Hlt26955064"/>
            <w:bookmarkStart w:id="181" w:name="_Hlt26580838"/>
            <w:bookmarkStart w:id="182" w:name="_Hlt24879081"/>
            <w:bookmarkStart w:id="183" w:name="_Hlt26609391"/>
            <w:bookmarkStart w:id="184" w:name="_Hlt26671343"/>
            <w:bookmarkStart w:id="185" w:name="_Hlt26782999"/>
            <w:bookmarkStart w:id="186" w:name="_Hlt26671372"/>
            <w:bookmarkStart w:id="187" w:name="_Hlt26955056"/>
            <w:r>
              <w:rPr>
                <w:rFonts w:hint="eastAsia" w:ascii="宋体" w:hAnsi="宋体" w:eastAsia="宋体" w:cs="宋体"/>
                <w:color w:val="auto"/>
                <w:highlight w:val="none"/>
              </w:rPr>
              <w:t>序号</w:t>
            </w:r>
          </w:p>
          <w:bookmarkEnd w:id="180"/>
          <w:bookmarkEnd w:id="181"/>
          <w:bookmarkEnd w:id="182"/>
          <w:bookmarkEnd w:id="183"/>
          <w:bookmarkEnd w:id="184"/>
          <w:bookmarkEnd w:id="185"/>
          <w:bookmarkEnd w:id="186"/>
          <w:bookmarkEnd w:id="187"/>
        </w:tc>
        <w:tc>
          <w:tcPr>
            <w:tcW w:w="2801" w:type="dxa"/>
            <w:tcBorders>
              <w:top w:val="single" w:color="000000" w:sz="4" w:space="0"/>
              <w:left w:val="single" w:color="000000" w:sz="4" w:space="0"/>
              <w:bottom w:val="single" w:color="000000" w:sz="4" w:space="0"/>
              <w:right w:val="single" w:color="000000" w:sz="4" w:space="0"/>
            </w:tcBorders>
            <w:vAlign w:val="center"/>
          </w:tcPr>
          <w:p w14:paraId="774938DA">
            <w:pPr>
              <w:pStyle w:val="9"/>
              <w:spacing w:beforeAutospacing="0" w:afterAutospacing="0"/>
              <w:jc w:val="center"/>
              <w:rPr>
                <w:color w:val="auto"/>
                <w:highlight w:val="none"/>
              </w:rPr>
            </w:pPr>
            <w:r>
              <w:rPr>
                <w:rFonts w:hint="eastAsia" w:ascii="宋体" w:hAnsi="宋体" w:eastAsia="宋体" w:cs="宋体"/>
                <w:color w:val="auto"/>
                <w:highlight w:val="none"/>
              </w:rPr>
              <w:t>采购文件要求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4F16EE7E">
            <w:pPr>
              <w:pStyle w:val="9"/>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3DC835CF">
            <w:pPr>
              <w:pStyle w:val="9"/>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44C51E77">
            <w:pPr>
              <w:pStyle w:val="9"/>
              <w:spacing w:beforeAutospacing="0" w:afterAutospacing="0"/>
              <w:jc w:val="center"/>
              <w:rPr>
                <w:color w:val="auto"/>
                <w:highlight w:val="none"/>
              </w:rPr>
            </w:pPr>
            <w:r>
              <w:rPr>
                <w:rFonts w:hint="eastAsia" w:ascii="宋体" w:hAnsi="宋体" w:eastAsia="宋体" w:cs="宋体"/>
                <w:color w:val="auto"/>
                <w:highlight w:val="none"/>
              </w:rPr>
              <w:t>证明</w:t>
            </w:r>
          </w:p>
          <w:p w14:paraId="592E9405">
            <w:pPr>
              <w:pStyle w:val="9"/>
              <w:spacing w:beforeAutospacing="0" w:afterAutospacing="0"/>
              <w:jc w:val="center"/>
              <w:rPr>
                <w:color w:val="auto"/>
                <w:highlight w:val="none"/>
              </w:rPr>
            </w:pPr>
            <w:r>
              <w:rPr>
                <w:rFonts w:hint="eastAsia" w:ascii="宋体" w:hAnsi="宋体" w:eastAsia="宋体" w:cs="宋体"/>
                <w:color w:val="auto"/>
                <w:highlight w:val="none"/>
              </w:rPr>
              <w:t>材料</w:t>
            </w:r>
          </w:p>
        </w:tc>
      </w:tr>
      <w:tr w14:paraId="63B03F7F">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4A0A1789">
            <w:pPr>
              <w:pStyle w:val="9"/>
              <w:spacing w:beforeAutospacing="0" w:afterAutospacing="0"/>
              <w:jc w:val="center"/>
              <w:rPr>
                <w:color w:val="auto"/>
                <w:highlight w:val="none"/>
              </w:rPr>
            </w:pPr>
            <w:r>
              <w:rPr>
                <w:color w:val="auto"/>
                <w:highlight w:val="none"/>
              </w:rP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0035D231">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BCD5919">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FDFEFDE">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D02136E">
            <w:pPr>
              <w:pStyle w:val="9"/>
              <w:spacing w:beforeAutospacing="0" w:afterAutospacing="0"/>
              <w:jc w:val="center"/>
              <w:rPr>
                <w:color w:val="auto"/>
                <w:highlight w:val="none"/>
              </w:rPr>
            </w:pPr>
            <w:r>
              <w:rPr>
                <w:color w:val="auto"/>
                <w:highlight w:val="none"/>
              </w:rPr>
              <w:t> </w:t>
            </w:r>
          </w:p>
        </w:tc>
      </w:tr>
      <w:tr w14:paraId="5E27DE07">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7B80D17C">
            <w:pPr>
              <w:pStyle w:val="9"/>
              <w:spacing w:beforeAutospacing="0" w:afterAutospacing="0"/>
              <w:jc w:val="center"/>
              <w:rPr>
                <w:color w:val="auto"/>
                <w:highlight w:val="none"/>
              </w:rPr>
            </w:pPr>
            <w:r>
              <w:rPr>
                <w:color w:val="auto"/>
                <w:highlight w:val="none"/>
              </w:rP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17F186E6">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7D0DAFB">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26D9638">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1289D51">
            <w:pPr>
              <w:pStyle w:val="9"/>
              <w:spacing w:beforeAutospacing="0" w:afterAutospacing="0"/>
              <w:jc w:val="center"/>
              <w:rPr>
                <w:color w:val="auto"/>
                <w:highlight w:val="none"/>
              </w:rPr>
            </w:pPr>
            <w:r>
              <w:rPr>
                <w:color w:val="auto"/>
                <w:highlight w:val="none"/>
              </w:rPr>
              <w:t> </w:t>
            </w:r>
          </w:p>
        </w:tc>
      </w:tr>
      <w:tr w14:paraId="13E63BFC">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3A7D95D3">
            <w:pPr>
              <w:pStyle w:val="9"/>
              <w:spacing w:beforeAutospacing="0" w:afterAutospacing="0"/>
              <w:jc w:val="center"/>
              <w:rPr>
                <w:color w:val="auto"/>
                <w:highlight w:val="none"/>
              </w:rPr>
            </w:pPr>
            <w:r>
              <w:rPr>
                <w:color w:val="auto"/>
                <w:highlight w:val="none"/>
              </w:rP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7EE98CFA">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0D23E0B">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CA30322">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4BC3913">
            <w:pPr>
              <w:pStyle w:val="9"/>
              <w:spacing w:beforeAutospacing="0" w:afterAutospacing="0"/>
              <w:jc w:val="center"/>
              <w:rPr>
                <w:color w:val="auto"/>
                <w:highlight w:val="none"/>
              </w:rPr>
            </w:pPr>
            <w:r>
              <w:rPr>
                <w:color w:val="auto"/>
                <w:highlight w:val="none"/>
              </w:rPr>
              <w:t> </w:t>
            </w:r>
          </w:p>
        </w:tc>
      </w:tr>
      <w:tr w14:paraId="166E2C09">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0298013A">
            <w:pPr>
              <w:pStyle w:val="9"/>
              <w:spacing w:beforeAutospacing="0" w:afterAutospacing="0"/>
              <w:jc w:val="center"/>
              <w:rPr>
                <w:color w:val="auto"/>
                <w:highlight w:val="none"/>
              </w:rPr>
            </w:pPr>
            <w:r>
              <w:rPr>
                <w:color w:val="auto"/>
                <w:highlight w:val="none"/>
              </w:rP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1C73B6E9">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E3CBBE6">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B013A54">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9275ED7">
            <w:pPr>
              <w:pStyle w:val="9"/>
              <w:spacing w:beforeAutospacing="0" w:afterAutospacing="0"/>
              <w:jc w:val="center"/>
              <w:rPr>
                <w:color w:val="auto"/>
                <w:highlight w:val="none"/>
              </w:rPr>
            </w:pPr>
            <w:r>
              <w:rPr>
                <w:color w:val="auto"/>
                <w:highlight w:val="none"/>
              </w:rPr>
              <w:t> </w:t>
            </w:r>
          </w:p>
        </w:tc>
      </w:tr>
      <w:tr w14:paraId="60E1C651">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1B9C0527">
            <w:pPr>
              <w:pStyle w:val="9"/>
              <w:spacing w:beforeAutospacing="0" w:afterAutospacing="0"/>
              <w:jc w:val="center"/>
              <w:rPr>
                <w:color w:val="auto"/>
                <w:highlight w:val="none"/>
              </w:rPr>
            </w:pPr>
            <w:r>
              <w:rPr>
                <w:color w:val="auto"/>
                <w:highlight w:val="none"/>
              </w:rP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4B7E5F44">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A199316">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22C9599">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373E9EC">
            <w:pPr>
              <w:pStyle w:val="9"/>
              <w:spacing w:beforeAutospacing="0" w:afterAutospacing="0"/>
              <w:jc w:val="center"/>
              <w:rPr>
                <w:color w:val="auto"/>
                <w:highlight w:val="none"/>
              </w:rPr>
            </w:pPr>
            <w:r>
              <w:rPr>
                <w:color w:val="auto"/>
                <w:highlight w:val="none"/>
              </w:rPr>
              <w:t> </w:t>
            </w:r>
          </w:p>
        </w:tc>
      </w:tr>
      <w:tr w14:paraId="166514BB">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50820B7C">
            <w:pPr>
              <w:pStyle w:val="9"/>
              <w:spacing w:beforeAutospacing="0" w:afterAutospacing="0"/>
              <w:jc w:val="center"/>
              <w:rPr>
                <w:color w:val="auto"/>
                <w:highlight w:val="none"/>
              </w:rPr>
            </w:pPr>
            <w:r>
              <w:rPr>
                <w:color w:val="auto"/>
                <w:highlight w:val="none"/>
              </w:rP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27FF69C4">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C895641">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BBEAB1F">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CB77DE2">
            <w:pPr>
              <w:pStyle w:val="9"/>
              <w:spacing w:beforeAutospacing="0" w:afterAutospacing="0"/>
              <w:jc w:val="center"/>
              <w:rPr>
                <w:color w:val="auto"/>
                <w:highlight w:val="none"/>
              </w:rPr>
            </w:pPr>
            <w:r>
              <w:rPr>
                <w:color w:val="auto"/>
                <w:highlight w:val="none"/>
              </w:rPr>
              <w:t> </w:t>
            </w:r>
          </w:p>
        </w:tc>
      </w:tr>
      <w:tr w14:paraId="5175B69A">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3ED9044E">
            <w:pPr>
              <w:pStyle w:val="9"/>
              <w:spacing w:beforeAutospacing="0" w:afterAutospacing="0"/>
              <w:jc w:val="center"/>
              <w:rPr>
                <w:color w:val="auto"/>
                <w:highlight w:val="none"/>
              </w:rPr>
            </w:pPr>
            <w:r>
              <w:rPr>
                <w:color w:val="auto"/>
                <w:highlight w:val="none"/>
              </w:rP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2686EAEC">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0EF1742">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F5C094F">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8DDD65E">
            <w:pPr>
              <w:pStyle w:val="9"/>
              <w:spacing w:beforeAutospacing="0" w:afterAutospacing="0"/>
              <w:jc w:val="center"/>
              <w:rPr>
                <w:color w:val="auto"/>
                <w:highlight w:val="none"/>
              </w:rPr>
            </w:pPr>
            <w:r>
              <w:rPr>
                <w:color w:val="auto"/>
                <w:highlight w:val="none"/>
              </w:rPr>
              <w:t> </w:t>
            </w:r>
          </w:p>
        </w:tc>
      </w:tr>
      <w:tr w14:paraId="76B851C1">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2BEB25B6">
            <w:pPr>
              <w:pStyle w:val="9"/>
              <w:spacing w:beforeAutospacing="0" w:afterAutospacing="0"/>
              <w:jc w:val="center"/>
              <w:rPr>
                <w:color w:val="auto"/>
                <w:highlight w:val="none"/>
              </w:rPr>
            </w:pPr>
            <w:r>
              <w:rPr>
                <w:color w:val="auto"/>
                <w:highlight w:val="none"/>
              </w:rP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771282F1">
            <w:pPr>
              <w:pStyle w:val="9"/>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1C3650DD">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AC8E4C1">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7FCC257">
            <w:pPr>
              <w:pStyle w:val="9"/>
              <w:spacing w:beforeAutospacing="0" w:afterAutospacing="0"/>
              <w:jc w:val="center"/>
              <w:rPr>
                <w:color w:val="auto"/>
                <w:highlight w:val="none"/>
              </w:rPr>
            </w:pPr>
            <w:r>
              <w:rPr>
                <w:color w:val="auto"/>
                <w:highlight w:val="none"/>
              </w:rPr>
              <w:t> </w:t>
            </w:r>
          </w:p>
        </w:tc>
      </w:tr>
    </w:tbl>
    <w:p w14:paraId="18254443">
      <w:pPr>
        <w:pStyle w:val="9"/>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68B88E96">
      <w:pPr>
        <w:pStyle w:val="9"/>
        <w:spacing w:beforeAutospacing="0" w:afterAutospacing="0" w:line="480" w:lineRule="auto"/>
        <w:jc w:val="both"/>
        <w:rPr>
          <w:color w:val="auto"/>
          <w:highlight w:val="none"/>
        </w:rPr>
      </w:pPr>
      <w:r>
        <w:rPr>
          <w:color w:val="auto"/>
          <w:highlight w:val="none"/>
        </w:rPr>
        <w:t> </w:t>
      </w:r>
    </w:p>
    <w:p w14:paraId="0B42FEF1">
      <w:pPr>
        <w:pStyle w:val="9"/>
        <w:spacing w:beforeAutospacing="0" w:afterAutospacing="0" w:line="480" w:lineRule="auto"/>
        <w:jc w:val="both"/>
        <w:rPr>
          <w:color w:val="auto"/>
          <w:highlight w:val="none"/>
        </w:rPr>
      </w:pPr>
      <w:r>
        <w:rPr>
          <w:color w:val="auto"/>
          <w:highlight w:val="none"/>
        </w:rPr>
        <w:t> </w:t>
      </w:r>
    </w:p>
    <w:p w14:paraId="243B0CFD">
      <w:pPr>
        <w:pStyle w:val="9"/>
        <w:spacing w:beforeAutospacing="0" w:afterAutospacing="0" w:line="480" w:lineRule="auto"/>
        <w:jc w:val="both"/>
        <w:rPr>
          <w:color w:val="auto"/>
          <w:highlight w:val="none"/>
        </w:rPr>
      </w:pPr>
    </w:p>
    <w:p w14:paraId="086E0A8C">
      <w:pPr>
        <w:pStyle w:val="9"/>
        <w:spacing w:beforeAutospacing="0" w:afterAutospacing="0" w:line="480" w:lineRule="auto"/>
        <w:jc w:val="both"/>
        <w:rPr>
          <w:color w:val="auto"/>
          <w:highlight w:val="none"/>
        </w:rPr>
      </w:pPr>
    </w:p>
    <w:p w14:paraId="00975F06">
      <w:pPr>
        <w:pStyle w:val="9"/>
        <w:spacing w:beforeAutospacing="0" w:afterAutospacing="0" w:line="480" w:lineRule="auto"/>
        <w:jc w:val="both"/>
        <w:rPr>
          <w:color w:val="auto"/>
          <w:highlight w:val="none"/>
        </w:rPr>
      </w:pPr>
    </w:p>
    <w:p w14:paraId="4A252B91">
      <w:pPr>
        <w:pStyle w:val="9"/>
        <w:spacing w:beforeAutospacing="0" w:afterAutospacing="0" w:line="480" w:lineRule="auto"/>
        <w:jc w:val="both"/>
        <w:rPr>
          <w:color w:val="auto"/>
          <w:highlight w:val="none"/>
        </w:rPr>
      </w:pPr>
    </w:p>
    <w:p w14:paraId="0F0530F9">
      <w:pPr>
        <w:pStyle w:val="9"/>
        <w:spacing w:beforeAutospacing="0" w:afterAutospacing="0" w:line="480" w:lineRule="auto"/>
        <w:jc w:val="both"/>
        <w:rPr>
          <w:color w:val="auto"/>
          <w:highlight w:val="none"/>
        </w:rPr>
      </w:pPr>
    </w:p>
    <w:p w14:paraId="5534707C">
      <w:pPr>
        <w:pStyle w:val="9"/>
        <w:spacing w:beforeAutospacing="0" w:afterAutospacing="0" w:line="480" w:lineRule="auto"/>
        <w:jc w:val="both"/>
        <w:rPr>
          <w:color w:val="auto"/>
          <w:highlight w:val="none"/>
        </w:rPr>
      </w:pPr>
    </w:p>
    <w:p w14:paraId="57CC2F72">
      <w:pPr>
        <w:pStyle w:val="9"/>
        <w:spacing w:beforeAutospacing="0" w:afterAutospacing="0" w:line="480" w:lineRule="auto"/>
        <w:jc w:val="both"/>
        <w:rPr>
          <w:color w:val="auto"/>
          <w:highlight w:val="none"/>
        </w:rPr>
      </w:pPr>
    </w:p>
    <w:p w14:paraId="4F44FF8E">
      <w:pPr>
        <w:pStyle w:val="9"/>
        <w:spacing w:beforeAutospacing="0" w:afterAutospacing="0" w:line="480" w:lineRule="auto"/>
        <w:jc w:val="both"/>
        <w:rPr>
          <w:color w:val="auto"/>
          <w:highlight w:val="none"/>
        </w:rPr>
      </w:pPr>
    </w:p>
    <w:p w14:paraId="250CCDF1">
      <w:pPr>
        <w:pStyle w:val="9"/>
        <w:spacing w:beforeAutospacing="0" w:afterAutospacing="0" w:line="480" w:lineRule="auto"/>
        <w:jc w:val="both"/>
        <w:rPr>
          <w:color w:val="auto"/>
          <w:highlight w:val="none"/>
        </w:rPr>
      </w:pPr>
    </w:p>
    <w:bookmarkEnd w:id="27"/>
    <w:bookmarkEnd w:id="41"/>
    <w:bookmarkEnd w:id="88"/>
    <w:bookmarkEnd w:id="89"/>
    <w:bookmarkEnd w:id="90"/>
    <w:bookmarkEnd w:id="91"/>
    <w:bookmarkEnd w:id="92"/>
    <w:bookmarkEnd w:id="93"/>
    <w:bookmarkEnd w:id="94"/>
    <w:bookmarkEnd w:id="95"/>
    <w:bookmarkEnd w:id="102"/>
    <w:bookmarkEnd w:id="103"/>
    <w:bookmarkEnd w:id="110"/>
    <w:bookmarkEnd w:id="153"/>
    <w:bookmarkEnd w:id="154"/>
    <w:bookmarkEnd w:id="169"/>
    <w:bookmarkEnd w:id="172"/>
    <w:bookmarkEnd w:id="173"/>
    <w:bookmarkEnd w:id="174"/>
    <w:bookmarkEnd w:id="175"/>
    <w:bookmarkEnd w:id="176"/>
    <w:bookmarkEnd w:id="177"/>
    <w:bookmarkEnd w:id="178"/>
    <w:bookmarkEnd w:id="179"/>
    <w:p w14:paraId="77456AD8">
      <w:pPr>
        <w:pStyle w:val="9"/>
        <w:spacing w:beforeAutospacing="0" w:afterAutospacing="0"/>
        <w:jc w:val="center"/>
        <w:rPr>
          <w:rFonts w:hint="eastAsia" w:eastAsia="黑体"/>
          <w:color w:val="auto"/>
          <w:highlight w:val="none"/>
          <w:lang w:eastAsia="zh-CN"/>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r>
        <w:rPr>
          <w:rFonts w:hint="eastAsia" w:ascii="黑体" w:hAnsi="宋体" w:eastAsia="黑体" w:cs="黑体"/>
          <w:b/>
          <w:i/>
          <w:color w:val="auto"/>
          <w:sz w:val="32"/>
          <w:szCs w:val="32"/>
          <w:highlight w:val="none"/>
          <w:u w:val="single"/>
          <w:lang w:eastAsia="zh-CN"/>
        </w:rPr>
        <w:t>（</w:t>
      </w:r>
      <w:r>
        <w:rPr>
          <w:rFonts w:hint="eastAsia" w:ascii="黑体" w:hAnsi="宋体" w:eastAsia="黑体" w:cs="黑体"/>
          <w:b/>
          <w:i/>
          <w:color w:val="auto"/>
          <w:sz w:val="32"/>
          <w:szCs w:val="32"/>
          <w:highlight w:val="none"/>
          <w:u w:val="single"/>
          <w:lang w:val="en-US" w:eastAsia="zh-CN"/>
        </w:rPr>
        <w:t>主承保供应商</w:t>
      </w:r>
      <w:r>
        <w:rPr>
          <w:rFonts w:hint="eastAsia" w:ascii="黑体" w:hAnsi="宋体" w:eastAsia="黑体" w:cs="黑体"/>
          <w:b/>
          <w:i/>
          <w:color w:val="auto"/>
          <w:sz w:val="32"/>
          <w:szCs w:val="32"/>
          <w:highlight w:val="none"/>
          <w:u w:val="single"/>
          <w:lang w:eastAsia="zh-CN"/>
        </w:rPr>
        <w:t>）</w:t>
      </w:r>
    </w:p>
    <w:p w14:paraId="3D20C792">
      <w:pPr>
        <w:pStyle w:val="9"/>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2D95037B">
      <w:pPr>
        <w:pStyle w:val="9"/>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48B35E8C">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项目编号：</w:t>
      </w:r>
    </w:p>
    <w:p w14:paraId="243F0B09">
      <w:pPr>
        <w:pStyle w:val="9"/>
        <w:spacing w:beforeAutospacing="0" w:afterAutospacing="0"/>
        <w:ind w:firstLine="480"/>
        <w:jc w:val="both"/>
        <w:rPr>
          <w:color w:val="auto"/>
          <w:highlight w:val="none"/>
        </w:rPr>
      </w:pPr>
    </w:p>
    <w:tbl>
      <w:tblPr>
        <w:tblStyle w:val="11"/>
        <w:tblW w:w="8220" w:type="dxa"/>
        <w:tblCellSpacing w:w="0" w:type="dxa"/>
        <w:tblInd w:w="118" w:type="dxa"/>
        <w:tblLayout w:type="fixed"/>
        <w:tblCellMar>
          <w:top w:w="0" w:type="dxa"/>
          <w:left w:w="108" w:type="dxa"/>
          <w:bottom w:w="0" w:type="dxa"/>
          <w:right w:w="108" w:type="dxa"/>
        </w:tblCellMar>
      </w:tblPr>
      <w:tblGrid>
        <w:gridCol w:w="8220"/>
      </w:tblGrid>
      <w:tr w14:paraId="3CE0B695">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vAlign w:val="center"/>
          </w:tcPr>
          <w:p w14:paraId="21971A82">
            <w:pPr>
              <w:pStyle w:val="9"/>
              <w:spacing w:beforeAutospacing="0" w:afterAutospacing="0"/>
              <w:jc w:val="center"/>
              <w:rPr>
                <w:color w:val="auto"/>
                <w:highlight w:val="none"/>
              </w:rPr>
            </w:pPr>
            <w:r>
              <w:rPr>
                <w:rFonts w:hint="eastAsia" w:ascii="宋体" w:hAnsi="宋体" w:eastAsia="宋体" w:cs="宋体"/>
                <w:color w:val="auto"/>
                <w:highlight w:val="none"/>
              </w:rPr>
              <w:t>投标优惠率</w:t>
            </w:r>
          </w:p>
        </w:tc>
      </w:tr>
      <w:tr w14:paraId="2B746647">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vAlign w:val="center"/>
          </w:tcPr>
          <w:p w14:paraId="13C9454D">
            <w:pPr>
              <w:pStyle w:val="9"/>
              <w:spacing w:beforeAutospacing="0" w:afterAutospacing="0" w:line="0" w:lineRule="atLeast"/>
              <w:rPr>
                <w:color w:val="auto"/>
                <w:highlight w:val="none"/>
              </w:rPr>
            </w:pPr>
            <w:r>
              <w:rPr>
                <w:rFonts w:hint="eastAsia" w:ascii="宋体" w:hAnsi="宋体" w:eastAsia="宋体" w:cs="宋体"/>
                <w:color w:val="auto"/>
                <w:highlight w:val="none"/>
              </w:rPr>
              <w:t>小写：                             （%）</w:t>
            </w:r>
          </w:p>
        </w:tc>
      </w:tr>
    </w:tbl>
    <w:p w14:paraId="449E36EB">
      <w:pPr>
        <w:pStyle w:val="9"/>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default" w:eastAsia="宋体"/>
          <w:color w:val="auto"/>
          <w:highlight w:val="none"/>
          <w:lang w:val="en-US" w:eastAsia="zh-CN"/>
        </w:rPr>
      </w:pPr>
      <w:r>
        <w:rPr>
          <w:rFonts w:hint="eastAsia"/>
          <w:color w:val="auto"/>
          <w:highlight w:val="none"/>
          <w:lang w:val="en-US" w:eastAsia="zh-CN"/>
        </w:rPr>
        <w:t>1、我方承诺按以上投标</w:t>
      </w:r>
      <w:r>
        <w:rPr>
          <w:rFonts w:hint="eastAsia" w:ascii="宋体" w:hAnsi="宋体" w:eastAsia="宋体" w:cs="宋体"/>
          <w:color w:val="auto"/>
          <w:highlight w:val="none"/>
        </w:rPr>
        <w:t>优惠率</w:t>
      </w:r>
      <w:r>
        <w:rPr>
          <w:rFonts w:hint="eastAsia" w:ascii="宋体" w:hAnsi="宋体" w:eastAsia="宋体" w:cs="宋体"/>
          <w:color w:val="auto"/>
          <w:highlight w:val="none"/>
          <w:lang w:val="en-US" w:eastAsia="zh-CN"/>
        </w:rPr>
        <w:t>承接本项目80%份额保险服务，同时承诺服务期内主保人和共保人总服务费限额为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万元，低于则按实结算。</w:t>
      </w:r>
    </w:p>
    <w:p w14:paraId="2B847A53">
      <w:pPr>
        <w:pStyle w:val="9"/>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color w:val="auto"/>
          <w:highlight w:val="none"/>
        </w:rPr>
      </w:pPr>
      <w:r>
        <w:rPr>
          <w:rFonts w:hint="eastAsia" w:ascii="宋体" w:hAnsi="宋体" w:eastAsia="宋体" w:cs="宋体"/>
          <w:color w:val="auto"/>
          <w:highlight w:val="none"/>
          <w:lang w:val="en-US" w:eastAsia="zh-CN"/>
        </w:rPr>
        <w:t>2、本项目采用优惠率报价，投标人所报优惠率低于第一章第一款项目基本情况第5.2款三家供应商加权平均优惠率(2.1%)，或服务期内总服务费高于预算金额380万元的作为无效投标处理。</w:t>
      </w:r>
      <w:r>
        <w:rPr>
          <w:rFonts w:hint="eastAsia"/>
          <w:color w:val="auto"/>
          <w:highlight w:val="none"/>
        </w:rPr>
        <w:t>（供应商的报价应在%前保留</w:t>
      </w:r>
      <w:r>
        <w:rPr>
          <w:rFonts w:hint="eastAsia"/>
          <w:color w:val="auto"/>
          <w:highlight w:val="none"/>
          <w:lang w:val="en-US" w:eastAsia="zh-CN"/>
        </w:rPr>
        <w:t>两位小</w:t>
      </w:r>
      <w:r>
        <w:rPr>
          <w:rFonts w:hint="eastAsia"/>
          <w:color w:val="auto"/>
          <w:highlight w:val="none"/>
        </w:rPr>
        <w:t>数）</w:t>
      </w:r>
    </w:p>
    <w:p w14:paraId="1D4366C5">
      <w:pPr>
        <w:pStyle w:val="9"/>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default" w:eastAsia="宋体"/>
          <w:color w:val="auto"/>
          <w:highlight w:val="none"/>
          <w:lang w:val="en-US" w:eastAsia="zh-CN"/>
        </w:rPr>
      </w:pPr>
      <w:r>
        <w:rPr>
          <w:rFonts w:hint="eastAsia"/>
          <w:color w:val="auto"/>
          <w:highlight w:val="none"/>
          <w:lang w:val="en-US" w:eastAsia="zh-CN"/>
        </w:rPr>
        <w:t>3、因“苏采云”系统受限，只能由主保人参与报名及报价，系统只显示主保人的优惠</w:t>
      </w:r>
      <w:r>
        <w:rPr>
          <w:rFonts w:hint="eastAsia" w:ascii="宋体" w:hAnsi="宋体" w:eastAsia="宋体" w:cs="宋体"/>
          <w:color w:val="auto"/>
          <w:highlight w:val="none"/>
        </w:rPr>
        <w:t>率</w:t>
      </w:r>
      <w:r>
        <w:rPr>
          <w:rFonts w:hint="eastAsia" w:ascii="宋体" w:hAnsi="宋体" w:eastAsia="宋体" w:cs="宋体"/>
          <w:color w:val="auto"/>
          <w:highlight w:val="none"/>
          <w:lang w:val="en-US" w:eastAsia="zh-CN"/>
        </w:rPr>
        <w:t>报价，并参与评标，共保人报价由其单独报价并盖章作为其投标文件组成部分上传至主保人投标文件中。</w:t>
      </w:r>
    </w:p>
    <w:p w14:paraId="14559567">
      <w:pPr>
        <w:pStyle w:val="9"/>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32513C54">
      <w:pPr>
        <w:pStyle w:val="9"/>
        <w:spacing w:beforeAutospacing="0" w:afterAutospacing="0" w:line="0" w:lineRule="atLeast"/>
        <w:ind w:firstLine="480"/>
        <w:jc w:val="both"/>
        <w:rPr>
          <w:rFonts w:hint="eastAsia" w:ascii="宋体" w:hAnsi="宋体" w:eastAsia="宋体" w:cs="宋体"/>
          <w:color w:val="auto"/>
          <w:highlight w:val="none"/>
        </w:rPr>
      </w:pPr>
    </w:p>
    <w:p w14:paraId="01453EE0">
      <w:pPr>
        <w:widowControl/>
        <w:spacing w:before="50" w:after="50"/>
        <w:jc w:val="center"/>
        <w:rPr>
          <w:color w:val="auto"/>
          <w:highlight w:val="none"/>
        </w:rPr>
      </w:pPr>
    </w:p>
    <w:p w14:paraId="7F228A55">
      <w:pPr>
        <w:pStyle w:val="9"/>
        <w:spacing w:beforeAutospacing="0" w:afterAutospacing="0"/>
        <w:jc w:val="center"/>
        <w:rPr>
          <w:rFonts w:hint="eastAsia" w:eastAsia="黑体"/>
          <w:color w:val="auto"/>
          <w:highlight w:val="none"/>
          <w:lang w:eastAsia="zh-CN"/>
        </w:rPr>
      </w:pPr>
      <w:r>
        <w:rPr>
          <w:rFonts w:hint="eastAsia" w:ascii="黑体" w:hAnsi="宋体" w:eastAsia="黑体" w:cs="黑体"/>
          <w:b/>
          <w:i/>
          <w:color w:val="auto"/>
          <w:sz w:val="32"/>
          <w:szCs w:val="32"/>
          <w:highlight w:val="none"/>
          <w:u w:val="single"/>
        </w:rPr>
        <w:t>开标一览表</w:t>
      </w:r>
      <w:r>
        <w:rPr>
          <w:rFonts w:hint="eastAsia" w:ascii="黑体" w:hAnsi="宋体" w:eastAsia="黑体" w:cs="黑体"/>
          <w:b/>
          <w:i/>
          <w:color w:val="auto"/>
          <w:sz w:val="32"/>
          <w:szCs w:val="32"/>
          <w:highlight w:val="none"/>
          <w:u w:val="single"/>
          <w:lang w:eastAsia="zh-CN"/>
        </w:rPr>
        <w:t>（</w:t>
      </w:r>
      <w:r>
        <w:rPr>
          <w:rFonts w:hint="eastAsia" w:ascii="黑体" w:hAnsi="宋体" w:eastAsia="黑体" w:cs="黑体"/>
          <w:b/>
          <w:i/>
          <w:color w:val="auto"/>
          <w:sz w:val="32"/>
          <w:szCs w:val="32"/>
          <w:highlight w:val="none"/>
          <w:u w:val="single"/>
          <w:lang w:val="en-US" w:eastAsia="zh-CN"/>
        </w:rPr>
        <w:t>第一共保人</w:t>
      </w:r>
      <w:r>
        <w:rPr>
          <w:rFonts w:hint="eastAsia" w:ascii="黑体" w:hAnsi="宋体" w:eastAsia="黑体" w:cs="黑体"/>
          <w:b/>
          <w:i/>
          <w:color w:val="auto"/>
          <w:sz w:val="32"/>
          <w:szCs w:val="32"/>
          <w:highlight w:val="none"/>
          <w:u w:val="single"/>
          <w:lang w:eastAsia="zh-CN"/>
        </w:rPr>
        <w:t>）</w:t>
      </w:r>
    </w:p>
    <w:p w14:paraId="4D8FDCFC">
      <w:pPr>
        <w:pStyle w:val="9"/>
        <w:spacing w:beforeAutospacing="0" w:afterAutospacing="0"/>
        <w:ind w:firstLine="480"/>
        <w:jc w:val="both"/>
        <w:rPr>
          <w:color w:val="auto"/>
          <w:highlight w:val="none"/>
        </w:rPr>
      </w:pPr>
      <w:r>
        <w:rPr>
          <w:rFonts w:hint="eastAsia" w:ascii="宋体" w:hAnsi="宋体" w:eastAsia="宋体" w:cs="宋体"/>
          <w:color w:val="auto"/>
          <w:highlight w:val="none"/>
        </w:rPr>
        <w:t>投标人全称（加盖</w:t>
      </w:r>
      <w:r>
        <w:rPr>
          <w:rFonts w:hint="eastAsia" w:ascii="宋体" w:hAnsi="宋体" w:eastAsia="宋体" w:cs="宋体"/>
          <w:color w:val="auto"/>
          <w:highlight w:val="none"/>
          <w:lang w:val="en-US" w:eastAsia="zh-CN"/>
        </w:rPr>
        <w:t>公</w:t>
      </w:r>
      <w:r>
        <w:rPr>
          <w:rFonts w:hint="eastAsia" w:ascii="宋体" w:hAnsi="宋体" w:eastAsia="宋体" w:cs="宋体"/>
          <w:color w:val="auto"/>
          <w:highlight w:val="none"/>
        </w:rPr>
        <w:t>章）：</w:t>
      </w:r>
    </w:p>
    <w:p w14:paraId="64740504">
      <w:pPr>
        <w:pStyle w:val="9"/>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666322B6">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项目编号：</w:t>
      </w:r>
    </w:p>
    <w:p w14:paraId="1C334F2B">
      <w:pPr>
        <w:pStyle w:val="9"/>
        <w:spacing w:beforeAutospacing="0" w:afterAutospacing="0"/>
        <w:ind w:firstLine="480"/>
        <w:jc w:val="both"/>
        <w:rPr>
          <w:color w:val="auto"/>
          <w:highlight w:val="none"/>
        </w:rPr>
      </w:pPr>
    </w:p>
    <w:tbl>
      <w:tblPr>
        <w:tblStyle w:val="11"/>
        <w:tblW w:w="8220" w:type="dxa"/>
        <w:tblCellSpacing w:w="0" w:type="dxa"/>
        <w:tblInd w:w="118" w:type="dxa"/>
        <w:tblLayout w:type="fixed"/>
        <w:tblCellMar>
          <w:top w:w="0" w:type="dxa"/>
          <w:left w:w="108" w:type="dxa"/>
          <w:bottom w:w="0" w:type="dxa"/>
          <w:right w:w="108" w:type="dxa"/>
        </w:tblCellMar>
      </w:tblPr>
      <w:tblGrid>
        <w:gridCol w:w="8220"/>
      </w:tblGrid>
      <w:tr w14:paraId="75F39B8C">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vAlign w:val="center"/>
          </w:tcPr>
          <w:p w14:paraId="57B5EDD7">
            <w:pPr>
              <w:pStyle w:val="9"/>
              <w:spacing w:beforeAutospacing="0" w:afterAutospacing="0"/>
              <w:jc w:val="center"/>
              <w:rPr>
                <w:color w:val="auto"/>
                <w:highlight w:val="none"/>
              </w:rPr>
            </w:pPr>
            <w:r>
              <w:rPr>
                <w:rFonts w:hint="eastAsia" w:ascii="宋体" w:hAnsi="宋体" w:eastAsia="宋体" w:cs="宋体"/>
                <w:color w:val="auto"/>
                <w:highlight w:val="none"/>
              </w:rPr>
              <w:t>投标优惠率</w:t>
            </w:r>
          </w:p>
        </w:tc>
      </w:tr>
      <w:tr w14:paraId="6116569E">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vAlign w:val="center"/>
          </w:tcPr>
          <w:p w14:paraId="53DDF553">
            <w:pPr>
              <w:pStyle w:val="9"/>
              <w:spacing w:beforeAutospacing="0" w:afterAutospacing="0" w:line="0" w:lineRule="atLeast"/>
              <w:rPr>
                <w:color w:val="auto"/>
                <w:highlight w:val="none"/>
              </w:rPr>
            </w:pPr>
            <w:r>
              <w:rPr>
                <w:rFonts w:hint="eastAsia" w:ascii="宋体" w:hAnsi="宋体" w:eastAsia="宋体" w:cs="宋体"/>
                <w:color w:val="auto"/>
                <w:highlight w:val="none"/>
              </w:rPr>
              <w:t>小写：                             （%）</w:t>
            </w:r>
          </w:p>
        </w:tc>
      </w:tr>
    </w:tbl>
    <w:p w14:paraId="6DEE9134">
      <w:pPr>
        <w:pStyle w:val="9"/>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default" w:eastAsia="宋体"/>
          <w:color w:val="auto"/>
          <w:highlight w:val="none"/>
          <w:lang w:val="en-US" w:eastAsia="zh-CN"/>
        </w:rPr>
      </w:pPr>
      <w:r>
        <w:rPr>
          <w:rFonts w:hint="eastAsia"/>
          <w:color w:val="auto"/>
          <w:highlight w:val="none"/>
          <w:lang w:val="en-US" w:eastAsia="zh-CN"/>
        </w:rPr>
        <w:t>1、我方承诺按以上投标</w:t>
      </w:r>
      <w:r>
        <w:rPr>
          <w:rFonts w:hint="eastAsia" w:ascii="宋体" w:hAnsi="宋体" w:eastAsia="宋体" w:cs="宋体"/>
          <w:color w:val="auto"/>
          <w:highlight w:val="none"/>
        </w:rPr>
        <w:t>优惠率</w:t>
      </w:r>
      <w:r>
        <w:rPr>
          <w:rFonts w:hint="eastAsia" w:ascii="宋体" w:hAnsi="宋体" w:eastAsia="宋体" w:cs="宋体"/>
          <w:color w:val="auto"/>
          <w:highlight w:val="none"/>
          <w:lang w:val="en-US" w:eastAsia="zh-CN"/>
        </w:rPr>
        <w:t>承接本项目15%份额保险服务，同时承诺服务期内主保人和共保人总服务费限额为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万元，低于则按实结算。</w:t>
      </w:r>
    </w:p>
    <w:p w14:paraId="775F7232">
      <w:pPr>
        <w:pStyle w:val="9"/>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color w:val="auto"/>
          <w:highlight w:val="none"/>
        </w:rPr>
      </w:pPr>
      <w:r>
        <w:rPr>
          <w:rFonts w:hint="eastAsia" w:ascii="宋体" w:hAnsi="宋体" w:eastAsia="宋体" w:cs="宋体"/>
          <w:color w:val="auto"/>
          <w:highlight w:val="none"/>
          <w:lang w:val="en-US" w:eastAsia="zh-CN"/>
        </w:rPr>
        <w:t>2、本项目采用优惠率报价，投标人所报优惠率低于第一章第一款项目基本情况第5.2款三家供应商加权平均优惠率(2.1%)，或服务期内总服务费高于预算金额380万元的作为无效投标处理。</w:t>
      </w:r>
      <w:r>
        <w:rPr>
          <w:rFonts w:hint="eastAsia"/>
          <w:color w:val="auto"/>
          <w:highlight w:val="none"/>
        </w:rPr>
        <w:t>（供应商的报价应在%前保留</w:t>
      </w:r>
      <w:r>
        <w:rPr>
          <w:rFonts w:hint="eastAsia"/>
          <w:color w:val="auto"/>
          <w:highlight w:val="none"/>
          <w:lang w:val="en-US" w:eastAsia="zh-CN"/>
        </w:rPr>
        <w:t>两位小</w:t>
      </w:r>
      <w:r>
        <w:rPr>
          <w:rFonts w:hint="eastAsia"/>
          <w:color w:val="auto"/>
          <w:highlight w:val="none"/>
        </w:rPr>
        <w:t>数）</w:t>
      </w:r>
    </w:p>
    <w:p w14:paraId="4C4D3D39">
      <w:pPr>
        <w:pStyle w:val="9"/>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default" w:eastAsia="宋体"/>
          <w:color w:val="auto"/>
          <w:highlight w:val="none"/>
          <w:lang w:val="en-US" w:eastAsia="zh-CN"/>
        </w:rPr>
      </w:pPr>
      <w:r>
        <w:rPr>
          <w:rFonts w:hint="eastAsia"/>
          <w:color w:val="auto"/>
          <w:highlight w:val="none"/>
          <w:lang w:val="en-US" w:eastAsia="zh-CN"/>
        </w:rPr>
        <w:t>3、因“苏采云”系统受限，只能由主保人参与报名及报价，系统只显示主保人的优惠</w:t>
      </w:r>
      <w:r>
        <w:rPr>
          <w:rFonts w:hint="eastAsia" w:ascii="宋体" w:hAnsi="宋体" w:eastAsia="宋体" w:cs="宋体"/>
          <w:color w:val="auto"/>
          <w:highlight w:val="none"/>
        </w:rPr>
        <w:t>率</w:t>
      </w:r>
      <w:r>
        <w:rPr>
          <w:rFonts w:hint="eastAsia" w:ascii="宋体" w:hAnsi="宋体" w:eastAsia="宋体" w:cs="宋体"/>
          <w:color w:val="auto"/>
          <w:highlight w:val="none"/>
          <w:lang w:val="en-US" w:eastAsia="zh-CN"/>
        </w:rPr>
        <w:t>报价，并参与评标，共保人报价由其单独报价并盖章作为其投标文件组成部分上传至主保人投标文件中。</w:t>
      </w:r>
    </w:p>
    <w:p w14:paraId="161980B9">
      <w:pPr>
        <w:widowControl/>
        <w:spacing w:before="50" w:after="5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3139EB1">
      <w:pPr>
        <w:widowControl/>
        <w:spacing w:before="50" w:after="50"/>
        <w:jc w:val="center"/>
        <w:rPr>
          <w:rFonts w:hint="eastAsia" w:ascii="宋体" w:hAnsi="宋体" w:eastAsia="宋体" w:cs="宋体"/>
          <w:color w:val="auto"/>
          <w:highlight w:val="none"/>
        </w:rPr>
      </w:pPr>
    </w:p>
    <w:p w14:paraId="74D3912A">
      <w:pPr>
        <w:pStyle w:val="9"/>
        <w:spacing w:beforeAutospacing="0" w:afterAutospacing="0"/>
        <w:jc w:val="center"/>
        <w:rPr>
          <w:rFonts w:hint="eastAsia" w:eastAsia="黑体"/>
          <w:color w:val="auto"/>
          <w:highlight w:val="none"/>
          <w:lang w:eastAsia="zh-CN"/>
        </w:rPr>
      </w:pPr>
      <w:r>
        <w:rPr>
          <w:rFonts w:hint="eastAsia" w:ascii="黑体" w:hAnsi="宋体" w:eastAsia="黑体" w:cs="黑体"/>
          <w:b/>
          <w:i/>
          <w:color w:val="auto"/>
          <w:sz w:val="32"/>
          <w:szCs w:val="32"/>
          <w:highlight w:val="none"/>
          <w:u w:val="single"/>
        </w:rPr>
        <w:t>开标一览表</w:t>
      </w:r>
      <w:r>
        <w:rPr>
          <w:rFonts w:hint="eastAsia" w:ascii="黑体" w:hAnsi="宋体" w:eastAsia="黑体" w:cs="黑体"/>
          <w:b/>
          <w:i/>
          <w:color w:val="auto"/>
          <w:sz w:val="32"/>
          <w:szCs w:val="32"/>
          <w:highlight w:val="none"/>
          <w:u w:val="single"/>
          <w:lang w:eastAsia="zh-CN"/>
        </w:rPr>
        <w:t>（</w:t>
      </w:r>
      <w:r>
        <w:rPr>
          <w:rFonts w:hint="eastAsia" w:ascii="黑体" w:hAnsi="宋体" w:eastAsia="黑体" w:cs="黑体"/>
          <w:b/>
          <w:i/>
          <w:color w:val="auto"/>
          <w:sz w:val="32"/>
          <w:szCs w:val="32"/>
          <w:highlight w:val="none"/>
          <w:u w:val="single"/>
          <w:lang w:val="en-US" w:eastAsia="zh-CN"/>
        </w:rPr>
        <w:t>第二共保人</w:t>
      </w:r>
      <w:r>
        <w:rPr>
          <w:rFonts w:hint="eastAsia" w:ascii="黑体" w:hAnsi="宋体" w:eastAsia="黑体" w:cs="黑体"/>
          <w:b/>
          <w:i/>
          <w:color w:val="auto"/>
          <w:sz w:val="32"/>
          <w:szCs w:val="32"/>
          <w:highlight w:val="none"/>
          <w:u w:val="single"/>
          <w:lang w:eastAsia="zh-CN"/>
        </w:rPr>
        <w:t>）</w:t>
      </w:r>
    </w:p>
    <w:p w14:paraId="3397F694">
      <w:pPr>
        <w:pStyle w:val="9"/>
        <w:spacing w:beforeAutospacing="0" w:afterAutospacing="0"/>
        <w:ind w:firstLine="480"/>
        <w:jc w:val="both"/>
        <w:rPr>
          <w:color w:val="auto"/>
          <w:highlight w:val="none"/>
        </w:rPr>
      </w:pPr>
      <w:r>
        <w:rPr>
          <w:rFonts w:hint="eastAsia" w:ascii="宋体" w:hAnsi="宋体" w:eastAsia="宋体" w:cs="宋体"/>
          <w:color w:val="auto"/>
          <w:highlight w:val="none"/>
        </w:rPr>
        <w:t>投标人全称（（加盖</w:t>
      </w:r>
      <w:r>
        <w:rPr>
          <w:rFonts w:hint="eastAsia" w:ascii="宋体" w:hAnsi="宋体" w:eastAsia="宋体" w:cs="宋体"/>
          <w:color w:val="auto"/>
          <w:highlight w:val="none"/>
          <w:lang w:val="en-US" w:eastAsia="zh-CN"/>
        </w:rPr>
        <w:t>公</w:t>
      </w:r>
      <w:r>
        <w:rPr>
          <w:rFonts w:hint="eastAsia" w:ascii="宋体" w:hAnsi="宋体" w:eastAsia="宋体" w:cs="宋体"/>
          <w:color w:val="auto"/>
          <w:highlight w:val="none"/>
        </w:rPr>
        <w:t>章））：</w:t>
      </w:r>
    </w:p>
    <w:p w14:paraId="04DC5AC5">
      <w:pPr>
        <w:pStyle w:val="9"/>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233EAA57">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项目编号：</w:t>
      </w:r>
    </w:p>
    <w:p w14:paraId="3FAB17CE">
      <w:pPr>
        <w:pStyle w:val="9"/>
        <w:spacing w:beforeAutospacing="0" w:afterAutospacing="0"/>
        <w:ind w:firstLine="480"/>
        <w:jc w:val="both"/>
        <w:rPr>
          <w:color w:val="auto"/>
          <w:highlight w:val="none"/>
        </w:rPr>
      </w:pPr>
    </w:p>
    <w:tbl>
      <w:tblPr>
        <w:tblStyle w:val="11"/>
        <w:tblW w:w="8220" w:type="dxa"/>
        <w:tblCellSpacing w:w="0" w:type="dxa"/>
        <w:tblInd w:w="118" w:type="dxa"/>
        <w:tblLayout w:type="fixed"/>
        <w:tblCellMar>
          <w:top w:w="0" w:type="dxa"/>
          <w:left w:w="108" w:type="dxa"/>
          <w:bottom w:w="0" w:type="dxa"/>
          <w:right w:w="108" w:type="dxa"/>
        </w:tblCellMar>
      </w:tblPr>
      <w:tblGrid>
        <w:gridCol w:w="8220"/>
      </w:tblGrid>
      <w:tr w14:paraId="124016B9">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vAlign w:val="center"/>
          </w:tcPr>
          <w:p w14:paraId="4F449377">
            <w:pPr>
              <w:pStyle w:val="9"/>
              <w:spacing w:beforeAutospacing="0" w:afterAutospacing="0"/>
              <w:jc w:val="center"/>
              <w:rPr>
                <w:color w:val="auto"/>
                <w:highlight w:val="none"/>
              </w:rPr>
            </w:pPr>
            <w:r>
              <w:rPr>
                <w:rFonts w:hint="eastAsia" w:ascii="宋体" w:hAnsi="宋体" w:eastAsia="宋体" w:cs="宋体"/>
                <w:color w:val="auto"/>
                <w:highlight w:val="none"/>
              </w:rPr>
              <w:t>投标优惠率</w:t>
            </w:r>
          </w:p>
        </w:tc>
      </w:tr>
      <w:tr w14:paraId="65A1E827">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vAlign w:val="center"/>
          </w:tcPr>
          <w:p w14:paraId="152B4914">
            <w:pPr>
              <w:pStyle w:val="9"/>
              <w:spacing w:beforeAutospacing="0" w:afterAutospacing="0" w:line="0" w:lineRule="atLeast"/>
              <w:rPr>
                <w:color w:val="auto"/>
                <w:highlight w:val="none"/>
              </w:rPr>
            </w:pPr>
            <w:r>
              <w:rPr>
                <w:rFonts w:hint="eastAsia" w:ascii="宋体" w:hAnsi="宋体" w:eastAsia="宋体" w:cs="宋体"/>
                <w:color w:val="auto"/>
                <w:highlight w:val="none"/>
              </w:rPr>
              <w:t>小写：                             （%）</w:t>
            </w:r>
          </w:p>
        </w:tc>
      </w:tr>
    </w:tbl>
    <w:p w14:paraId="0E6378E6">
      <w:pPr>
        <w:pStyle w:val="9"/>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default" w:eastAsia="宋体"/>
          <w:color w:val="auto"/>
          <w:highlight w:val="none"/>
          <w:lang w:val="en-US" w:eastAsia="zh-CN"/>
        </w:rPr>
      </w:pPr>
      <w:r>
        <w:rPr>
          <w:rFonts w:hint="eastAsia"/>
          <w:color w:val="auto"/>
          <w:highlight w:val="none"/>
          <w:lang w:val="en-US" w:eastAsia="zh-CN"/>
        </w:rPr>
        <w:t>1、我方承诺按以上投标</w:t>
      </w:r>
      <w:r>
        <w:rPr>
          <w:rFonts w:hint="eastAsia" w:ascii="宋体" w:hAnsi="宋体" w:eastAsia="宋体" w:cs="宋体"/>
          <w:color w:val="auto"/>
          <w:highlight w:val="none"/>
        </w:rPr>
        <w:t>优惠率</w:t>
      </w:r>
      <w:r>
        <w:rPr>
          <w:rFonts w:hint="eastAsia" w:ascii="宋体" w:hAnsi="宋体" w:eastAsia="宋体" w:cs="宋体"/>
          <w:color w:val="auto"/>
          <w:highlight w:val="none"/>
          <w:lang w:val="en-US" w:eastAsia="zh-CN"/>
        </w:rPr>
        <w:t>承接本项目5%份额保险服务，同时承诺服务期内主保人和共保人总服务费限额为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万元，低于则按实结算。</w:t>
      </w:r>
    </w:p>
    <w:p w14:paraId="5E6F10A5">
      <w:pPr>
        <w:pStyle w:val="9"/>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color w:val="auto"/>
          <w:highlight w:val="none"/>
        </w:rPr>
      </w:pPr>
      <w:r>
        <w:rPr>
          <w:rFonts w:hint="eastAsia" w:ascii="宋体" w:hAnsi="宋体" w:eastAsia="宋体" w:cs="宋体"/>
          <w:color w:val="auto"/>
          <w:highlight w:val="none"/>
          <w:lang w:val="en-US" w:eastAsia="zh-CN"/>
        </w:rPr>
        <w:t>2、本项目采用优惠率报价，投标人所报优惠率低于第一章第一款项目基本情况第5.2款三家供应商加权平均优惠率(2.1%)，或服务期内总服务费高于预算金额380万元的作为无效投标处理。</w:t>
      </w:r>
      <w:r>
        <w:rPr>
          <w:rFonts w:hint="eastAsia"/>
          <w:color w:val="auto"/>
          <w:highlight w:val="none"/>
        </w:rPr>
        <w:t>（供应商的报价应在%前保留</w:t>
      </w:r>
      <w:r>
        <w:rPr>
          <w:rFonts w:hint="eastAsia"/>
          <w:color w:val="auto"/>
          <w:highlight w:val="none"/>
          <w:lang w:val="en-US" w:eastAsia="zh-CN"/>
        </w:rPr>
        <w:t>两位小</w:t>
      </w:r>
      <w:r>
        <w:rPr>
          <w:rFonts w:hint="eastAsia"/>
          <w:color w:val="auto"/>
          <w:highlight w:val="none"/>
        </w:rPr>
        <w:t>数）</w:t>
      </w:r>
    </w:p>
    <w:p w14:paraId="7A2C1C01">
      <w:pPr>
        <w:pStyle w:val="9"/>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default" w:eastAsia="宋体"/>
          <w:color w:val="auto"/>
          <w:highlight w:val="none"/>
          <w:lang w:val="en-US" w:eastAsia="zh-CN"/>
        </w:rPr>
      </w:pPr>
      <w:r>
        <w:rPr>
          <w:rFonts w:hint="eastAsia"/>
          <w:color w:val="auto"/>
          <w:highlight w:val="none"/>
          <w:lang w:val="en-US" w:eastAsia="zh-CN"/>
        </w:rPr>
        <w:t>3、因“苏采云”系统受限，只能由主保人参与报名及报价，系统只显示主保人的优惠</w:t>
      </w:r>
      <w:r>
        <w:rPr>
          <w:rFonts w:hint="eastAsia" w:ascii="宋体" w:hAnsi="宋体" w:eastAsia="宋体" w:cs="宋体"/>
          <w:color w:val="auto"/>
          <w:highlight w:val="none"/>
        </w:rPr>
        <w:t>率</w:t>
      </w:r>
      <w:r>
        <w:rPr>
          <w:rFonts w:hint="eastAsia" w:ascii="宋体" w:hAnsi="宋体" w:eastAsia="宋体" w:cs="宋体"/>
          <w:color w:val="auto"/>
          <w:highlight w:val="none"/>
          <w:lang w:val="en-US" w:eastAsia="zh-CN"/>
        </w:rPr>
        <w:t>报价，并参与评标，共保人报价由其单独报价并盖章作为其投标文件组成部分上传至主保人投标文件中。</w:t>
      </w:r>
    </w:p>
    <w:p w14:paraId="5CD938B1">
      <w:pPr>
        <w:widowControl/>
        <w:spacing w:before="50" w:after="5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ACE0AB5">
      <w:pPr>
        <w:widowControl/>
        <w:spacing w:before="50" w:after="50"/>
        <w:jc w:val="center"/>
        <w:rPr>
          <w:color w:val="auto"/>
          <w:highlight w:val="none"/>
        </w:rPr>
      </w:pPr>
    </w:p>
    <w:p w14:paraId="5A745ED9">
      <w:pPr>
        <w:widowControl/>
        <w:spacing w:before="50" w:after="50"/>
        <w:jc w:val="center"/>
        <w:rPr>
          <w:color w:val="auto"/>
          <w:highlight w:val="none"/>
        </w:rPr>
      </w:pPr>
    </w:p>
    <w:p w14:paraId="1EC9599D">
      <w:pPr>
        <w:widowControl/>
        <w:spacing w:before="50" w:after="50"/>
        <w:jc w:val="center"/>
        <w:rPr>
          <w:color w:val="auto"/>
          <w:highlight w:val="none"/>
        </w:rPr>
      </w:pPr>
    </w:p>
    <w:p w14:paraId="75D625B7">
      <w:pPr>
        <w:pStyle w:val="9"/>
        <w:spacing w:beforeAutospacing="0" w:afterAutospacing="0"/>
        <w:jc w:val="center"/>
        <w:rPr>
          <w:color w:val="auto"/>
          <w:highlight w:val="none"/>
        </w:rPr>
      </w:pPr>
    </w:p>
    <w:p w14:paraId="30A8E776">
      <w:pPr>
        <w:widowControl/>
        <w:spacing w:line="499" w:lineRule="atLeast"/>
        <w:ind w:firstLine="1600"/>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七</w:t>
      </w:r>
      <w:r>
        <w:rPr>
          <w:rFonts w:hint="eastAsia" w:ascii="宋体" w:hAnsi="宋体" w:eastAsia="宋体" w:cs="宋体"/>
          <w:b/>
          <w:bCs/>
          <w:color w:val="auto"/>
          <w:sz w:val="32"/>
          <w:szCs w:val="32"/>
          <w:highlight w:val="none"/>
        </w:rPr>
        <w:t>、盐城市政府采购事前信用承诺书</w:t>
      </w:r>
    </w:p>
    <w:p w14:paraId="5AC47654">
      <w:pPr>
        <w:widowControl/>
        <w:spacing w:line="499" w:lineRule="atLeas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DFC53E6">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142B812A">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406DD3B">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76620A61">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2A35254C">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3E4AA67">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066A0A70">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D1F1613">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1C9E90E6">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0A2991AA">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7C5CC85">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 月 日</w:t>
      </w:r>
    </w:p>
    <w:p w14:paraId="7A43F922">
      <w:pPr>
        <w:pStyle w:val="9"/>
        <w:spacing w:beforeAutospacing="0" w:afterAutospacing="0"/>
        <w:jc w:val="center"/>
        <w:rPr>
          <w:color w:val="auto"/>
          <w:highlight w:val="none"/>
        </w:rPr>
      </w:pPr>
    </w:p>
    <w:p w14:paraId="0C73ABBD">
      <w:pPr>
        <w:widowControl/>
        <w:spacing w:line="499" w:lineRule="atLeas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十八、</w:t>
      </w:r>
      <w:r>
        <w:rPr>
          <w:rFonts w:hint="eastAsia" w:ascii="宋体" w:hAnsi="宋体" w:eastAsia="宋体" w:cs="宋体"/>
          <w:b/>
          <w:bCs/>
          <w:color w:val="auto"/>
          <w:sz w:val="32"/>
          <w:szCs w:val="32"/>
          <w:highlight w:val="none"/>
        </w:rPr>
        <w:t>第一共保体符合性审查文件（包括以上</w:t>
      </w:r>
      <w:r>
        <w:rPr>
          <w:rFonts w:hint="eastAsia" w:ascii="宋体" w:hAnsi="宋体" w:eastAsia="宋体" w:cs="宋体"/>
          <w:b/>
          <w:bCs/>
          <w:color w:val="auto"/>
          <w:sz w:val="32"/>
          <w:szCs w:val="32"/>
          <w:highlight w:val="none"/>
          <w:lang w:val="en-US" w:eastAsia="zh-CN"/>
        </w:rPr>
        <w:t>十</w:t>
      </w:r>
      <w:r>
        <w:rPr>
          <w:rFonts w:hint="eastAsia" w:ascii="宋体" w:hAnsi="宋体" w:eastAsia="宋体" w:cs="宋体"/>
          <w:b/>
          <w:bCs/>
          <w:color w:val="auto"/>
          <w:sz w:val="32"/>
          <w:szCs w:val="32"/>
          <w:highlight w:val="none"/>
        </w:rPr>
        <w:t>至十</w:t>
      </w:r>
      <w:r>
        <w:rPr>
          <w:rFonts w:hint="eastAsia" w:ascii="宋体" w:hAnsi="宋体" w:eastAsia="宋体" w:cs="宋体"/>
          <w:b/>
          <w:bCs/>
          <w:color w:val="auto"/>
          <w:sz w:val="32"/>
          <w:szCs w:val="32"/>
          <w:highlight w:val="none"/>
          <w:lang w:val="en-US" w:eastAsia="zh-CN"/>
        </w:rPr>
        <w:t>七</w:t>
      </w:r>
      <w:r>
        <w:rPr>
          <w:rFonts w:hint="eastAsia" w:ascii="宋体" w:hAnsi="宋体" w:eastAsia="宋体" w:cs="宋体"/>
          <w:b/>
          <w:bCs/>
          <w:color w:val="auto"/>
          <w:sz w:val="32"/>
          <w:szCs w:val="32"/>
          <w:highlight w:val="none"/>
        </w:rPr>
        <w:t>项）</w:t>
      </w:r>
    </w:p>
    <w:p w14:paraId="135E2D39">
      <w:pPr>
        <w:widowControl/>
        <w:spacing w:line="499"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十九、</w:t>
      </w:r>
      <w:r>
        <w:rPr>
          <w:rFonts w:hint="eastAsia" w:ascii="宋体" w:hAnsi="宋体" w:eastAsia="宋体" w:cs="宋体"/>
          <w:b/>
          <w:bCs/>
          <w:color w:val="auto"/>
          <w:sz w:val="32"/>
          <w:szCs w:val="32"/>
          <w:highlight w:val="none"/>
        </w:rPr>
        <w:t>第二共保体符合性审查文件（包括以上</w:t>
      </w:r>
      <w:r>
        <w:rPr>
          <w:rFonts w:hint="eastAsia" w:ascii="宋体" w:hAnsi="宋体" w:eastAsia="宋体" w:cs="宋体"/>
          <w:b/>
          <w:bCs/>
          <w:color w:val="auto"/>
          <w:sz w:val="32"/>
          <w:szCs w:val="32"/>
          <w:highlight w:val="none"/>
          <w:lang w:val="en-US" w:eastAsia="zh-CN"/>
        </w:rPr>
        <w:t>十</w:t>
      </w:r>
      <w:r>
        <w:rPr>
          <w:rFonts w:hint="eastAsia" w:ascii="宋体" w:hAnsi="宋体" w:eastAsia="宋体" w:cs="宋体"/>
          <w:b/>
          <w:bCs/>
          <w:color w:val="auto"/>
          <w:sz w:val="32"/>
          <w:szCs w:val="32"/>
          <w:highlight w:val="none"/>
        </w:rPr>
        <w:t>至十</w:t>
      </w:r>
      <w:r>
        <w:rPr>
          <w:rFonts w:hint="eastAsia" w:ascii="宋体" w:hAnsi="宋体" w:eastAsia="宋体" w:cs="宋体"/>
          <w:b/>
          <w:bCs/>
          <w:color w:val="auto"/>
          <w:sz w:val="32"/>
          <w:szCs w:val="32"/>
          <w:highlight w:val="none"/>
          <w:lang w:val="en-US" w:eastAsia="zh-CN"/>
        </w:rPr>
        <w:t>七</w:t>
      </w:r>
      <w:r>
        <w:rPr>
          <w:rFonts w:hint="eastAsia" w:ascii="宋体" w:hAnsi="宋体" w:eastAsia="宋体" w:cs="宋体"/>
          <w:b/>
          <w:bCs/>
          <w:color w:val="auto"/>
          <w:sz w:val="32"/>
          <w:szCs w:val="32"/>
          <w:highlight w:val="none"/>
        </w:rPr>
        <w:t>项）</w:t>
      </w:r>
    </w:p>
    <w:p w14:paraId="1372E99D">
      <w:pPr>
        <w:rPr>
          <w:color w:val="auto"/>
          <w:highlight w:val="none"/>
        </w:rPr>
      </w:pPr>
    </w:p>
    <w:p w14:paraId="3A78F2EB">
      <w:pPr>
        <w:pStyle w:val="9"/>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4D0BF4C4">
      <w:pPr>
        <w:pStyle w:val="9"/>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5EB9E369">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C5615AE">
      <w:pPr>
        <w:pStyle w:val="9"/>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2D8A6238">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0E6C60D">
      <w:pPr>
        <w:pStyle w:val="9"/>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048B40C">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202FE33D">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82D5B72">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F1A1EC6">
      <w:pPr>
        <w:pStyle w:val="9"/>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81B5D29">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6CD1AF74">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4344F2DF">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726270F">
      <w:pPr>
        <w:pStyle w:val="9"/>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1DB54052">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D714369">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0D33E0C6">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1A42C64D">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0EBE3E8F">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372AB79">
      <w:pPr>
        <w:pStyle w:val="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51290B49">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2EA2D08E">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372793AE">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0459479E">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701D1DDC">
      <w:pPr>
        <w:pStyle w:val="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80F7A3C">
      <w:pPr>
        <w:pStyle w:val="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74D10644">
      <w:pPr>
        <w:pStyle w:val="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11EA60EF">
      <w:pPr>
        <w:pStyle w:val="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795589C">
      <w:pPr>
        <w:pStyle w:val="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77543D1">
      <w:pPr>
        <w:pStyle w:val="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18B79F64">
      <w:pPr>
        <w:pStyle w:val="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576A7979">
      <w:pPr>
        <w:pStyle w:val="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2AC2EF00">
      <w:pPr>
        <w:pStyle w:val="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135796E3">
      <w:pPr>
        <w:pStyle w:val="9"/>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2444BAC">
      <w:pPr>
        <w:rPr>
          <w:color w:val="auto"/>
          <w:highlight w:val="none"/>
        </w:rPr>
      </w:pPr>
    </w:p>
    <w:p w14:paraId="3117CAB8">
      <w:pPr>
        <w:rPr>
          <w:color w:val="auto"/>
          <w:highlight w:val="none"/>
        </w:rPr>
      </w:pPr>
    </w:p>
    <w:p w14:paraId="78C8C863">
      <w:pPr>
        <w:pStyle w:val="9"/>
        <w:spacing w:beforeAutospacing="0" w:afterAutospacing="0"/>
        <w:jc w:val="center"/>
        <w:rPr>
          <w:color w:val="auto"/>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魏碑_GBK">
    <w:altName w:val="宋体"/>
    <w:panose1 w:val="02000000000000000000"/>
    <w:charset w:val="86"/>
    <w:family w:val="script"/>
    <w:pitch w:val="default"/>
    <w:sig w:usb0="00000000" w:usb1="00000000" w:usb2="00000000" w:usb3="00000000" w:csb0="00040000" w:csb1="00000000"/>
  </w:font>
  <w:font w:name="方正黑体_GBK">
    <w:altName w:val="微软雅黑"/>
    <w:panose1 w:val="02010600010101010101"/>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2000000000000000000"/>
    <w:charset w:val="86"/>
    <w:family w:val="script"/>
    <w:pitch w:val="default"/>
    <w:sig w:usb0="00000000" w:usb1="00000000"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EA9F3">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B981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EAB981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FB0421"/>
    <w:multiLevelType w:val="singleLevel"/>
    <w:tmpl w:val="BBFB0421"/>
    <w:lvl w:ilvl="0" w:tentative="0">
      <w:start w:val="2"/>
      <w:numFmt w:val="decimal"/>
      <w:lvlText w:val="%1."/>
      <w:lvlJc w:val="left"/>
      <w:pPr>
        <w:tabs>
          <w:tab w:val="left" w:pos="312"/>
        </w:tabs>
      </w:pPr>
    </w:lvl>
  </w:abstractNum>
  <w:abstractNum w:abstractNumId="1">
    <w:nsid w:val="F18C35C7"/>
    <w:multiLevelType w:val="singleLevel"/>
    <w:tmpl w:val="F18C35C7"/>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15C33"/>
    <w:rsid w:val="000519DB"/>
    <w:rsid w:val="00067949"/>
    <w:rsid w:val="000A2154"/>
    <w:rsid w:val="000B6058"/>
    <w:rsid w:val="001166AC"/>
    <w:rsid w:val="00172A27"/>
    <w:rsid w:val="0019571B"/>
    <w:rsid w:val="001D0B42"/>
    <w:rsid w:val="001F04E3"/>
    <w:rsid w:val="002173A0"/>
    <w:rsid w:val="002A4E99"/>
    <w:rsid w:val="003900C7"/>
    <w:rsid w:val="00447269"/>
    <w:rsid w:val="004529E6"/>
    <w:rsid w:val="00460BA9"/>
    <w:rsid w:val="00463848"/>
    <w:rsid w:val="004A0EF5"/>
    <w:rsid w:val="004C0AA7"/>
    <w:rsid w:val="004F36D8"/>
    <w:rsid w:val="005107E6"/>
    <w:rsid w:val="00545247"/>
    <w:rsid w:val="00591ACD"/>
    <w:rsid w:val="006014D4"/>
    <w:rsid w:val="0069065B"/>
    <w:rsid w:val="006F0739"/>
    <w:rsid w:val="00730BB5"/>
    <w:rsid w:val="00794A81"/>
    <w:rsid w:val="008A770C"/>
    <w:rsid w:val="00997378"/>
    <w:rsid w:val="009C1120"/>
    <w:rsid w:val="00A54D6F"/>
    <w:rsid w:val="00A937A2"/>
    <w:rsid w:val="00BD6304"/>
    <w:rsid w:val="00C80A8D"/>
    <w:rsid w:val="00CE7224"/>
    <w:rsid w:val="00D550E3"/>
    <w:rsid w:val="00D9577C"/>
    <w:rsid w:val="00EC2235"/>
    <w:rsid w:val="00EF7A69"/>
    <w:rsid w:val="00F24641"/>
    <w:rsid w:val="00F61032"/>
    <w:rsid w:val="00FD2179"/>
    <w:rsid w:val="00FE254C"/>
    <w:rsid w:val="014036E0"/>
    <w:rsid w:val="014D0B1B"/>
    <w:rsid w:val="015C3D17"/>
    <w:rsid w:val="027A75D8"/>
    <w:rsid w:val="02851591"/>
    <w:rsid w:val="02BD5381"/>
    <w:rsid w:val="02D505AD"/>
    <w:rsid w:val="02EC06FE"/>
    <w:rsid w:val="02F56D74"/>
    <w:rsid w:val="030E6D89"/>
    <w:rsid w:val="034E4AD1"/>
    <w:rsid w:val="037E0789"/>
    <w:rsid w:val="0415656A"/>
    <w:rsid w:val="041F054D"/>
    <w:rsid w:val="04CB5FDF"/>
    <w:rsid w:val="04CF1FA6"/>
    <w:rsid w:val="055FBF78"/>
    <w:rsid w:val="056E5657"/>
    <w:rsid w:val="062C42CE"/>
    <w:rsid w:val="067D77AC"/>
    <w:rsid w:val="068A6E34"/>
    <w:rsid w:val="07487DBA"/>
    <w:rsid w:val="07994E3B"/>
    <w:rsid w:val="07A02A3F"/>
    <w:rsid w:val="07A40F48"/>
    <w:rsid w:val="0854758E"/>
    <w:rsid w:val="08992D34"/>
    <w:rsid w:val="09132265"/>
    <w:rsid w:val="09412DB4"/>
    <w:rsid w:val="0A176CD8"/>
    <w:rsid w:val="0A7964DD"/>
    <w:rsid w:val="0AAC1C8D"/>
    <w:rsid w:val="0ABC363A"/>
    <w:rsid w:val="0AD8294B"/>
    <w:rsid w:val="0B4B3B00"/>
    <w:rsid w:val="0B751E66"/>
    <w:rsid w:val="0B8A23C1"/>
    <w:rsid w:val="0BAE3813"/>
    <w:rsid w:val="0C8353F1"/>
    <w:rsid w:val="0CA77AEE"/>
    <w:rsid w:val="0CB217A3"/>
    <w:rsid w:val="0D4D2FC1"/>
    <w:rsid w:val="0DD04666"/>
    <w:rsid w:val="0E0362D5"/>
    <w:rsid w:val="0E966A8C"/>
    <w:rsid w:val="0EDD224C"/>
    <w:rsid w:val="0EE61CD2"/>
    <w:rsid w:val="0F032819"/>
    <w:rsid w:val="0F570C13"/>
    <w:rsid w:val="0F6D24BC"/>
    <w:rsid w:val="0F7D537E"/>
    <w:rsid w:val="10007707"/>
    <w:rsid w:val="101B439F"/>
    <w:rsid w:val="10E50428"/>
    <w:rsid w:val="11AB711C"/>
    <w:rsid w:val="124675EC"/>
    <w:rsid w:val="124B075F"/>
    <w:rsid w:val="12F015A0"/>
    <w:rsid w:val="139513AE"/>
    <w:rsid w:val="13B93252"/>
    <w:rsid w:val="14477BA7"/>
    <w:rsid w:val="14BA7E1E"/>
    <w:rsid w:val="15F06BD1"/>
    <w:rsid w:val="15FB249C"/>
    <w:rsid w:val="169263C8"/>
    <w:rsid w:val="16A61788"/>
    <w:rsid w:val="16E86EC4"/>
    <w:rsid w:val="17666D47"/>
    <w:rsid w:val="177E4C81"/>
    <w:rsid w:val="18BC4109"/>
    <w:rsid w:val="18F564CE"/>
    <w:rsid w:val="193260E4"/>
    <w:rsid w:val="19835197"/>
    <w:rsid w:val="19C808E7"/>
    <w:rsid w:val="1A226249"/>
    <w:rsid w:val="1A4F2C83"/>
    <w:rsid w:val="1A736AA5"/>
    <w:rsid w:val="1AD2708F"/>
    <w:rsid w:val="1AD67034"/>
    <w:rsid w:val="1B3A35E0"/>
    <w:rsid w:val="1B5F5046"/>
    <w:rsid w:val="1B9509DF"/>
    <w:rsid w:val="1BA002D8"/>
    <w:rsid w:val="1C913B5A"/>
    <w:rsid w:val="1CAC4347"/>
    <w:rsid w:val="1D1C1092"/>
    <w:rsid w:val="1D605A5A"/>
    <w:rsid w:val="1D790876"/>
    <w:rsid w:val="1DFD1285"/>
    <w:rsid w:val="1E032835"/>
    <w:rsid w:val="1E262080"/>
    <w:rsid w:val="1E827BFE"/>
    <w:rsid w:val="1EC70509"/>
    <w:rsid w:val="1ED61CF8"/>
    <w:rsid w:val="1EE73F05"/>
    <w:rsid w:val="1F4A0271"/>
    <w:rsid w:val="1FC7762D"/>
    <w:rsid w:val="20733730"/>
    <w:rsid w:val="20A83FAF"/>
    <w:rsid w:val="20B44650"/>
    <w:rsid w:val="215025DE"/>
    <w:rsid w:val="21930E82"/>
    <w:rsid w:val="21A600A9"/>
    <w:rsid w:val="21CC717D"/>
    <w:rsid w:val="21F65475"/>
    <w:rsid w:val="22327245"/>
    <w:rsid w:val="22424AA4"/>
    <w:rsid w:val="228F6446"/>
    <w:rsid w:val="22AA14D2"/>
    <w:rsid w:val="22F62B8A"/>
    <w:rsid w:val="23254D08"/>
    <w:rsid w:val="23534E2B"/>
    <w:rsid w:val="242C02D7"/>
    <w:rsid w:val="24533DC2"/>
    <w:rsid w:val="24DF1DD4"/>
    <w:rsid w:val="24E23DF2"/>
    <w:rsid w:val="2532334D"/>
    <w:rsid w:val="254E4396"/>
    <w:rsid w:val="25B85CB3"/>
    <w:rsid w:val="26325A66"/>
    <w:rsid w:val="26750FF7"/>
    <w:rsid w:val="27194423"/>
    <w:rsid w:val="27290FC5"/>
    <w:rsid w:val="28EA2628"/>
    <w:rsid w:val="28FE41FC"/>
    <w:rsid w:val="29345C52"/>
    <w:rsid w:val="2996274E"/>
    <w:rsid w:val="2A4648B7"/>
    <w:rsid w:val="2A570191"/>
    <w:rsid w:val="2AF84819"/>
    <w:rsid w:val="2B005440"/>
    <w:rsid w:val="2B79158B"/>
    <w:rsid w:val="2C03574A"/>
    <w:rsid w:val="2C5A1872"/>
    <w:rsid w:val="2C7B3B05"/>
    <w:rsid w:val="2CC277F5"/>
    <w:rsid w:val="2D5E5D04"/>
    <w:rsid w:val="2DF950BB"/>
    <w:rsid w:val="2E5E7AF7"/>
    <w:rsid w:val="2EE73822"/>
    <w:rsid w:val="2F3C4E09"/>
    <w:rsid w:val="2F8A06C1"/>
    <w:rsid w:val="2FAD4FD9"/>
    <w:rsid w:val="2FB346FB"/>
    <w:rsid w:val="2FE1763D"/>
    <w:rsid w:val="2FFA5778"/>
    <w:rsid w:val="30431B66"/>
    <w:rsid w:val="30495C84"/>
    <w:rsid w:val="30650005"/>
    <w:rsid w:val="310333AD"/>
    <w:rsid w:val="311E41B8"/>
    <w:rsid w:val="31522189"/>
    <w:rsid w:val="329E6CD8"/>
    <w:rsid w:val="32D77AA0"/>
    <w:rsid w:val="32FF4F22"/>
    <w:rsid w:val="33440753"/>
    <w:rsid w:val="33773E42"/>
    <w:rsid w:val="33803197"/>
    <w:rsid w:val="34E14EA2"/>
    <w:rsid w:val="34E346A0"/>
    <w:rsid w:val="359B1151"/>
    <w:rsid w:val="35AD49A2"/>
    <w:rsid w:val="35EF74CF"/>
    <w:rsid w:val="36172BC3"/>
    <w:rsid w:val="36BE6EA2"/>
    <w:rsid w:val="36CA3005"/>
    <w:rsid w:val="36CC7C95"/>
    <w:rsid w:val="36EB650A"/>
    <w:rsid w:val="372F1B4E"/>
    <w:rsid w:val="375515B4"/>
    <w:rsid w:val="378133A9"/>
    <w:rsid w:val="37F43104"/>
    <w:rsid w:val="3819336A"/>
    <w:rsid w:val="383A233E"/>
    <w:rsid w:val="39101F1B"/>
    <w:rsid w:val="392D7EB3"/>
    <w:rsid w:val="39700927"/>
    <w:rsid w:val="39720FC7"/>
    <w:rsid w:val="39822409"/>
    <w:rsid w:val="39CD52E9"/>
    <w:rsid w:val="3A64388F"/>
    <w:rsid w:val="3A922B1F"/>
    <w:rsid w:val="3ABB2462"/>
    <w:rsid w:val="3B0B043D"/>
    <w:rsid w:val="3BB645EB"/>
    <w:rsid w:val="3BD553B9"/>
    <w:rsid w:val="3BDF2457"/>
    <w:rsid w:val="3D23372C"/>
    <w:rsid w:val="3D616D60"/>
    <w:rsid w:val="3D89645B"/>
    <w:rsid w:val="3D9D17E7"/>
    <w:rsid w:val="3DF80C94"/>
    <w:rsid w:val="3E064F5A"/>
    <w:rsid w:val="3E161B6B"/>
    <w:rsid w:val="3E331E8D"/>
    <w:rsid w:val="3E7F5998"/>
    <w:rsid w:val="3EC139D3"/>
    <w:rsid w:val="3F0056DB"/>
    <w:rsid w:val="3F114C00"/>
    <w:rsid w:val="3F13296C"/>
    <w:rsid w:val="3F1A3023"/>
    <w:rsid w:val="3F243A9D"/>
    <w:rsid w:val="40350295"/>
    <w:rsid w:val="40514D88"/>
    <w:rsid w:val="4058639A"/>
    <w:rsid w:val="406E1D8D"/>
    <w:rsid w:val="412B706D"/>
    <w:rsid w:val="41701C29"/>
    <w:rsid w:val="42053C57"/>
    <w:rsid w:val="42214BD9"/>
    <w:rsid w:val="42324DFA"/>
    <w:rsid w:val="42341041"/>
    <w:rsid w:val="426D634C"/>
    <w:rsid w:val="42BF022A"/>
    <w:rsid w:val="431353F3"/>
    <w:rsid w:val="43230A76"/>
    <w:rsid w:val="43455446"/>
    <w:rsid w:val="43A35D9D"/>
    <w:rsid w:val="4469669F"/>
    <w:rsid w:val="44DA072F"/>
    <w:rsid w:val="454D0F8E"/>
    <w:rsid w:val="457E43CC"/>
    <w:rsid w:val="45FC0A54"/>
    <w:rsid w:val="461D469A"/>
    <w:rsid w:val="466976E6"/>
    <w:rsid w:val="46EA0CE7"/>
    <w:rsid w:val="46F320F9"/>
    <w:rsid w:val="470D4256"/>
    <w:rsid w:val="470E352E"/>
    <w:rsid w:val="472208AE"/>
    <w:rsid w:val="47704C41"/>
    <w:rsid w:val="47AA594C"/>
    <w:rsid w:val="47B925F3"/>
    <w:rsid w:val="48910AEC"/>
    <w:rsid w:val="48934632"/>
    <w:rsid w:val="48B3170D"/>
    <w:rsid w:val="48B453AA"/>
    <w:rsid w:val="48FD5F50"/>
    <w:rsid w:val="49324B26"/>
    <w:rsid w:val="493C7DE9"/>
    <w:rsid w:val="4A1E13B4"/>
    <w:rsid w:val="4A2C49B0"/>
    <w:rsid w:val="4A7D1B0F"/>
    <w:rsid w:val="4AAC50D1"/>
    <w:rsid w:val="4ADF76BB"/>
    <w:rsid w:val="4BE05239"/>
    <w:rsid w:val="4C5A2B74"/>
    <w:rsid w:val="4D0C050F"/>
    <w:rsid w:val="4D2D20D9"/>
    <w:rsid w:val="4D93478D"/>
    <w:rsid w:val="4DA074F7"/>
    <w:rsid w:val="4DA33F07"/>
    <w:rsid w:val="4DDE52C0"/>
    <w:rsid w:val="4F027E1C"/>
    <w:rsid w:val="4F0A0A7E"/>
    <w:rsid w:val="4F4819AE"/>
    <w:rsid w:val="50100AB3"/>
    <w:rsid w:val="50A1397F"/>
    <w:rsid w:val="50FF5140"/>
    <w:rsid w:val="51085EB3"/>
    <w:rsid w:val="51C75DFE"/>
    <w:rsid w:val="51D4384D"/>
    <w:rsid w:val="52741FCB"/>
    <w:rsid w:val="52BC7724"/>
    <w:rsid w:val="52D06B10"/>
    <w:rsid w:val="52E86D5F"/>
    <w:rsid w:val="52F842BF"/>
    <w:rsid w:val="53536515"/>
    <w:rsid w:val="536B21BA"/>
    <w:rsid w:val="53A862CC"/>
    <w:rsid w:val="542A0FDA"/>
    <w:rsid w:val="543640C4"/>
    <w:rsid w:val="54ED53D0"/>
    <w:rsid w:val="54F161CB"/>
    <w:rsid w:val="55091CCC"/>
    <w:rsid w:val="55A4687E"/>
    <w:rsid w:val="561548D9"/>
    <w:rsid w:val="56307253"/>
    <w:rsid w:val="56453199"/>
    <w:rsid w:val="56B45E9F"/>
    <w:rsid w:val="571B6F4E"/>
    <w:rsid w:val="577C44E3"/>
    <w:rsid w:val="582F6DAB"/>
    <w:rsid w:val="58AD45AF"/>
    <w:rsid w:val="58D4718C"/>
    <w:rsid w:val="593F3A1A"/>
    <w:rsid w:val="5955110A"/>
    <w:rsid w:val="59822DE6"/>
    <w:rsid w:val="59A82CA5"/>
    <w:rsid w:val="59D6599A"/>
    <w:rsid w:val="5AD536B4"/>
    <w:rsid w:val="5AEA4CCC"/>
    <w:rsid w:val="5B031B11"/>
    <w:rsid w:val="5B084A0C"/>
    <w:rsid w:val="5B461090"/>
    <w:rsid w:val="5B96574B"/>
    <w:rsid w:val="5BA65FD3"/>
    <w:rsid w:val="5C5A652B"/>
    <w:rsid w:val="5CD56B70"/>
    <w:rsid w:val="5CFD4F5D"/>
    <w:rsid w:val="5D777C27"/>
    <w:rsid w:val="5DD1318C"/>
    <w:rsid w:val="5DE138D8"/>
    <w:rsid w:val="5DF63241"/>
    <w:rsid w:val="5E1921ED"/>
    <w:rsid w:val="5E2F405E"/>
    <w:rsid w:val="5EB153BA"/>
    <w:rsid w:val="5EDC2437"/>
    <w:rsid w:val="5F7D5E8E"/>
    <w:rsid w:val="5F7F522A"/>
    <w:rsid w:val="5FC67A7F"/>
    <w:rsid w:val="60107EBF"/>
    <w:rsid w:val="601337BB"/>
    <w:rsid w:val="603D1BCE"/>
    <w:rsid w:val="616B3D62"/>
    <w:rsid w:val="618F13C5"/>
    <w:rsid w:val="61DD46AC"/>
    <w:rsid w:val="62A87E16"/>
    <w:rsid w:val="62CA561A"/>
    <w:rsid w:val="6313315F"/>
    <w:rsid w:val="63CD6C1F"/>
    <w:rsid w:val="64A56430"/>
    <w:rsid w:val="65B6037E"/>
    <w:rsid w:val="65BB2793"/>
    <w:rsid w:val="65E75C0B"/>
    <w:rsid w:val="667027CF"/>
    <w:rsid w:val="6688694C"/>
    <w:rsid w:val="67530DBD"/>
    <w:rsid w:val="67673354"/>
    <w:rsid w:val="67A7444D"/>
    <w:rsid w:val="68245589"/>
    <w:rsid w:val="68777DD2"/>
    <w:rsid w:val="69796AD5"/>
    <w:rsid w:val="69983CE0"/>
    <w:rsid w:val="6A1C1694"/>
    <w:rsid w:val="6A751DB0"/>
    <w:rsid w:val="6AB95533"/>
    <w:rsid w:val="6B037E0E"/>
    <w:rsid w:val="6B1B6095"/>
    <w:rsid w:val="6BDE41BB"/>
    <w:rsid w:val="6C5462A8"/>
    <w:rsid w:val="6C917FD7"/>
    <w:rsid w:val="6D043AA1"/>
    <w:rsid w:val="6D2C27DC"/>
    <w:rsid w:val="6EB02F99"/>
    <w:rsid w:val="6EBD6FDF"/>
    <w:rsid w:val="6EBF4F8A"/>
    <w:rsid w:val="6EC42E1A"/>
    <w:rsid w:val="6EF03395"/>
    <w:rsid w:val="6EF94940"/>
    <w:rsid w:val="6F360BCB"/>
    <w:rsid w:val="6F9D63F0"/>
    <w:rsid w:val="6FEC1DAE"/>
    <w:rsid w:val="70A772A4"/>
    <w:rsid w:val="71BB7860"/>
    <w:rsid w:val="71DF713A"/>
    <w:rsid w:val="71FD38B1"/>
    <w:rsid w:val="72440385"/>
    <w:rsid w:val="727F2F91"/>
    <w:rsid w:val="736E54E1"/>
    <w:rsid w:val="73761484"/>
    <w:rsid w:val="73BA5622"/>
    <w:rsid w:val="742F670E"/>
    <w:rsid w:val="743F3C99"/>
    <w:rsid w:val="74835482"/>
    <w:rsid w:val="74877DC7"/>
    <w:rsid w:val="75610B49"/>
    <w:rsid w:val="75890D8F"/>
    <w:rsid w:val="75B043EA"/>
    <w:rsid w:val="761813E4"/>
    <w:rsid w:val="767B0330"/>
    <w:rsid w:val="76D90F68"/>
    <w:rsid w:val="773724A9"/>
    <w:rsid w:val="7769462C"/>
    <w:rsid w:val="77C1540B"/>
    <w:rsid w:val="77FC1908"/>
    <w:rsid w:val="783E7320"/>
    <w:rsid w:val="78CB19C0"/>
    <w:rsid w:val="78F35EFE"/>
    <w:rsid w:val="78FF5669"/>
    <w:rsid w:val="790E3D7D"/>
    <w:rsid w:val="793275BA"/>
    <w:rsid w:val="793C7C90"/>
    <w:rsid w:val="79A724F1"/>
    <w:rsid w:val="79D42883"/>
    <w:rsid w:val="7A083FAF"/>
    <w:rsid w:val="7A4B7878"/>
    <w:rsid w:val="7A637111"/>
    <w:rsid w:val="7A6D100D"/>
    <w:rsid w:val="7ABE2599"/>
    <w:rsid w:val="7B02692A"/>
    <w:rsid w:val="7B232E76"/>
    <w:rsid w:val="7B723688"/>
    <w:rsid w:val="7BF32209"/>
    <w:rsid w:val="7BF705DC"/>
    <w:rsid w:val="7C56760C"/>
    <w:rsid w:val="7C5F16F8"/>
    <w:rsid w:val="7C9D3E10"/>
    <w:rsid w:val="7CAF2E48"/>
    <w:rsid w:val="7CB122FF"/>
    <w:rsid w:val="7D2A47D7"/>
    <w:rsid w:val="7D761851"/>
    <w:rsid w:val="7D913F95"/>
    <w:rsid w:val="7D9F4904"/>
    <w:rsid w:val="7DBA67DE"/>
    <w:rsid w:val="7DD02D0F"/>
    <w:rsid w:val="7DF53ACA"/>
    <w:rsid w:val="7E134AB1"/>
    <w:rsid w:val="7E696CC0"/>
    <w:rsid w:val="7E953F59"/>
    <w:rsid w:val="7EC770F4"/>
    <w:rsid w:val="7F0E4C61"/>
    <w:rsid w:val="7F7B2C50"/>
    <w:rsid w:val="7F7F4C0B"/>
    <w:rsid w:val="7FE9455C"/>
    <w:rsid w:val="B969BEF0"/>
    <w:rsid w:val="BCFD5217"/>
    <w:rsid w:val="BED58586"/>
    <w:rsid w:val="BFFCF5D5"/>
    <w:rsid w:val="CB9B285E"/>
    <w:rsid w:val="CEDB79AC"/>
    <w:rsid w:val="D7FC8D1E"/>
    <w:rsid w:val="DFBF9A65"/>
    <w:rsid w:val="F7DFB507"/>
    <w:rsid w:val="FFDFD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adjustRightInd w:val="0"/>
      <w:ind w:firstLine="420"/>
      <w:jc w:val="left"/>
      <w:textAlignment w:val="baseline"/>
    </w:pPr>
    <w:rPr>
      <w:sz w:val="24"/>
    </w:rPr>
  </w:style>
  <w:style w:type="paragraph" w:styleId="4">
    <w:name w:val="annotation text"/>
    <w:basedOn w:val="1"/>
    <w:qFormat/>
    <w:uiPriority w:val="0"/>
    <w:pPr>
      <w:jc w:val="left"/>
    </w:pPr>
  </w:style>
  <w:style w:type="paragraph" w:styleId="5">
    <w:name w:val="Body Text Indent"/>
    <w:basedOn w:val="1"/>
    <w:next w:val="6"/>
    <w:qFormat/>
    <w:uiPriority w:val="99"/>
    <w:pPr>
      <w:ind w:firstLine="645"/>
    </w:pPr>
    <w:rPr>
      <w:rFonts w:ascii="楷体_GB2312" w:eastAsia="楷体_GB2312"/>
      <w:kern w:val="0"/>
      <w:sz w:val="32"/>
      <w:szCs w:val="32"/>
    </w:rPr>
  </w:style>
  <w:style w:type="paragraph" w:styleId="6">
    <w:name w:val="envelope return"/>
    <w:basedOn w:val="1"/>
    <w:qFormat/>
    <w:uiPriority w:val="0"/>
    <w:pPr>
      <w:snapToGrid w:val="0"/>
    </w:pPr>
    <w:rPr>
      <w:rFonts w:ascii="Arial" w:hAnsi="Arial"/>
    </w:rPr>
  </w:style>
  <w:style w:type="paragraph" w:styleId="7">
    <w:name w:val="footer"/>
    <w:basedOn w:val="1"/>
    <w:link w:val="15"/>
    <w:autoRedefine/>
    <w:qFormat/>
    <w:uiPriority w:val="0"/>
    <w:pPr>
      <w:tabs>
        <w:tab w:val="center" w:pos="4153"/>
        <w:tab w:val="right" w:pos="8306"/>
      </w:tabs>
      <w:snapToGrid w:val="0"/>
      <w:jc w:val="left"/>
    </w:pPr>
    <w:rPr>
      <w:sz w:val="18"/>
      <w:szCs w:val="18"/>
    </w:rPr>
  </w:style>
  <w:style w:type="paragraph" w:styleId="8">
    <w:name w:val="header"/>
    <w:basedOn w:val="1"/>
    <w:link w:val="14"/>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autoRedefine/>
    <w:qFormat/>
    <w:uiPriority w:val="0"/>
    <w:pPr>
      <w:spacing w:beforeAutospacing="1" w:afterAutospacing="1"/>
      <w:jc w:val="left"/>
    </w:pPr>
    <w:rPr>
      <w:rFonts w:cs="Times New Roman"/>
      <w:kern w:val="0"/>
      <w:sz w:val="24"/>
    </w:rPr>
  </w:style>
  <w:style w:type="paragraph" w:styleId="10">
    <w:name w:val="Body Text First Indent 2"/>
    <w:basedOn w:val="5"/>
    <w:next w:val="1"/>
    <w:qFormat/>
    <w:uiPriority w:val="99"/>
    <w:pPr>
      <w:spacing w:line="360" w:lineRule="auto"/>
      <w:ind w:firstLine="420" w:firstLineChars="200"/>
    </w:pPr>
    <w:rPr>
      <w:rFonts w:ascii="宋体" w:hAnsi="宋体" w:eastAsia="宋体"/>
      <w:sz w:val="20"/>
      <w:szCs w:val="20"/>
    </w:rPr>
  </w:style>
  <w:style w:type="character" w:styleId="13">
    <w:name w:val="annotation reference"/>
    <w:basedOn w:val="12"/>
    <w:qFormat/>
    <w:uiPriority w:val="0"/>
    <w:rPr>
      <w:sz w:val="21"/>
      <w:szCs w:val="21"/>
    </w:rPr>
  </w:style>
  <w:style w:type="character" w:customStyle="1" w:styleId="14">
    <w:name w:val="页眉 字符"/>
    <w:basedOn w:val="12"/>
    <w:link w:val="8"/>
    <w:autoRedefine/>
    <w:qFormat/>
    <w:uiPriority w:val="0"/>
    <w:rPr>
      <w:rFonts w:asciiTheme="minorHAnsi" w:hAnsiTheme="minorHAnsi" w:eastAsiaTheme="minorEastAsia" w:cstheme="minorBidi"/>
      <w:kern w:val="2"/>
      <w:sz w:val="18"/>
      <w:szCs w:val="18"/>
    </w:rPr>
  </w:style>
  <w:style w:type="character" w:customStyle="1" w:styleId="15">
    <w:name w:val="页脚 字符"/>
    <w:basedOn w:val="12"/>
    <w:link w:val="7"/>
    <w:autoRedefine/>
    <w:qFormat/>
    <w:uiPriority w:val="0"/>
    <w:rPr>
      <w:rFonts w:asciiTheme="minorHAnsi" w:hAnsiTheme="minorHAnsi" w:eastAsiaTheme="minorEastAsia" w:cstheme="minorBidi"/>
      <w:kern w:val="2"/>
      <w:sz w:val="18"/>
      <w:szCs w:val="18"/>
    </w:rPr>
  </w:style>
  <w:style w:type="paragraph" w:customStyle="1" w:styleId="16">
    <w:name w:val="正文首行缩进 21"/>
    <w:basedOn w:val="17"/>
    <w:next w:val="1"/>
    <w:qFormat/>
    <w:uiPriority w:val="0"/>
    <w:pPr>
      <w:ind w:firstLine="420"/>
    </w:pPr>
  </w:style>
  <w:style w:type="paragraph" w:customStyle="1" w:styleId="17">
    <w:name w:val="正文文本缩进1"/>
    <w:basedOn w:val="1"/>
    <w:next w:val="18"/>
    <w:qFormat/>
    <w:uiPriority w:val="0"/>
    <w:pPr>
      <w:spacing w:after="120"/>
      <w:ind w:left="420"/>
    </w:pPr>
  </w:style>
  <w:style w:type="paragraph" w:customStyle="1" w:styleId="18">
    <w:name w:val="寄信人地址1"/>
    <w:basedOn w:val="1"/>
    <w:qFormat/>
    <w:uiPriority w:val="0"/>
    <w:rPr>
      <w:rFonts w:ascii="Arial" w:hAnsi="Arial"/>
    </w:rPr>
  </w:style>
  <w:style w:type="paragraph" w:customStyle="1" w:styleId="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0">
    <w:name w:val="p17"/>
    <w:basedOn w:val="1"/>
    <w:qFormat/>
    <w:uiPriority w:val="0"/>
    <w:pPr>
      <w:widowControl/>
      <w:spacing w:before="100" w:beforeAutospacing="1" w:after="100" w:afterAutospacing="1"/>
      <w:jc w:val="left"/>
    </w:pPr>
    <w:rPr>
      <w:rFonts w:ascii="宋体" w:hAnsi="宋体" w:cs="宋体"/>
      <w:kern w:val="0"/>
      <w:sz w:val="24"/>
    </w:rPr>
  </w:style>
  <w:style w:type="paragraph" w:customStyle="1" w:styleId="21">
    <w:name w:val="标题 31"/>
    <w:basedOn w:val="1"/>
    <w:next w:val="22"/>
    <w:qFormat/>
    <w:uiPriority w:val="0"/>
    <w:pPr>
      <w:keepNext/>
      <w:keepLines/>
      <w:spacing w:before="260" w:after="260" w:line="416" w:lineRule="auto"/>
      <w:outlineLvl w:val="2"/>
    </w:pPr>
    <w:rPr>
      <w:b/>
      <w:bCs/>
      <w:sz w:val="32"/>
      <w:szCs w:val="32"/>
    </w:rPr>
  </w:style>
  <w:style w:type="paragraph" w:customStyle="1" w:styleId="22">
    <w:name w:val="正文缩进1"/>
    <w:basedOn w:val="1"/>
    <w:qFormat/>
    <w:uiPriority w:val="0"/>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49</Pages>
  <Words>19798</Words>
  <Characters>21160</Characters>
  <Lines>870</Lines>
  <Paragraphs>717</Paragraphs>
  <TotalTime>63</TotalTime>
  <ScaleCrop>false</ScaleCrop>
  <LinksUpToDate>false</LinksUpToDate>
  <CharactersWithSpaces>21623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2026-05-09T14:56:00Z</dcterms:created>
  <dc:creator>正式环境陈艳测试账号</dc:creator>
  <cp:lastModifiedBy>天下第一勤</cp:lastModifiedBy>
  <cp:lastPrinted>2026-06-04T08:22:00Z</cp:lastPrinted>
  <dcterms:modified xsi:type="dcterms:W3CDTF">2026-06-12T06:06:05Z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7C08DE64E46D4505B21608E1B9DF6513_13</vt:lpwstr>
  </property>
  <property fmtid="{D5CDD505-2E9C-101B-9397-08002B2CF9AE}" pid="4" name="KSOTemplateDocerSaveRecord">
    <vt:lpwstr>eyJoZGlkIjoiNWIzMzJmY2QwYzMyZDExN2UyOGMwYTRhODI3YmVkZjkiLCJ1c2VySWQiOiI0MDkwMDUyMDAifQ==</vt:lpwstr>
  </property>
</Properties>
</file>