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522D89">
      <w:pPr>
        <w:pStyle w:val="240"/>
        <w:tabs>
          <w:tab w:val="left" w:pos="7642"/>
        </w:tabs>
        <w:ind w:firstLine="0"/>
        <w:rPr>
          <w:rFonts w:hint="eastAsia" w:asciiTheme="minorEastAsia" w:hAnsiTheme="minorEastAsia" w:eastAsiaTheme="minorEastAsia" w:cstheme="minorEastAsia"/>
          <w:b/>
          <w:color w:val="auto"/>
          <w:sz w:val="52"/>
          <w:szCs w:val="52"/>
          <w:highlight w:val="none"/>
        </w:rPr>
      </w:pPr>
    </w:p>
    <w:p w14:paraId="5D99FD59">
      <w:pPr>
        <w:pStyle w:val="240"/>
        <w:tabs>
          <w:tab w:val="left" w:pos="7642"/>
        </w:tabs>
        <w:ind w:firstLine="0"/>
        <w:rPr>
          <w:rFonts w:hint="eastAsia" w:asciiTheme="minorEastAsia" w:hAnsiTheme="minorEastAsia" w:eastAsiaTheme="minorEastAsia" w:cstheme="minorEastAsia"/>
          <w:b/>
          <w:color w:val="auto"/>
          <w:sz w:val="52"/>
          <w:szCs w:val="52"/>
          <w:highlight w:val="none"/>
        </w:rPr>
      </w:pPr>
    </w:p>
    <w:p w14:paraId="4FC3E85C">
      <w:pPr>
        <w:jc w:val="center"/>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t>招 标 文 件</w:t>
      </w:r>
    </w:p>
    <w:p w14:paraId="1C05C233">
      <w:pPr>
        <w:pStyle w:val="240"/>
        <w:ind w:firstLine="0"/>
        <w:rPr>
          <w:rFonts w:hint="eastAsia" w:asciiTheme="minorEastAsia" w:hAnsiTheme="minorEastAsia" w:eastAsiaTheme="minorEastAsia" w:cstheme="minorEastAsia"/>
          <w:b/>
          <w:bCs/>
          <w:color w:val="auto"/>
          <w:sz w:val="32"/>
          <w:szCs w:val="32"/>
          <w:highlight w:val="none"/>
        </w:rPr>
      </w:pPr>
    </w:p>
    <w:p w14:paraId="7D6008B9">
      <w:pPr>
        <w:pStyle w:val="240"/>
        <w:ind w:firstLine="0"/>
        <w:rPr>
          <w:rFonts w:hint="eastAsia" w:asciiTheme="minorEastAsia" w:hAnsiTheme="minorEastAsia" w:eastAsiaTheme="minorEastAsia" w:cstheme="minorEastAsia"/>
          <w:b/>
          <w:bCs/>
          <w:color w:val="auto"/>
          <w:sz w:val="32"/>
          <w:szCs w:val="32"/>
          <w:highlight w:val="none"/>
        </w:rPr>
      </w:pPr>
    </w:p>
    <w:p w14:paraId="41F60594">
      <w:pPr>
        <w:pStyle w:val="240"/>
        <w:ind w:firstLine="0"/>
        <w:rPr>
          <w:rFonts w:hint="eastAsia" w:asciiTheme="minorEastAsia" w:hAnsiTheme="minorEastAsia" w:eastAsiaTheme="minorEastAsia" w:cstheme="minorEastAsia"/>
          <w:b/>
          <w:bCs/>
          <w:color w:val="auto"/>
          <w:sz w:val="32"/>
          <w:szCs w:val="32"/>
          <w:highlight w:val="none"/>
        </w:rPr>
      </w:pPr>
    </w:p>
    <w:p w14:paraId="4D2FD347">
      <w:pPr>
        <w:pStyle w:val="240"/>
        <w:ind w:firstLine="0"/>
        <w:rPr>
          <w:rFonts w:hint="eastAsia" w:asciiTheme="minorEastAsia" w:hAnsiTheme="minorEastAsia" w:eastAsiaTheme="minorEastAsia" w:cstheme="minorEastAsia"/>
          <w:b/>
          <w:bCs/>
          <w:color w:val="auto"/>
          <w:sz w:val="32"/>
          <w:szCs w:val="32"/>
          <w:highlight w:val="none"/>
        </w:rPr>
      </w:pPr>
    </w:p>
    <w:p w14:paraId="12E6A139">
      <w:pPr>
        <w:rPr>
          <w:rFonts w:hint="eastAsia" w:asciiTheme="minorEastAsia" w:hAnsiTheme="minorEastAsia" w:eastAsiaTheme="minorEastAsia" w:cstheme="minorEastAsia"/>
          <w:b/>
          <w:color w:val="auto"/>
          <w:sz w:val="36"/>
          <w:highlight w:val="none"/>
        </w:rPr>
      </w:pPr>
    </w:p>
    <w:p w14:paraId="68CC2A24">
      <w:pPr>
        <w:ind w:firstLine="2168"/>
        <w:rPr>
          <w:rFonts w:hint="eastAsia" w:asciiTheme="minorEastAsia" w:hAnsiTheme="minorEastAsia" w:eastAsiaTheme="minorEastAsia" w:cstheme="minorEastAsia"/>
          <w:b/>
          <w:color w:val="auto"/>
          <w:sz w:val="36"/>
          <w:highlight w:val="none"/>
        </w:rPr>
      </w:pPr>
    </w:p>
    <w:p w14:paraId="67AB53A4">
      <w:pPr>
        <w:ind w:firstLine="1084" w:firstLineChars="300"/>
        <w:rPr>
          <w:rFonts w:hint="eastAsia" w:asciiTheme="minorEastAsia" w:hAnsiTheme="minorEastAsia" w:eastAsiaTheme="minorEastAsia" w:cstheme="minorEastAsia"/>
          <w:b/>
          <w:color w:val="auto"/>
          <w:sz w:val="36"/>
          <w:highlight w:val="none"/>
          <w:lang w:eastAsia="zh-CN"/>
        </w:rPr>
      </w:pPr>
      <w:r>
        <w:rPr>
          <w:rFonts w:hint="eastAsia" w:asciiTheme="minorEastAsia" w:hAnsiTheme="minorEastAsia" w:eastAsiaTheme="minorEastAsia" w:cstheme="minorEastAsia"/>
          <w:b/>
          <w:color w:val="auto"/>
          <w:sz w:val="36"/>
          <w:highlight w:val="none"/>
        </w:rPr>
        <w:t>项目名称：</w:t>
      </w:r>
      <w:r>
        <w:rPr>
          <w:rFonts w:hint="eastAsia" w:asciiTheme="minorEastAsia" w:hAnsiTheme="minorEastAsia" w:eastAsiaTheme="minorEastAsia" w:cstheme="minorEastAsia"/>
          <w:b/>
          <w:color w:val="auto"/>
          <w:sz w:val="36"/>
          <w:highlight w:val="none"/>
          <w:lang w:eastAsia="zh-CN"/>
        </w:rPr>
        <w:t>滨海港直连工程规划研究项目</w:t>
      </w:r>
    </w:p>
    <w:p w14:paraId="0643D953">
      <w:pPr>
        <w:pStyle w:val="240"/>
        <w:ind w:firstLine="1084" w:firstLineChars="300"/>
        <w:jc w:val="both"/>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color w:val="auto"/>
          <w:sz w:val="36"/>
          <w:highlight w:val="none"/>
        </w:rPr>
        <w:t>项目编号：JSZC-320900-RHHH-G2026-0018</w:t>
      </w:r>
    </w:p>
    <w:p w14:paraId="67133EFA">
      <w:pPr>
        <w:pStyle w:val="240"/>
        <w:ind w:firstLine="0"/>
        <w:jc w:val="center"/>
        <w:rPr>
          <w:rFonts w:hint="eastAsia" w:asciiTheme="minorEastAsia" w:hAnsiTheme="minorEastAsia" w:eastAsiaTheme="minorEastAsia" w:cstheme="minorEastAsia"/>
          <w:b/>
          <w:bCs/>
          <w:color w:val="auto"/>
          <w:sz w:val="32"/>
          <w:highlight w:val="none"/>
        </w:rPr>
      </w:pPr>
    </w:p>
    <w:p w14:paraId="55C1E44A">
      <w:pPr>
        <w:pStyle w:val="240"/>
        <w:ind w:firstLine="0"/>
        <w:rPr>
          <w:rFonts w:hint="eastAsia" w:asciiTheme="minorEastAsia" w:hAnsiTheme="minorEastAsia" w:eastAsiaTheme="minorEastAsia" w:cstheme="minorEastAsia"/>
          <w:b/>
          <w:bCs/>
          <w:color w:val="auto"/>
          <w:sz w:val="32"/>
          <w:highlight w:val="none"/>
        </w:rPr>
      </w:pPr>
    </w:p>
    <w:p w14:paraId="2E0B094A">
      <w:pPr>
        <w:pStyle w:val="240"/>
        <w:ind w:firstLine="0"/>
        <w:jc w:val="center"/>
        <w:rPr>
          <w:rFonts w:hint="eastAsia" w:asciiTheme="minorEastAsia" w:hAnsiTheme="minorEastAsia" w:eastAsiaTheme="minorEastAsia" w:cstheme="minorEastAsia"/>
          <w:b/>
          <w:bCs/>
          <w:color w:val="auto"/>
          <w:sz w:val="32"/>
          <w:highlight w:val="none"/>
          <w:lang w:eastAsia="zh-CN"/>
        </w:rPr>
      </w:pPr>
      <w:r>
        <w:rPr>
          <w:rFonts w:hint="eastAsia" w:asciiTheme="minorEastAsia" w:hAnsiTheme="minorEastAsia" w:eastAsiaTheme="minorEastAsia" w:cstheme="minorEastAsia"/>
          <w:b/>
          <w:bCs/>
          <w:color w:val="auto"/>
          <w:sz w:val="32"/>
          <w:highlight w:val="none"/>
          <w:lang w:eastAsia="zh-CN"/>
        </w:rPr>
        <w:t>盐城市港航事业发展中心</w:t>
      </w:r>
    </w:p>
    <w:p w14:paraId="5326C2E2">
      <w:pPr>
        <w:pStyle w:val="240"/>
        <w:ind w:firstLine="0"/>
        <w:jc w:val="center"/>
        <w:rPr>
          <w:rFonts w:hint="eastAsia" w:asciiTheme="minorEastAsia" w:hAnsiTheme="minorEastAsia" w:eastAsiaTheme="minorEastAsia" w:cstheme="minorEastAsia"/>
          <w:b/>
          <w:bCs/>
          <w:color w:val="auto"/>
          <w:sz w:val="32"/>
          <w:highlight w:val="none"/>
          <w:lang w:eastAsia="zh-CN"/>
        </w:rPr>
      </w:pPr>
      <w:r>
        <w:rPr>
          <w:rFonts w:hint="eastAsia" w:asciiTheme="minorEastAsia" w:hAnsiTheme="minorEastAsia" w:eastAsiaTheme="minorEastAsia" w:cstheme="minorEastAsia"/>
          <w:b/>
          <w:bCs/>
          <w:color w:val="auto"/>
          <w:sz w:val="32"/>
          <w:highlight w:val="none"/>
          <w:lang w:eastAsia="zh-CN"/>
        </w:rPr>
        <w:t>江苏仁禾中衡工程咨询房地产估价有限公司</w:t>
      </w:r>
    </w:p>
    <w:p w14:paraId="10FC0E9F">
      <w:pPr>
        <w:pStyle w:val="240"/>
        <w:ind w:firstLine="0"/>
        <w:jc w:val="center"/>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rPr>
        <w:t>202</w:t>
      </w:r>
      <w:r>
        <w:rPr>
          <w:rFonts w:hint="eastAsia" w:asciiTheme="minorEastAsia" w:hAnsiTheme="minorEastAsia" w:eastAsiaTheme="minorEastAsia" w:cstheme="minorEastAsia"/>
          <w:b/>
          <w:bCs/>
          <w:color w:val="auto"/>
          <w:sz w:val="32"/>
          <w:highlight w:val="none"/>
          <w:lang w:val="en-US" w:eastAsia="zh-CN"/>
        </w:rPr>
        <w:t>6</w:t>
      </w:r>
      <w:r>
        <w:rPr>
          <w:rFonts w:hint="eastAsia" w:asciiTheme="minorEastAsia" w:hAnsiTheme="minorEastAsia" w:eastAsiaTheme="minorEastAsia" w:cstheme="minorEastAsia"/>
          <w:b/>
          <w:bCs/>
          <w:color w:val="auto"/>
          <w:sz w:val="32"/>
          <w:highlight w:val="none"/>
        </w:rPr>
        <w:t>年</w:t>
      </w:r>
      <w:r>
        <w:rPr>
          <w:rFonts w:hint="eastAsia" w:asciiTheme="minorEastAsia" w:hAnsiTheme="minorEastAsia" w:eastAsiaTheme="minorEastAsia" w:cstheme="minorEastAsia"/>
          <w:b/>
          <w:bCs/>
          <w:color w:val="auto"/>
          <w:sz w:val="32"/>
          <w:highlight w:val="none"/>
          <w:lang w:val="en-US" w:eastAsia="zh-CN"/>
        </w:rPr>
        <w:t>3</w:t>
      </w:r>
      <w:r>
        <w:rPr>
          <w:rFonts w:hint="eastAsia" w:asciiTheme="minorEastAsia" w:hAnsiTheme="minorEastAsia" w:eastAsiaTheme="minorEastAsia" w:cstheme="minorEastAsia"/>
          <w:b/>
          <w:bCs/>
          <w:color w:val="auto"/>
          <w:sz w:val="32"/>
          <w:highlight w:val="none"/>
        </w:rPr>
        <w:t>月</w:t>
      </w:r>
    </w:p>
    <w:p w14:paraId="751F85B7">
      <w:pPr>
        <w:rPr>
          <w:rFonts w:hint="eastAsia" w:asciiTheme="minorEastAsia" w:hAnsiTheme="minorEastAsia" w:eastAsiaTheme="minorEastAsia" w:cstheme="minorEastAsia"/>
          <w:b/>
          <w:color w:val="auto"/>
          <w:sz w:val="44"/>
          <w:szCs w:val="21"/>
          <w:highlight w:val="none"/>
        </w:rPr>
      </w:pPr>
    </w:p>
    <w:p w14:paraId="3BCFB4B7">
      <w:pPr>
        <w:ind w:firstLine="3313"/>
        <w:rPr>
          <w:rFonts w:hint="eastAsia" w:asciiTheme="minorEastAsia" w:hAnsiTheme="minorEastAsia" w:eastAsiaTheme="minorEastAsia" w:cstheme="minorEastAsia"/>
          <w:b/>
          <w:color w:val="auto"/>
          <w:sz w:val="44"/>
          <w:szCs w:val="21"/>
          <w:highlight w:val="none"/>
        </w:rPr>
        <w:sectPr>
          <w:headerReference r:id="rId5" w:type="first"/>
          <w:footerReference r:id="rId7" w:type="first"/>
          <w:headerReference r:id="rId3" w:type="default"/>
          <w:headerReference r:id="rId4" w:type="even"/>
          <w:footerReference r:id="rId6" w:type="even"/>
          <w:pgSz w:w="11906" w:h="16838"/>
          <w:pgMar w:top="1417" w:right="1417" w:bottom="1417" w:left="1417" w:header="851" w:footer="907" w:gutter="0"/>
          <w:cols w:space="720" w:num="1"/>
          <w:docGrid w:linePitch="360" w:charSpace="0"/>
        </w:sectPr>
      </w:pPr>
    </w:p>
    <w:p w14:paraId="242FA39D">
      <w:pPr>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21"/>
          <w:highlight w:val="none"/>
        </w:rPr>
        <w:t>目 录</w:t>
      </w:r>
    </w:p>
    <w:sdt>
      <w:sdtPr>
        <w:rPr>
          <w:rFonts w:hint="eastAsia" w:asciiTheme="minorEastAsia" w:hAnsiTheme="minorEastAsia" w:eastAsiaTheme="minorEastAsia" w:cstheme="minorEastAsia"/>
          <w:color w:val="auto"/>
          <w:highlight w:val="none"/>
        </w:rPr>
        <w:id w:val="147459170"/>
        <w:docPartObj>
          <w:docPartGallery w:val="Table of Contents"/>
          <w:docPartUnique/>
        </w:docPartObj>
      </w:sdtPr>
      <w:sdtEndPr>
        <w:rPr>
          <w:rFonts w:hint="eastAsia" w:asciiTheme="minorEastAsia" w:hAnsiTheme="minorEastAsia" w:eastAsiaTheme="minorEastAsia" w:cstheme="minorEastAsia"/>
          <w:color w:val="auto"/>
          <w:highlight w:val="none"/>
        </w:rPr>
      </w:sdtEndPr>
      <w:sdtContent>
        <w:p w14:paraId="68EAF0B0">
          <w:pPr>
            <w:jc w:val="center"/>
            <w:rPr>
              <w:rFonts w:hint="eastAsia" w:asciiTheme="minorEastAsia" w:hAnsiTheme="minorEastAsia" w:eastAsiaTheme="minorEastAsia" w:cstheme="minorEastAsia"/>
              <w:color w:val="auto"/>
              <w:highlight w:val="none"/>
            </w:rPr>
          </w:pPr>
        </w:p>
        <w:p w14:paraId="3BD78CDB">
          <w:pPr>
            <w:pStyle w:val="32"/>
            <w:tabs>
              <w:tab w:val="right" w:leader="dot" w:pos="9451"/>
              <w:tab w:val="clear" w:pos="9440"/>
            </w:tabs>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fldChar w:fldCharType="begin"/>
          </w:r>
          <w:r>
            <w:rPr>
              <w:rFonts w:hint="eastAsia" w:asciiTheme="minorEastAsia" w:hAnsiTheme="minorEastAsia" w:eastAsiaTheme="minorEastAsia" w:cstheme="minorEastAsia"/>
              <w:color w:val="auto"/>
              <w:sz w:val="28"/>
              <w:highlight w:val="none"/>
            </w:rPr>
            <w:instrText xml:space="preserve">TOC \o "1-1" \h \u </w:instrText>
          </w:r>
          <w:r>
            <w:rPr>
              <w:rFonts w:hint="eastAsia" w:asciiTheme="minorEastAsia" w:hAnsiTheme="minorEastAsia" w:eastAsiaTheme="minorEastAsia" w:cstheme="minorEastAsia"/>
              <w:color w:val="auto"/>
              <w:sz w:val="28"/>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"_Toc29404"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sz w:val="28"/>
              <w:highlight w:val="none"/>
            </w:rPr>
            <w:t>招标公告</w:t>
          </w:r>
          <w:r>
            <w:rPr>
              <w:rFonts w:hint="eastAsia" w:asciiTheme="minorEastAsia" w:hAnsiTheme="minorEastAsia" w:eastAsiaTheme="minorEastAsia" w:cstheme="minorEastAsia"/>
              <w:color w:val="auto"/>
              <w:sz w:val="28"/>
              <w:highlight w:val="none"/>
            </w:rPr>
            <w:tab/>
          </w:r>
          <w:r>
            <w:rPr>
              <w:rFonts w:hint="eastAsia" w:asciiTheme="minorEastAsia" w:hAnsiTheme="minorEastAsia" w:eastAsiaTheme="minorEastAsia" w:cstheme="minorEastAsia"/>
              <w:color w:val="auto"/>
              <w:sz w:val="28"/>
              <w:highlight w:val="none"/>
            </w:rPr>
            <w:fldChar w:fldCharType="begin"/>
          </w:r>
          <w:r>
            <w:rPr>
              <w:rFonts w:hint="eastAsia" w:asciiTheme="minorEastAsia" w:hAnsiTheme="minorEastAsia" w:eastAsiaTheme="minorEastAsia" w:cstheme="minorEastAsia"/>
              <w:color w:val="auto"/>
              <w:sz w:val="28"/>
              <w:highlight w:val="none"/>
            </w:rPr>
            <w:instrText xml:space="preserve"> PAGEREF _Toc29404 \h </w:instrText>
          </w:r>
          <w:r>
            <w:rPr>
              <w:rFonts w:hint="eastAsia" w:asciiTheme="minorEastAsia" w:hAnsiTheme="minorEastAsia" w:eastAsiaTheme="minorEastAsia" w:cstheme="minorEastAsia"/>
              <w:color w:val="auto"/>
              <w:sz w:val="28"/>
              <w:highlight w:val="none"/>
            </w:rPr>
            <w:fldChar w:fldCharType="separate"/>
          </w:r>
          <w:r>
            <w:rPr>
              <w:rFonts w:hint="eastAsia" w:asciiTheme="minorEastAsia" w:hAnsiTheme="minorEastAsia" w:eastAsiaTheme="minorEastAsia" w:cstheme="minorEastAsia"/>
              <w:color w:val="auto"/>
              <w:sz w:val="28"/>
              <w:highlight w:val="none"/>
            </w:rPr>
            <w:t>1</w:t>
          </w:r>
          <w:r>
            <w:rPr>
              <w:rFonts w:hint="eastAsia" w:asciiTheme="minorEastAsia" w:hAnsiTheme="minorEastAsia" w:eastAsiaTheme="minorEastAsia" w:cstheme="minorEastAsia"/>
              <w:color w:val="auto"/>
              <w:sz w:val="28"/>
              <w:highlight w:val="none"/>
            </w:rPr>
            <w:fldChar w:fldCharType="end"/>
          </w:r>
          <w:r>
            <w:rPr>
              <w:rFonts w:hint="eastAsia" w:asciiTheme="minorEastAsia" w:hAnsiTheme="minorEastAsia" w:eastAsiaTheme="minorEastAsia" w:cstheme="minorEastAsia"/>
              <w:color w:val="auto"/>
              <w:sz w:val="28"/>
              <w:highlight w:val="none"/>
            </w:rPr>
            <w:fldChar w:fldCharType="end"/>
          </w:r>
        </w:p>
        <w:p w14:paraId="6707A704">
          <w:pPr>
            <w:pStyle w:val="32"/>
            <w:tabs>
              <w:tab w:val="right" w:leader="dot" w:pos="9451"/>
              <w:tab w:val="clear" w:pos="9440"/>
            </w:tabs>
            <w:spacing w:line="360" w:lineRule="auto"/>
            <w:ind w:firstLine="181" w:firstLineChars="100"/>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"_Toc2588"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highlight w:val="none"/>
            </w:rPr>
            <w:t>投标人须知</w:t>
          </w:r>
          <w:r>
            <w:rPr>
              <w:rFonts w:hint="eastAsia" w:asciiTheme="minorEastAsia" w:hAnsiTheme="minorEastAsia" w:eastAsiaTheme="minorEastAsia" w:cstheme="minorEastAsia"/>
              <w:color w:val="auto"/>
              <w:sz w:val="28"/>
              <w:highlight w:val="none"/>
            </w:rPr>
            <w:tab/>
          </w:r>
          <w:r>
            <w:rPr>
              <w:rFonts w:hint="eastAsia" w:asciiTheme="minorEastAsia" w:hAnsiTheme="minorEastAsia" w:eastAsiaTheme="minorEastAsia" w:cstheme="minorEastAsia"/>
              <w:color w:val="auto"/>
              <w:sz w:val="28"/>
              <w:highlight w:val="none"/>
            </w:rPr>
            <w:fldChar w:fldCharType="begin"/>
          </w:r>
          <w:r>
            <w:rPr>
              <w:rFonts w:hint="eastAsia" w:asciiTheme="minorEastAsia" w:hAnsiTheme="minorEastAsia" w:eastAsiaTheme="minorEastAsia" w:cstheme="minorEastAsia"/>
              <w:color w:val="auto"/>
              <w:sz w:val="28"/>
              <w:highlight w:val="none"/>
            </w:rPr>
            <w:instrText xml:space="preserve"> PAGEREF _Toc2588 \h </w:instrText>
          </w:r>
          <w:r>
            <w:rPr>
              <w:rFonts w:hint="eastAsia" w:asciiTheme="minorEastAsia" w:hAnsiTheme="minorEastAsia" w:eastAsiaTheme="minorEastAsia" w:cstheme="minorEastAsia"/>
              <w:color w:val="auto"/>
              <w:sz w:val="28"/>
              <w:highlight w:val="none"/>
            </w:rPr>
            <w:fldChar w:fldCharType="separate"/>
          </w:r>
          <w:r>
            <w:rPr>
              <w:rFonts w:hint="eastAsia" w:asciiTheme="minorEastAsia" w:hAnsiTheme="minorEastAsia" w:eastAsiaTheme="minorEastAsia" w:cstheme="minorEastAsia"/>
              <w:color w:val="auto"/>
              <w:sz w:val="28"/>
              <w:highlight w:val="none"/>
            </w:rPr>
            <w:t>5</w:t>
          </w:r>
          <w:r>
            <w:rPr>
              <w:rFonts w:hint="eastAsia" w:asciiTheme="minorEastAsia" w:hAnsiTheme="minorEastAsia" w:eastAsiaTheme="minorEastAsia" w:cstheme="minorEastAsia"/>
              <w:color w:val="auto"/>
              <w:sz w:val="28"/>
              <w:highlight w:val="none"/>
            </w:rPr>
            <w:fldChar w:fldCharType="end"/>
          </w:r>
          <w:r>
            <w:rPr>
              <w:rFonts w:hint="eastAsia" w:asciiTheme="minorEastAsia" w:hAnsiTheme="minorEastAsia" w:eastAsiaTheme="minorEastAsia" w:cstheme="minorEastAsia"/>
              <w:color w:val="auto"/>
              <w:sz w:val="28"/>
              <w:highlight w:val="none"/>
            </w:rPr>
            <w:fldChar w:fldCharType="end"/>
          </w:r>
        </w:p>
        <w:p w14:paraId="050AB601">
          <w:pPr>
            <w:pStyle w:val="32"/>
            <w:tabs>
              <w:tab w:val="right" w:leader="dot" w:pos="9451"/>
              <w:tab w:val="clear" w:pos="9440"/>
            </w:tabs>
            <w:spacing w:line="360" w:lineRule="auto"/>
            <w:ind w:firstLine="181" w:firstLineChars="100"/>
            <w:rPr>
              <w:rFonts w:hint="eastAsia" w:asciiTheme="minorEastAsia" w:hAnsiTheme="minorEastAsia" w:eastAsiaTheme="minorEastAsia" w:cstheme="minorEastAsia"/>
              <w:color w:val="auto"/>
              <w:sz w:val="28"/>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"_Toc16269"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8"/>
              <w:highlight w:val="none"/>
            </w:rPr>
            <w:t>合同条款及格式</w:t>
          </w:r>
          <w:r>
            <w:rPr>
              <w:rFonts w:hint="eastAsia" w:asciiTheme="minorEastAsia" w:hAnsiTheme="minorEastAsia" w:eastAsiaTheme="minorEastAsia" w:cstheme="minorEastAsia"/>
              <w:color w:val="auto"/>
              <w:sz w:val="28"/>
              <w:highlight w:val="none"/>
            </w:rPr>
            <w:tab/>
          </w:r>
          <w:r>
            <w:rPr>
              <w:rFonts w:hint="eastAsia" w:asciiTheme="minorEastAsia" w:hAnsiTheme="minorEastAsia" w:eastAsiaTheme="minorEastAsia" w:cstheme="minorEastAsia"/>
              <w:color w:val="auto"/>
              <w:sz w:val="28"/>
              <w:highlight w:val="none"/>
              <w:lang w:val="en-US" w:eastAsia="zh-CN"/>
            </w:rPr>
            <w:t>2</w:t>
          </w:r>
          <w:r>
            <w:rPr>
              <w:rFonts w:hint="eastAsia" w:asciiTheme="minorEastAsia" w:hAnsiTheme="minorEastAsia" w:eastAsiaTheme="minorEastAsia" w:cstheme="minorEastAsia"/>
              <w:color w:val="auto"/>
              <w:sz w:val="28"/>
              <w:highlight w:val="none"/>
            </w:rPr>
            <w:fldChar w:fldCharType="end"/>
          </w:r>
          <w:r>
            <w:rPr>
              <w:rFonts w:hint="eastAsia" w:asciiTheme="minorEastAsia" w:hAnsiTheme="minorEastAsia" w:eastAsiaTheme="minorEastAsia" w:cstheme="minorEastAsia"/>
              <w:color w:val="auto"/>
              <w:sz w:val="28"/>
              <w:highlight w:val="none"/>
              <w:lang w:val="en-US" w:eastAsia="zh-CN"/>
            </w:rPr>
            <w:t>1</w:t>
          </w:r>
        </w:p>
        <w:p w14:paraId="0122FFA9">
          <w:pPr>
            <w:pStyle w:val="32"/>
            <w:tabs>
              <w:tab w:val="right" w:leader="dot" w:pos="9451"/>
              <w:tab w:val="clear" w:pos="9440"/>
            </w:tabs>
            <w:spacing w:line="360" w:lineRule="auto"/>
            <w:rPr>
              <w:rFonts w:hint="eastAsia" w:asciiTheme="minorEastAsia" w:hAnsiTheme="minorEastAsia" w:eastAsiaTheme="minorEastAsia" w:cstheme="minorEastAsia"/>
              <w:color w:val="auto"/>
              <w:sz w:val="28"/>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"_Toc15384"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sz w:val="28"/>
              <w:highlight w:val="none"/>
              <w:lang w:val="en-US" w:eastAsia="zh-CN"/>
            </w:rPr>
            <w:t>采购</w:t>
          </w:r>
          <w:r>
            <w:rPr>
              <w:rFonts w:hint="eastAsia" w:asciiTheme="minorEastAsia" w:hAnsiTheme="minorEastAsia" w:eastAsiaTheme="minorEastAsia" w:cstheme="minorEastAsia"/>
              <w:color w:val="auto"/>
              <w:sz w:val="28"/>
              <w:highlight w:val="none"/>
            </w:rPr>
            <w:t>需求</w:t>
          </w:r>
          <w:r>
            <w:rPr>
              <w:rFonts w:hint="eastAsia" w:asciiTheme="minorEastAsia" w:hAnsiTheme="minorEastAsia" w:eastAsiaTheme="minorEastAsia" w:cstheme="minorEastAsia"/>
              <w:color w:val="auto"/>
              <w:sz w:val="28"/>
              <w:highlight w:val="none"/>
            </w:rPr>
            <w:tab/>
          </w:r>
          <w:r>
            <w:rPr>
              <w:rFonts w:hint="eastAsia" w:asciiTheme="minorEastAsia" w:hAnsiTheme="minorEastAsia" w:eastAsiaTheme="minorEastAsia" w:cstheme="minorEastAsia"/>
              <w:color w:val="auto"/>
              <w:sz w:val="28"/>
              <w:highlight w:val="none"/>
              <w:lang w:val="en-US" w:eastAsia="zh-CN"/>
            </w:rPr>
            <w:t>2</w:t>
          </w:r>
          <w:r>
            <w:rPr>
              <w:rFonts w:hint="eastAsia" w:asciiTheme="minorEastAsia" w:hAnsiTheme="minorEastAsia" w:eastAsiaTheme="minorEastAsia" w:cstheme="minorEastAsia"/>
              <w:color w:val="auto"/>
              <w:sz w:val="28"/>
              <w:highlight w:val="none"/>
            </w:rPr>
            <w:fldChar w:fldCharType="end"/>
          </w:r>
          <w:r>
            <w:rPr>
              <w:rFonts w:hint="eastAsia" w:asciiTheme="minorEastAsia" w:hAnsiTheme="minorEastAsia" w:eastAsiaTheme="minorEastAsia" w:cstheme="minorEastAsia"/>
              <w:color w:val="auto"/>
              <w:sz w:val="28"/>
              <w:highlight w:val="none"/>
              <w:lang w:val="en-US" w:eastAsia="zh-CN"/>
            </w:rPr>
            <w:t>5</w:t>
          </w:r>
        </w:p>
        <w:p w14:paraId="4F4F7FE5">
          <w:pPr>
            <w:pStyle w:val="32"/>
            <w:tabs>
              <w:tab w:val="right" w:leader="dot" w:pos="9451"/>
              <w:tab w:val="clear" w:pos="9440"/>
            </w:tabs>
            <w:spacing w:line="360" w:lineRule="auto"/>
            <w:rPr>
              <w:rFonts w:hint="eastAsia" w:asciiTheme="minorEastAsia" w:hAnsiTheme="minorEastAsia" w:eastAsiaTheme="minorEastAsia" w:cstheme="minorEastAsia"/>
              <w:color w:val="auto"/>
              <w:sz w:val="28"/>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"_Toc1167"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sz w:val="28"/>
              <w:highlight w:val="none"/>
            </w:rPr>
            <w:t>评审方法和评审标准</w:t>
          </w:r>
          <w:r>
            <w:rPr>
              <w:rFonts w:hint="eastAsia" w:asciiTheme="minorEastAsia" w:hAnsiTheme="minorEastAsia" w:eastAsiaTheme="minorEastAsia" w:cstheme="minorEastAsia"/>
              <w:color w:val="auto"/>
              <w:sz w:val="28"/>
              <w:highlight w:val="none"/>
            </w:rPr>
            <w:tab/>
          </w:r>
          <w:r>
            <w:rPr>
              <w:rFonts w:hint="eastAsia" w:asciiTheme="minorEastAsia" w:hAnsiTheme="minorEastAsia" w:eastAsiaTheme="minorEastAsia" w:cstheme="minorEastAsia"/>
              <w:color w:val="auto"/>
              <w:sz w:val="28"/>
              <w:highlight w:val="none"/>
              <w:lang w:val="en-US" w:eastAsia="zh-CN"/>
            </w:rPr>
            <w:t>3</w:t>
          </w:r>
          <w:r>
            <w:rPr>
              <w:rFonts w:hint="eastAsia" w:asciiTheme="minorEastAsia" w:hAnsiTheme="minorEastAsia" w:eastAsiaTheme="minorEastAsia" w:cstheme="minorEastAsia"/>
              <w:color w:val="auto"/>
              <w:sz w:val="28"/>
              <w:highlight w:val="none"/>
            </w:rPr>
            <w:fldChar w:fldCharType="end"/>
          </w:r>
          <w:r>
            <w:rPr>
              <w:rFonts w:hint="eastAsia" w:asciiTheme="minorEastAsia" w:hAnsiTheme="minorEastAsia" w:eastAsiaTheme="minorEastAsia" w:cstheme="minorEastAsia"/>
              <w:color w:val="auto"/>
              <w:sz w:val="28"/>
              <w:highlight w:val="none"/>
              <w:lang w:val="en-US" w:eastAsia="zh-CN"/>
            </w:rPr>
            <w:t>0</w:t>
          </w:r>
        </w:p>
        <w:p w14:paraId="41372501">
          <w:pPr>
            <w:pStyle w:val="32"/>
            <w:tabs>
              <w:tab w:val="right" w:leader="dot" w:pos="9451"/>
              <w:tab w:val="clear" w:pos="9440"/>
            </w:tabs>
            <w:spacing w:line="360" w:lineRule="auto"/>
            <w:rPr>
              <w:rFonts w:hint="eastAsia" w:asciiTheme="minorEastAsia" w:hAnsiTheme="minorEastAsia" w:eastAsiaTheme="minorEastAsia" w:cstheme="minorEastAsia"/>
              <w:color w:val="auto"/>
              <w:sz w:val="28"/>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"_Toc29394"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sz w:val="28"/>
              <w:highlight w:val="none"/>
            </w:rPr>
            <w:t>投标文件格式</w:t>
          </w:r>
          <w:r>
            <w:rPr>
              <w:rFonts w:hint="eastAsia" w:asciiTheme="minorEastAsia" w:hAnsiTheme="minorEastAsia" w:eastAsiaTheme="minorEastAsia" w:cstheme="minorEastAsia"/>
              <w:color w:val="auto"/>
              <w:sz w:val="28"/>
              <w:highlight w:val="none"/>
            </w:rPr>
            <w:tab/>
          </w:r>
          <w:r>
            <w:rPr>
              <w:rFonts w:hint="eastAsia" w:asciiTheme="minorEastAsia" w:hAnsiTheme="minorEastAsia" w:eastAsiaTheme="minorEastAsia" w:cstheme="minorEastAsia"/>
              <w:color w:val="auto"/>
              <w:sz w:val="28"/>
              <w:highlight w:val="none"/>
              <w:lang w:val="en-US" w:eastAsia="zh-CN"/>
            </w:rPr>
            <w:t>3</w:t>
          </w:r>
          <w:r>
            <w:rPr>
              <w:rFonts w:hint="eastAsia" w:asciiTheme="minorEastAsia" w:hAnsiTheme="minorEastAsia" w:eastAsiaTheme="minorEastAsia" w:cstheme="minorEastAsia"/>
              <w:color w:val="auto"/>
              <w:sz w:val="28"/>
              <w:highlight w:val="none"/>
            </w:rPr>
            <w:fldChar w:fldCharType="end"/>
          </w:r>
          <w:r>
            <w:rPr>
              <w:rFonts w:hint="eastAsia" w:asciiTheme="minorEastAsia" w:hAnsiTheme="minorEastAsia" w:eastAsiaTheme="minorEastAsia" w:cstheme="minorEastAsia"/>
              <w:color w:val="auto"/>
              <w:sz w:val="28"/>
              <w:highlight w:val="none"/>
              <w:lang w:val="en-US" w:eastAsia="zh-CN"/>
            </w:rPr>
            <w:t>5</w:t>
          </w:r>
        </w:p>
        <w:p w14:paraId="26D4FA85">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fldChar w:fldCharType="end"/>
          </w:r>
        </w:p>
      </w:sdtContent>
    </w:sdt>
    <w:p w14:paraId="0681E507">
      <w:pPr>
        <w:rPr>
          <w:rFonts w:hint="eastAsia" w:asciiTheme="minorEastAsia" w:hAnsiTheme="minorEastAsia" w:eastAsiaTheme="minorEastAsia" w:cstheme="minorEastAsia"/>
          <w:color w:val="auto"/>
          <w:highlight w:val="none"/>
        </w:rPr>
      </w:pPr>
    </w:p>
    <w:p w14:paraId="6056F21C">
      <w:pPr>
        <w:pStyle w:val="3"/>
        <w:numPr>
          <w:ilvl w:val="0"/>
          <w:numId w:val="1"/>
        </w:numPr>
        <w:rPr>
          <w:rFonts w:hint="eastAsia" w:asciiTheme="minorEastAsia" w:hAnsiTheme="minorEastAsia" w:eastAsiaTheme="minorEastAsia" w:cstheme="minorEastAsia"/>
          <w:color w:val="auto"/>
          <w:sz w:val="44"/>
          <w:szCs w:val="44"/>
          <w:highlight w:val="none"/>
        </w:rPr>
        <w:sectPr>
          <w:footerReference r:id="rId9" w:type="first"/>
          <w:footerReference r:id="rId8" w:type="default"/>
          <w:pgSz w:w="11906" w:h="16838"/>
          <w:pgMar w:top="1015" w:right="1196" w:bottom="868" w:left="1259" w:header="851" w:footer="907" w:gutter="0"/>
          <w:cols w:space="720" w:num="1"/>
          <w:titlePg/>
          <w:docGrid w:linePitch="360" w:charSpace="0"/>
        </w:sectPr>
      </w:pPr>
    </w:p>
    <w:p w14:paraId="6E177788">
      <w:pPr>
        <w:pStyle w:val="3"/>
        <w:numPr>
          <w:ilvl w:val="0"/>
          <w:numId w:val="1"/>
        </w:numPr>
        <w:rPr>
          <w:rFonts w:hint="eastAsia" w:asciiTheme="minorEastAsia" w:hAnsiTheme="minorEastAsia" w:eastAsiaTheme="minorEastAsia" w:cstheme="minorEastAsia"/>
          <w:color w:val="auto"/>
          <w:sz w:val="44"/>
          <w:szCs w:val="44"/>
          <w:highlight w:val="none"/>
        </w:rPr>
      </w:pPr>
      <w:bookmarkStart w:id="0" w:name="_Toc29404"/>
      <w:r>
        <w:rPr>
          <w:rFonts w:hint="eastAsia" w:asciiTheme="minorEastAsia" w:hAnsiTheme="minorEastAsia" w:eastAsiaTheme="minorEastAsia" w:cstheme="minorEastAsia"/>
          <w:color w:val="auto"/>
          <w:sz w:val="44"/>
          <w:szCs w:val="44"/>
          <w:highlight w:val="none"/>
        </w:rPr>
        <w:t>招标公告</w:t>
      </w:r>
      <w:bookmarkEnd w:id="0"/>
    </w:p>
    <w:p w14:paraId="1128A386">
      <w:pPr>
        <w:pBdr>
          <w:top w:val="single" w:color="auto" w:sz="4" w:space="1"/>
          <w:left w:val="single" w:color="auto" w:sz="4" w:space="4"/>
          <w:bottom w:val="single" w:color="auto" w:sz="4" w:space="1"/>
          <w:right w:val="single" w:color="auto" w:sz="4" w:space="4"/>
        </w:pBd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项目概况</w:t>
      </w:r>
    </w:p>
    <w:p w14:paraId="0176D7DA">
      <w:pPr>
        <w:pBdr>
          <w:top w:val="single" w:color="auto" w:sz="4" w:space="1"/>
          <w:left w:val="single" w:color="auto" w:sz="4" w:space="4"/>
          <w:bottom w:val="single" w:color="auto" w:sz="4" w:space="1"/>
          <w:right w:val="single" w:color="auto" w:sz="4" w:space="4"/>
        </w:pBdr>
        <w:spacing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u w:val="single"/>
          <w:lang w:eastAsia="zh-CN"/>
        </w:rPr>
        <w:t>滨海港直连工程规划研究项目JSZC-320900-RHHH-G2026-0018</w:t>
      </w:r>
      <w:r>
        <w:rPr>
          <w:rFonts w:hint="eastAsia" w:asciiTheme="minorEastAsia" w:hAnsiTheme="minorEastAsia" w:eastAsiaTheme="minorEastAsia" w:cstheme="minorEastAsia"/>
          <w:color w:val="auto"/>
          <w:sz w:val="24"/>
          <w:highlight w:val="none"/>
        </w:rPr>
        <w:t>的潜在投标人应在“苏采云”系统内免费下载（投标人必须在苏采云系统中获取招标文件，方能参与政府采购项目）获取招标文件，并于</w:t>
      </w:r>
      <w:r>
        <w:rPr>
          <w:rFonts w:hint="eastAsia" w:asciiTheme="minorEastAsia" w:hAnsiTheme="minorEastAsia" w:eastAsiaTheme="minorEastAsia" w:cstheme="minorEastAsia"/>
          <w:color w:val="auto"/>
          <w:sz w:val="24"/>
          <w:highlight w:val="none"/>
          <w:u w:val="single"/>
        </w:rPr>
        <w:t>202</w:t>
      </w:r>
      <w:r>
        <w:rPr>
          <w:rFonts w:hint="eastAsia" w:asciiTheme="minorEastAsia" w:hAnsiTheme="minorEastAsia" w:eastAsiaTheme="minorEastAsia" w:cstheme="minorEastAsia"/>
          <w:color w:val="auto"/>
          <w:sz w:val="24"/>
          <w:highlight w:val="none"/>
          <w:u w:val="single"/>
          <w:lang w:val="en-US" w:eastAsia="zh-CN"/>
        </w:rPr>
        <w:t>6年4月 21 日9点</w:t>
      </w:r>
      <w:r>
        <w:rPr>
          <w:rFonts w:hint="eastAsia" w:asciiTheme="minorEastAsia" w:hAnsiTheme="minorEastAsia" w:eastAsiaTheme="minorEastAsia" w:cstheme="minorEastAsia"/>
          <w:color w:val="auto"/>
          <w:sz w:val="24"/>
          <w:highlight w:val="none"/>
          <w:u w:val="single"/>
        </w:rPr>
        <w:t>00</w:t>
      </w:r>
      <w:r>
        <w:rPr>
          <w:rFonts w:hint="eastAsia" w:asciiTheme="minorEastAsia" w:hAnsiTheme="minorEastAsia" w:eastAsiaTheme="minorEastAsia" w:cstheme="minorEastAsia"/>
          <w:color w:val="auto"/>
          <w:sz w:val="24"/>
          <w:highlight w:val="none"/>
          <w:u w:val="single"/>
          <w:lang w:val="en-US" w:eastAsia="zh-CN"/>
        </w:rPr>
        <w:t>分</w:t>
      </w:r>
      <w:r>
        <w:rPr>
          <w:rFonts w:hint="eastAsia" w:asciiTheme="minorEastAsia" w:hAnsiTheme="minorEastAsia" w:eastAsiaTheme="minorEastAsia" w:cstheme="minorEastAsia"/>
          <w:color w:val="auto"/>
          <w:sz w:val="24"/>
          <w:highlight w:val="none"/>
          <w:u w:val="none"/>
        </w:rPr>
        <w:t>（北京时间）</w:t>
      </w:r>
      <w:r>
        <w:rPr>
          <w:rFonts w:hint="eastAsia" w:asciiTheme="minorEastAsia" w:hAnsiTheme="minorEastAsia" w:eastAsiaTheme="minorEastAsia" w:cstheme="minorEastAsia"/>
          <w:color w:val="auto"/>
          <w:sz w:val="24"/>
          <w:highlight w:val="none"/>
        </w:rPr>
        <w:t>前递交投标文件。</w:t>
      </w:r>
    </w:p>
    <w:p w14:paraId="41703645">
      <w:pPr>
        <w:pStyle w:val="4"/>
        <w:keepLines w:val="0"/>
        <w:tabs>
          <w:tab w:val="left" w:pos="0"/>
          <w:tab w:val="left" w:pos="3165"/>
          <w:tab w:val="center" w:pos="4153"/>
        </w:tabs>
        <w:spacing w:line="460" w:lineRule="exact"/>
        <w:ind w:firstLine="482"/>
        <w:jc w:val="left"/>
        <w:rPr>
          <w:rFonts w:hint="eastAsia" w:asciiTheme="minorEastAsia" w:hAnsiTheme="minorEastAsia" w:eastAsiaTheme="minorEastAsia" w:cstheme="minorEastAsia"/>
          <w:bCs/>
          <w:color w:val="auto"/>
          <w:sz w:val="24"/>
          <w:szCs w:val="24"/>
          <w:highlight w:val="none"/>
        </w:rPr>
      </w:pPr>
      <w:bookmarkStart w:id="1" w:name="_Toc28359079"/>
      <w:bookmarkStart w:id="2" w:name="_Toc28359002"/>
      <w:bookmarkStart w:id="3" w:name="_Toc35393790"/>
      <w:bookmarkStart w:id="4" w:name="_Toc35393621"/>
      <w:bookmarkStart w:id="5" w:name="_Hlk24379207"/>
      <w:r>
        <w:rPr>
          <w:rFonts w:hint="eastAsia" w:asciiTheme="minorEastAsia" w:hAnsiTheme="minorEastAsia" w:eastAsiaTheme="minorEastAsia" w:cstheme="minorEastAsia"/>
          <w:bCs/>
          <w:color w:val="auto"/>
          <w:sz w:val="24"/>
          <w:szCs w:val="24"/>
          <w:highlight w:val="none"/>
        </w:rPr>
        <w:t>一、项目基本情况</w:t>
      </w:r>
      <w:bookmarkEnd w:id="1"/>
      <w:bookmarkEnd w:id="2"/>
      <w:bookmarkEnd w:id="3"/>
      <w:bookmarkEnd w:id="4"/>
    </w:p>
    <w:p w14:paraId="5CBEEC9F">
      <w:pPr>
        <w:spacing w:line="460" w:lineRule="exact"/>
        <w:ind w:firstLine="48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项目编号：JSZC-320900-RHHH-G2026-0018</w:t>
      </w:r>
    </w:p>
    <w:p w14:paraId="0BCE23C6">
      <w:pPr>
        <w:spacing w:line="460" w:lineRule="exact"/>
        <w:ind w:firstLine="48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项目名称：</w:t>
      </w:r>
      <w:r>
        <w:rPr>
          <w:rFonts w:hint="eastAsia" w:asciiTheme="minorEastAsia" w:hAnsiTheme="minorEastAsia" w:eastAsiaTheme="minorEastAsia" w:cstheme="minorEastAsia"/>
          <w:color w:val="auto"/>
          <w:sz w:val="24"/>
          <w:highlight w:val="none"/>
          <w:lang w:eastAsia="zh-CN"/>
        </w:rPr>
        <w:t xml:space="preserve">滨海港直连工程规划研究项目 </w:t>
      </w:r>
    </w:p>
    <w:p w14:paraId="3A4CE619">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采购方式：公开招标</w:t>
      </w:r>
      <w:bookmarkEnd w:id="5"/>
    </w:p>
    <w:p w14:paraId="25FA6830">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预算金额：</w:t>
      </w:r>
      <w:r>
        <w:rPr>
          <w:rFonts w:hint="eastAsia" w:asciiTheme="minorEastAsia" w:hAnsiTheme="minorEastAsia" w:eastAsiaTheme="minorEastAsia" w:cstheme="minorEastAsia"/>
          <w:color w:val="auto"/>
          <w:sz w:val="24"/>
          <w:highlight w:val="none"/>
          <w:lang w:val="en-US" w:eastAsia="zh-CN"/>
        </w:rPr>
        <w:t>16</w:t>
      </w:r>
      <w:r>
        <w:rPr>
          <w:rFonts w:hint="eastAsia" w:asciiTheme="minorEastAsia" w:hAnsiTheme="minorEastAsia" w:eastAsiaTheme="minorEastAsia" w:cstheme="minorEastAsia"/>
          <w:color w:val="auto"/>
          <w:sz w:val="24"/>
          <w:highlight w:val="none"/>
        </w:rPr>
        <w:t>0</w:t>
      </w:r>
      <w:r>
        <w:rPr>
          <w:rFonts w:hint="eastAsia" w:asciiTheme="minorEastAsia" w:hAnsiTheme="minorEastAsia" w:eastAsiaTheme="minorEastAsia" w:cstheme="minorEastAsia"/>
          <w:bCs/>
          <w:color w:val="auto"/>
          <w:sz w:val="24"/>
          <w:highlight w:val="none"/>
        </w:rPr>
        <w:t>万元</w:t>
      </w:r>
      <w:r>
        <w:rPr>
          <w:rFonts w:hint="eastAsia" w:asciiTheme="minorEastAsia" w:hAnsiTheme="minorEastAsia" w:eastAsiaTheme="minorEastAsia" w:cstheme="minorEastAsia"/>
          <w:color w:val="auto"/>
          <w:sz w:val="24"/>
          <w:highlight w:val="none"/>
        </w:rPr>
        <w:t>。</w:t>
      </w:r>
    </w:p>
    <w:p w14:paraId="039E0878">
      <w:pPr>
        <w:spacing w:line="460" w:lineRule="exact"/>
        <w:ind w:firstLine="48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最高限价：</w:t>
      </w:r>
      <w:r>
        <w:rPr>
          <w:rFonts w:hint="eastAsia" w:asciiTheme="minorEastAsia" w:hAnsiTheme="minorEastAsia" w:eastAsiaTheme="minorEastAsia" w:cstheme="minorEastAsia"/>
          <w:color w:val="auto"/>
          <w:sz w:val="24"/>
          <w:highlight w:val="none"/>
          <w:lang w:val="en-US" w:eastAsia="zh-CN"/>
        </w:rPr>
        <w:t>160</w:t>
      </w:r>
      <w:r>
        <w:rPr>
          <w:rFonts w:hint="eastAsia" w:asciiTheme="minorEastAsia" w:hAnsiTheme="minorEastAsia" w:eastAsiaTheme="minorEastAsia" w:cstheme="minorEastAsia"/>
          <w:color w:val="auto"/>
          <w:sz w:val="24"/>
          <w:highlight w:val="none"/>
        </w:rPr>
        <w:t>万元（投标报价高于</w:t>
      </w:r>
      <w:r>
        <w:rPr>
          <w:rFonts w:hint="eastAsia" w:asciiTheme="minorEastAsia" w:hAnsiTheme="minorEastAsia" w:eastAsiaTheme="minorEastAsia" w:cstheme="minorEastAsia"/>
          <w:color w:val="auto"/>
          <w:sz w:val="24"/>
          <w:highlight w:val="none"/>
          <w:lang w:val="en-US" w:eastAsia="zh-CN"/>
        </w:rPr>
        <w:t>最高限价</w:t>
      </w:r>
      <w:r>
        <w:rPr>
          <w:rFonts w:hint="eastAsia" w:asciiTheme="minorEastAsia" w:hAnsiTheme="minorEastAsia" w:eastAsiaTheme="minorEastAsia" w:cstheme="minorEastAsia"/>
          <w:color w:val="auto"/>
          <w:sz w:val="24"/>
          <w:highlight w:val="none"/>
        </w:rPr>
        <w:t>的，采购人将不予接受，视为无效标书）</w:t>
      </w:r>
      <w:r>
        <w:rPr>
          <w:rFonts w:hint="eastAsia" w:asciiTheme="minorEastAsia" w:hAnsiTheme="minorEastAsia" w:eastAsiaTheme="minorEastAsia" w:cstheme="minorEastAsia"/>
          <w:color w:val="auto"/>
          <w:sz w:val="24"/>
          <w:highlight w:val="none"/>
          <w:lang w:eastAsia="zh-CN"/>
        </w:rPr>
        <w:t>。</w:t>
      </w:r>
    </w:p>
    <w:p w14:paraId="3CF5491D">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采购需求：</w:t>
      </w:r>
      <w:r>
        <w:rPr>
          <w:rFonts w:hint="eastAsia" w:asciiTheme="minorEastAsia" w:hAnsiTheme="minorEastAsia" w:eastAsiaTheme="minorEastAsia" w:cstheme="minorEastAsia"/>
          <w:color w:val="auto"/>
          <w:sz w:val="24"/>
          <w:highlight w:val="none"/>
          <w:lang w:eastAsia="zh-CN"/>
        </w:rPr>
        <w:t>滨海港直连工程规划研究项目</w:t>
      </w:r>
      <w:r>
        <w:rPr>
          <w:rFonts w:hint="eastAsia" w:asciiTheme="minorEastAsia" w:hAnsiTheme="minorEastAsia" w:eastAsiaTheme="minorEastAsia" w:cstheme="minorEastAsia"/>
          <w:color w:val="auto"/>
          <w:sz w:val="24"/>
          <w:highlight w:val="none"/>
        </w:rPr>
        <w:t xml:space="preserve">，具体内容及要求详见招标文件项目需求。 </w:t>
      </w:r>
    </w:p>
    <w:p w14:paraId="73FB4493">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合同履行期限：合同签订后</w:t>
      </w:r>
      <w:r>
        <w:rPr>
          <w:rFonts w:hint="eastAsia" w:asciiTheme="minorEastAsia" w:hAnsiTheme="minorEastAsia" w:eastAsiaTheme="minorEastAsia" w:cstheme="minorEastAsia"/>
          <w:color w:val="auto"/>
          <w:sz w:val="24"/>
          <w:highlight w:val="none"/>
          <w:lang w:val="en-US" w:eastAsia="zh-CN"/>
        </w:rPr>
        <w:t>6个月</w:t>
      </w:r>
      <w:r>
        <w:rPr>
          <w:rFonts w:hint="eastAsia" w:asciiTheme="minorEastAsia" w:hAnsiTheme="minorEastAsia" w:eastAsiaTheme="minorEastAsia" w:cstheme="minorEastAsia"/>
          <w:color w:val="auto"/>
          <w:sz w:val="24"/>
          <w:highlight w:val="none"/>
        </w:rPr>
        <w:t>内完成。</w:t>
      </w:r>
    </w:p>
    <w:p w14:paraId="08E3D5F8">
      <w:pPr>
        <w:spacing w:line="460" w:lineRule="exact"/>
        <w:ind w:left="47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本项目</w:t>
      </w:r>
      <w:r>
        <w:rPr>
          <w:rFonts w:hint="eastAsia" w:asciiTheme="minorEastAsia" w:hAnsiTheme="minorEastAsia" w:eastAsiaTheme="minorEastAsia" w:cstheme="minorEastAsia"/>
          <w:b/>
          <w:bCs/>
          <w:color w:val="auto"/>
          <w:sz w:val="24"/>
          <w:highlight w:val="none"/>
          <w:u w:val="single"/>
          <w:lang w:val="en-US" w:eastAsia="zh-CN"/>
        </w:rPr>
        <w:t>不</w:t>
      </w:r>
      <w:r>
        <w:rPr>
          <w:rFonts w:hint="eastAsia" w:asciiTheme="minorEastAsia" w:hAnsiTheme="minorEastAsia" w:eastAsiaTheme="minorEastAsia" w:cstheme="minorEastAsia"/>
          <w:b/>
          <w:bCs/>
          <w:color w:val="auto"/>
          <w:sz w:val="24"/>
          <w:highlight w:val="none"/>
          <w:u w:val="single"/>
        </w:rPr>
        <w:t>接受</w:t>
      </w:r>
      <w:r>
        <w:rPr>
          <w:rFonts w:hint="eastAsia" w:asciiTheme="minorEastAsia" w:hAnsiTheme="minorEastAsia" w:eastAsiaTheme="minorEastAsia" w:cstheme="minorEastAsia"/>
          <w:color w:val="auto"/>
          <w:sz w:val="24"/>
          <w:highlight w:val="none"/>
        </w:rPr>
        <w:t>联合体投标。</w:t>
      </w:r>
    </w:p>
    <w:p w14:paraId="11CFB077">
      <w:pPr>
        <w:pStyle w:val="4"/>
        <w:keepLines w:val="0"/>
        <w:tabs>
          <w:tab w:val="left" w:pos="0"/>
          <w:tab w:val="left" w:pos="3165"/>
          <w:tab w:val="center" w:pos="4153"/>
        </w:tabs>
        <w:spacing w:line="460" w:lineRule="exact"/>
        <w:ind w:firstLine="482"/>
        <w:jc w:val="left"/>
        <w:rPr>
          <w:rFonts w:hint="eastAsia" w:asciiTheme="minorEastAsia" w:hAnsiTheme="minorEastAsia" w:eastAsiaTheme="minorEastAsia" w:cstheme="minorEastAsia"/>
          <w:bCs/>
          <w:color w:val="auto"/>
          <w:sz w:val="24"/>
          <w:szCs w:val="24"/>
          <w:highlight w:val="none"/>
        </w:rPr>
      </w:pPr>
      <w:bookmarkStart w:id="6" w:name="_Toc28359080"/>
      <w:bookmarkStart w:id="7" w:name="_Toc28359003"/>
      <w:bookmarkStart w:id="8" w:name="_Toc35393791"/>
      <w:bookmarkStart w:id="9" w:name="_Toc35393622"/>
      <w:r>
        <w:rPr>
          <w:rFonts w:hint="eastAsia" w:asciiTheme="minorEastAsia" w:hAnsiTheme="minorEastAsia" w:eastAsiaTheme="minorEastAsia" w:cstheme="minorEastAsia"/>
          <w:bCs/>
          <w:color w:val="auto"/>
          <w:sz w:val="24"/>
          <w:szCs w:val="24"/>
          <w:highlight w:val="none"/>
        </w:rPr>
        <w:t>二、投标人的资格要求：</w:t>
      </w:r>
      <w:bookmarkEnd w:id="6"/>
      <w:bookmarkEnd w:id="7"/>
      <w:bookmarkEnd w:id="8"/>
      <w:bookmarkEnd w:id="9"/>
    </w:p>
    <w:p w14:paraId="5028FBD0">
      <w:pPr>
        <w:spacing w:line="460" w:lineRule="exact"/>
        <w:ind w:firstLine="480"/>
        <w:rPr>
          <w:rFonts w:hint="eastAsia" w:asciiTheme="minorEastAsia" w:hAnsiTheme="minorEastAsia" w:eastAsiaTheme="minorEastAsia" w:cstheme="minorEastAsia"/>
          <w:color w:val="auto"/>
          <w:sz w:val="24"/>
          <w:highlight w:val="none"/>
        </w:rPr>
      </w:pPr>
      <w:bookmarkStart w:id="10" w:name="_Hlk183113517"/>
      <w:bookmarkStart w:id="11" w:name="_Toc35393793"/>
      <w:bookmarkStart w:id="12" w:name="_Toc35393624"/>
      <w:bookmarkStart w:id="13" w:name="_Toc28359082"/>
      <w:bookmarkStart w:id="14" w:name="_Toc28359005"/>
      <w:bookmarkStart w:id="15" w:name="_Toc28359008"/>
      <w:bookmarkStart w:id="16" w:name="_Toc35393627"/>
      <w:bookmarkStart w:id="17" w:name="_Toc28359085"/>
      <w:bookmarkStart w:id="18" w:name="_Toc35393796"/>
      <w:r>
        <w:rPr>
          <w:rFonts w:hint="eastAsia" w:asciiTheme="minorEastAsia" w:hAnsiTheme="minorEastAsia" w:eastAsiaTheme="minorEastAsia" w:cstheme="minorEastAsia"/>
          <w:color w:val="auto"/>
          <w:sz w:val="24"/>
          <w:highlight w:val="none"/>
        </w:rPr>
        <w:t>1.满足《中华人民共和国政府采购法》第二十二条规定，并提供下列材料：</w:t>
      </w:r>
    </w:p>
    <w:p w14:paraId="6F550099">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法人或者其他组织的营业执照等证明文件，自然人的身份证明；</w:t>
      </w:r>
    </w:p>
    <w:p w14:paraId="01342577">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1.2上一年度的财务状况报表</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上一年度的财务状况报表2025年度报表未出的，可使用2024年度报表，财务状况报表至少包含利润表、资产负债表、现金流量表，成立不满一年无需提供</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w:t>
      </w:r>
    </w:p>
    <w:p w14:paraId="2FE53527">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1.3具备履行合同所必需的设备和专业技术能力的书面声明；</w:t>
      </w:r>
    </w:p>
    <w:p w14:paraId="1D9E2711">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CFD77FF">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1.5参加政府采购活动前3年内在经营活动中没有重大违法记录的书面声明。</w:t>
      </w:r>
    </w:p>
    <w:p w14:paraId="05369632">
      <w:pPr>
        <w:spacing w:line="46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1.6法律、行政法规规定的其他条件。</w:t>
      </w:r>
      <w:r>
        <w:rPr>
          <w:rFonts w:hint="eastAsia" w:asciiTheme="minorEastAsia" w:hAnsiTheme="minorEastAsia" w:eastAsiaTheme="minorEastAsia" w:cstheme="minorEastAsia"/>
          <w:color w:val="auto"/>
          <w:sz w:val="24"/>
          <w:highlight w:val="none"/>
          <w:lang w:val="en-US" w:eastAsia="zh-CN"/>
        </w:rPr>
        <w:t xml:space="preserve"> </w:t>
      </w:r>
    </w:p>
    <w:p w14:paraId="67EE449F">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DD7D894">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1.8单位负责人为同一人或者存在直接控股、管理关系的不同供应商，不得参加同一合同项下的政府采购活动。</w:t>
      </w:r>
      <w:bookmarkEnd w:id="10"/>
    </w:p>
    <w:p w14:paraId="0C14503B">
      <w:pPr>
        <w:spacing w:line="460" w:lineRule="exact"/>
        <w:ind w:firstLine="48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落实政府采购政策需满足的资格要求：无</w:t>
      </w:r>
    </w:p>
    <w:p w14:paraId="7952AA8A">
      <w:pPr>
        <w:spacing w:line="46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本项目的特定资格要求：无</w:t>
      </w:r>
    </w:p>
    <w:p w14:paraId="37A3D571">
      <w:pPr>
        <w:pStyle w:val="4"/>
        <w:keepLines w:val="0"/>
        <w:tabs>
          <w:tab w:val="left" w:pos="0"/>
          <w:tab w:val="left" w:pos="3165"/>
          <w:tab w:val="center" w:pos="4153"/>
        </w:tabs>
        <w:spacing w:line="460" w:lineRule="exact"/>
        <w:ind w:firstLine="482"/>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三、获取招标文件</w:t>
      </w:r>
      <w:bookmarkStart w:id="19" w:name="_Toc42249797"/>
      <w:bookmarkEnd w:id="19"/>
      <w:bookmarkStart w:id="20" w:name="QLCZYSX_1"/>
      <w:bookmarkEnd w:id="20"/>
      <w:bookmarkStart w:id="21" w:name="_Toc42249844"/>
      <w:bookmarkEnd w:id="21"/>
    </w:p>
    <w:p w14:paraId="4ADBDDA4">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时间：自招标文件公告发布之日起5个工作日 </w:t>
      </w:r>
    </w:p>
    <w:p w14:paraId="59F036F3">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地点：“苏采云”系统内免费下载（投标人必须在苏采云系统中获取招标文件，方能参与政府采购项目）</w:t>
      </w:r>
    </w:p>
    <w:p w14:paraId="77677DB1">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 xml:space="preserve">方式：本项目采用网上注册登记方式。 </w:t>
      </w:r>
      <w:bookmarkEnd w:id="11"/>
      <w:bookmarkEnd w:id="12"/>
      <w:bookmarkEnd w:id="13"/>
      <w:bookmarkEnd w:id="14"/>
    </w:p>
    <w:p w14:paraId="7C6D2A6F">
      <w:pPr>
        <w:numPr>
          <w:ilvl w:val="0"/>
          <w:numId w:val="0"/>
        </w:numPr>
        <w:spacing w:line="500" w:lineRule="exact"/>
        <w:ind w:firstLine="480"/>
        <w:rPr>
          <w:rFonts w:hint="eastAsia" w:asciiTheme="minorEastAsia" w:hAnsiTheme="minorEastAsia" w:eastAsiaTheme="minorEastAsia" w:cstheme="minorEastAsia"/>
          <w:color w:val="auto"/>
          <w:sz w:val="24"/>
          <w:highlight w:val="none"/>
        </w:rPr>
      </w:pPr>
      <w:bookmarkStart w:id="22" w:name="_Toc28359084"/>
      <w:bookmarkStart w:id="23" w:name="_Toc35393794"/>
      <w:bookmarkStart w:id="24" w:name="_Toc35393625"/>
      <w:bookmarkStart w:id="25" w:name="_Toc28359007"/>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售价：0元</w:t>
      </w:r>
    </w:p>
    <w:p w14:paraId="2FE212BA">
      <w:pPr>
        <w:numPr>
          <w:ilvl w:val="0"/>
          <w:numId w:val="0"/>
        </w:numP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四、提交投标文件截止时间、开标时间和地点</w:t>
      </w:r>
    </w:p>
    <w:p w14:paraId="6419E32C">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1.时间：</w:t>
      </w:r>
      <w:r>
        <w:rPr>
          <w:rFonts w:hint="eastAsia" w:asciiTheme="minorEastAsia" w:hAnsiTheme="minorEastAsia" w:eastAsiaTheme="minorEastAsia" w:cstheme="minorEastAsia"/>
          <w:color w:val="auto"/>
          <w:sz w:val="24"/>
          <w:highlight w:val="none"/>
        </w:rPr>
        <w:t>2026年</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 xml:space="preserve"> 21 </w:t>
      </w:r>
      <w:r>
        <w:rPr>
          <w:rFonts w:hint="eastAsia" w:asciiTheme="minorEastAsia" w:hAnsiTheme="minorEastAsia" w:eastAsiaTheme="minorEastAsia" w:cstheme="minorEastAsia"/>
          <w:color w:val="auto"/>
          <w:sz w:val="24"/>
          <w:highlight w:val="none"/>
        </w:rPr>
        <w:t>日9点00分 （北京时间）</w:t>
      </w:r>
    </w:p>
    <w:p w14:paraId="61D1A337">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地点：苏采云“不见面”开标大厅</w:t>
      </w:r>
    </w:p>
    <w:p w14:paraId="74275058">
      <w:pP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五、公告期限</w:t>
      </w:r>
      <w:bookmarkEnd w:id="22"/>
      <w:bookmarkEnd w:id="23"/>
      <w:bookmarkEnd w:id="24"/>
      <w:bookmarkEnd w:id="25"/>
    </w:p>
    <w:p w14:paraId="5ADC32D0">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自本公告发布之日起5个工作日。</w:t>
      </w:r>
      <w:bookmarkStart w:id="26" w:name="_Toc35393626"/>
      <w:bookmarkEnd w:id="26"/>
      <w:bookmarkStart w:id="27" w:name="_Toc35393795"/>
      <w:bookmarkEnd w:id="27"/>
    </w:p>
    <w:p w14:paraId="589530D4">
      <w:pPr>
        <w:numPr>
          <w:ilvl w:val="0"/>
          <w:numId w:val="2"/>
        </w:numP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其他补充事宜</w:t>
      </w:r>
    </w:p>
    <w:p w14:paraId="343EF7EF">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Theme="minorEastAsia" w:hAnsiTheme="minorEastAsia" w:eastAsiaTheme="minorEastAsia" w:cstheme="minorEastAsia"/>
          <w:color w:val="0000FF"/>
          <w:sz w:val="24"/>
          <w:highlight w:val="none"/>
        </w:rPr>
        <w:t>具体办理指南：在盐城市政府采购网点击【办事指南】-【供应商参与政府采购活动相关资料】。</w:t>
      </w:r>
    </w:p>
    <w:p w14:paraId="49A6F485">
      <w:pPr>
        <w:spacing w:line="420" w:lineRule="exact"/>
        <w:ind w:firstLine="482"/>
        <w:rPr>
          <w:rFonts w:hint="eastAsia" w:asciiTheme="minorEastAsia" w:hAnsiTheme="minorEastAsia" w:eastAsiaTheme="minorEastAsia" w:cstheme="minorEastAsia"/>
          <w:color w:val="0000FF"/>
          <w:sz w:val="24"/>
          <w:highlight w:val="none"/>
        </w:rPr>
      </w:pPr>
      <w:r>
        <w:rPr>
          <w:rFonts w:hint="eastAsia" w:asciiTheme="minorEastAsia" w:hAnsiTheme="minorEastAsia" w:eastAsiaTheme="minorEastAsia" w:cstheme="minorEastAsia"/>
          <w:color w:val="0000FF"/>
          <w:sz w:val="24"/>
          <w:highlight w:val="none"/>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67067B85">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潜在供应商访问电子招标响应交易平台的网络地址和方法： </w:t>
      </w:r>
    </w:p>
    <w:p w14:paraId="333FF0BE">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w:t>
      </w:r>
    </w:p>
    <w:p w14:paraId="3FBA44C3">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 潜在投标人访问“苏采云”系统方法：江苏省政府采购网首页-“苏采云”链接。 </w:t>
      </w:r>
    </w:p>
    <w:p w14:paraId="4A7A1009">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 采购文件（后缀名为“.kedt”）、供应商操作手册及政府采购客户端 工具可通过“苏采云”系统相应链接进行下载。 </w:t>
      </w:r>
    </w:p>
    <w:p w14:paraId="636637B7">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 采购代理机构将数据电文形式的采购文件加载至“苏采云”系统，供潜在供应商下载或者查阅。 </w:t>
      </w:r>
    </w:p>
    <w:p w14:paraId="34FA1511">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 请潜在投标单位提前安装相应的控件（详见《“苏采云”系统供应商操作手册》）并使用谷歌浏览器登录“苏采云”系统参与不见面开评标。 </w:t>
      </w:r>
    </w:p>
    <w:p w14:paraId="09729794">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如潜在投标人未按上述要求操作，将自行承担所产生的风险。</w:t>
      </w:r>
    </w:p>
    <w:p w14:paraId="1AC8157A">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3.有关本次招标的事项若存在变动或修改，敬请及时关注在“中国政府采购网”“江苏政府采购网”“盐城市政府采购网”发布的更正公告。</w:t>
      </w:r>
    </w:p>
    <w:p w14:paraId="71BC969A">
      <w:pPr>
        <w:spacing w:line="42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4.本次招标不收取投标保证金，不收取质量保证金。</w:t>
      </w:r>
    </w:p>
    <w:p w14:paraId="080EC8B1">
      <w:pPr>
        <w:spacing w:line="42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七、对本次招标提出询问，请按以下方式联系。</w:t>
      </w:r>
      <w:bookmarkEnd w:id="15"/>
      <w:bookmarkEnd w:id="16"/>
      <w:bookmarkEnd w:id="17"/>
      <w:bookmarkEnd w:id="18"/>
    </w:p>
    <w:p w14:paraId="69FC23EF">
      <w:pPr>
        <w:spacing w:line="480" w:lineRule="exact"/>
        <w:ind w:left="239" w:firstLine="660"/>
        <w:jc w:val="left"/>
        <w:rPr>
          <w:rFonts w:hint="eastAsia" w:asciiTheme="minorEastAsia" w:hAnsiTheme="minorEastAsia" w:eastAsiaTheme="minorEastAsia" w:cstheme="minorEastAsia"/>
          <w:color w:val="auto"/>
          <w:sz w:val="24"/>
          <w:highlight w:val="none"/>
        </w:rPr>
      </w:pPr>
      <w:bookmarkStart w:id="28" w:name="_Toc120614211"/>
      <w:r>
        <w:rPr>
          <w:rFonts w:hint="eastAsia" w:asciiTheme="minorEastAsia" w:hAnsiTheme="minorEastAsia" w:eastAsiaTheme="minorEastAsia" w:cstheme="minorEastAsia"/>
          <w:color w:val="auto"/>
          <w:sz w:val="24"/>
          <w:highlight w:val="none"/>
        </w:rPr>
        <w:t>1.采购人信息</w:t>
      </w:r>
    </w:p>
    <w:p w14:paraId="40FCCEE6">
      <w:pPr>
        <w:spacing w:line="480" w:lineRule="exact"/>
        <w:ind w:left="239" w:firstLine="660"/>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名    称：</w:t>
      </w:r>
      <w:r>
        <w:rPr>
          <w:rFonts w:hint="eastAsia" w:asciiTheme="minorEastAsia" w:hAnsiTheme="minorEastAsia" w:eastAsiaTheme="minorEastAsia" w:cstheme="minorEastAsia"/>
          <w:color w:val="auto"/>
          <w:sz w:val="24"/>
          <w:highlight w:val="none"/>
          <w:lang w:eastAsia="zh-CN"/>
        </w:rPr>
        <w:t>盐城市港航事业发展中心</w:t>
      </w:r>
    </w:p>
    <w:p w14:paraId="49D1976E">
      <w:pPr>
        <w:spacing w:line="480" w:lineRule="exact"/>
        <w:ind w:left="239" w:firstLine="66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址：江苏省盐城市青年中路8号</w:t>
      </w:r>
    </w:p>
    <w:p w14:paraId="2C306F82">
      <w:pPr>
        <w:spacing w:line="480" w:lineRule="exact"/>
        <w:ind w:left="239" w:firstLine="66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联系方式：</w:t>
      </w:r>
      <w:r>
        <w:rPr>
          <w:rFonts w:hint="eastAsia" w:asciiTheme="minorEastAsia" w:hAnsiTheme="minorEastAsia" w:eastAsiaTheme="minorEastAsia" w:cstheme="minorEastAsia"/>
          <w:color w:val="auto"/>
          <w:sz w:val="24"/>
          <w:highlight w:val="none"/>
          <w:lang w:val="en-US" w:eastAsia="zh-CN"/>
        </w:rPr>
        <w:t xml:space="preserve">秦女士  </w:t>
      </w:r>
      <w:r>
        <w:rPr>
          <w:rFonts w:hint="eastAsia" w:asciiTheme="minorEastAsia" w:hAnsiTheme="minorEastAsia" w:eastAsiaTheme="minorEastAsia" w:cstheme="minorEastAsia"/>
          <w:color w:val="auto"/>
          <w:sz w:val="24"/>
          <w:highlight w:val="none"/>
        </w:rPr>
        <w:t xml:space="preserve"> </w:t>
      </w:r>
    </w:p>
    <w:p w14:paraId="74B8AACA">
      <w:pPr>
        <w:spacing w:line="480" w:lineRule="exact"/>
        <w:ind w:left="239" w:firstLine="660"/>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联系电话：15051348217</w:t>
      </w:r>
      <w:r>
        <w:rPr>
          <w:rFonts w:hint="eastAsia" w:asciiTheme="minorEastAsia" w:hAnsiTheme="minorEastAsia" w:eastAsiaTheme="minorEastAsia" w:cstheme="minorEastAsia"/>
          <w:color w:val="auto"/>
          <w:sz w:val="24"/>
          <w:highlight w:val="none"/>
          <w:lang w:val="en-US" w:eastAsia="zh-CN"/>
        </w:rPr>
        <w:t xml:space="preserve"> </w:t>
      </w:r>
    </w:p>
    <w:p w14:paraId="2C72B44F">
      <w:pPr>
        <w:spacing w:line="480" w:lineRule="exact"/>
        <w:ind w:left="239" w:firstLine="66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2.招标代理机构信息</w:t>
      </w:r>
    </w:p>
    <w:p w14:paraId="4808A0FA">
      <w:pPr>
        <w:spacing w:line="480" w:lineRule="exact"/>
        <w:ind w:left="239" w:firstLine="66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称：江苏仁禾中衡工程咨询房地产估价有限公司</w:t>
      </w:r>
    </w:p>
    <w:p w14:paraId="71669B45">
      <w:pPr>
        <w:spacing w:line="480" w:lineRule="exact"/>
        <w:ind w:left="239" w:firstLine="66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地　　址：</w:t>
      </w:r>
      <w:r>
        <w:rPr>
          <w:rFonts w:hint="eastAsia" w:asciiTheme="minorEastAsia" w:hAnsiTheme="minorEastAsia" w:eastAsiaTheme="minorEastAsia" w:cstheme="minorEastAsia"/>
          <w:color w:val="auto"/>
          <w:sz w:val="24"/>
          <w:highlight w:val="none"/>
          <w:lang w:val="en-US" w:eastAsia="zh-CN"/>
        </w:rPr>
        <w:t>盐城市青年西路8号</w:t>
      </w:r>
    </w:p>
    <w:p w14:paraId="79C9F52B">
      <w:pPr>
        <w:spacing w:line="480" w:lineRule="exact"/>
        <w:ind w:left="239" w:firstLine="66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 系 人：徐女士</w:t>
      </w:r>
    </w:p>
    <w:p w14:paraId="220D71EF">
      <w:pPr>
        <w:spacing w:line="480" w:lineRule="exact"/>
        <w:ind w:left="239" w:firstLine="66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联系方式：0515-6</w:t>
      </w:r>
      <w:r>
        <w:rPr>
          <w:rFonts w:hint="eastAsia" w:asciiTheme="minorEastAsia" w:hAnsiTheme="minorEastAsia" w:eastAsiaTheme="minorEastAsia" w:cstheme="minorEastAsia"/>
          <w:color w:val="auto"/>
          <w:sz w:val="24"/>
          <w:highlight w:val="none"/>
          <w:lang w:val="en-US" w:eastAsia="zh-CN"/>
        </w:rPr>
        <w:t>8037733</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15862057287</w:t>
      </w:r>
    </w:p>
    <w:p w14:paraId="2E1D3E4E">
      <w:pPr>
        <w:spacing w:line="480" w:lineRule="exact"/>
        <w:ind w:left="239" w:firstLine="66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3.项目联系方式</w:t>
      </w:r>
    </w:p>
    <w:p w14:paraId="604C2B4E">
      <w:pPr>
        <w:spacing w:line="480" w:lineRule="exact"/>
        <w:ind w:left="239" w:firstLine="660"/>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zh-CN"/>
        </w:rPr>
        <w:t>联系方式：</w:t>
      </w:r>
      <w:r>
        <w:rPr>
          <w:rFonts w:hint="eastAsia" w:asciiTheme="minorEastAsia" w:hAnsiTheme="minorEastAsia" w:eastAsiaTheme="minorEastAsia" w:cstheme="minorEastAsia"/>
          <w:color w:val="auto"/>
          <w:sz w:val="24"/>
          <w:highlight w:val="none"/>
          <w:lang w:val="en-US" w:eastAsia="zh-CN"/>
        </w:rPr>
        <w:t xml:space="preserve">秦女士 </w:t>
      </w:r>
    </w:p>
    <w:p w14:paraId="2FD21CC4">
      <w:pPr>
        <w:spacing w:line="480" w:lineRule="exact"/>
        <w:ind w:left="239" w:firstLine="66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联系电话：15051348217</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w:t>
      </w:r>
    </w:p>
    <w:bookmarkEnd w:id="28"/>
    <w:p w14:paraId="0A9036C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2F2A8BE8">
      <w:pPr>
        <w:pStyle w:val="24"/>
        <w:spacing w:line="360" w:lineRule="auto"/>
        <w:jc w:val="center"/>
        <w:rPr>
          <w:rFonts w:hint="eastAsia" w:asciiTheme="minorEastAsia" w:hAnsiTheme="minorEastAsia" w:eastAsiaTheme="minorEastAsia" w:cstheme="minorEastAsia"/>
          <w:color w:val="auto"/>
          <w:highlight w:val="none"/>
        </w:rPr>
      </w:pPr>
    </w:p>
    <w:p w14:paraId="044DB296">
      <w:pPr>
        <w:pStyle w:val="3"/>
        <w:numPr>
          <w:ilvl w:val="0"/>
          <w:numId w:val="1"/>
        </w:numPr>
        <w:rPr>
          <w:rFonts w:hint="eastAsia" w:asciiTheme="minorEastAsia" w:hAnsiTheme="minorEastAsia" w:eastAsiaTheme="minorEastAsia" w:cstheme="minorEastAsia"/>
          <w:color w:val="auto"/>
          <w:sz w:val="44"/>
          <w:szCs w:val="44"/>
          <w:highlight w:val="none"/>
        </w:rPr>
      </w:pPr>
      <w:bookmarkStart w:id="29" w:name="_Toc20823274"/>
      <w:bookmarkStart w:id="30" w:name="_Toc2588"/>
      <w:bookmarkStart w:id="31" w:name="_Toc120614213"/>
      <w:bookmarkStart w:id="32" w:name="_Toc513029202"/>
      <w:bookmarkStart w:id="33" w:name="_Toc16938518"/>
      <w:r>
        <w:rPr>
          <w:rFonts w:hint="eastAsia" w:asciiTheme="minorEastAsia" w:hAnsiTheme="minorEastAsia" w:eastAsiaTheme="minorEastAsia" w:cstheme="minorEastAsia"/>
          <w:color w:val="auto"/>
          <w:sz w:val="44"/>
          <w:szCs w:val="44"/>
          <w:highlight w:val="none"/>
        </w:rPr>
        <w:t>投标人须知</w:t>
      </w:r>
      <w:bookmarkEnd w:id="29"/>
      <w:bookmarkEnd w:id="30"/>
      <w:bookmarkEnd w:id="31"/>
      <w:bookmarkEnd w:id="32"/>
      <w:bookmarkEnd w:id="33"/>
    </w:p>
    <w:p w14:paraId="6A65BA73">
      <w:pPr>
        <w:spacing w:line="360" w:lineRule="auto"/>
        <w:ind w:firstLine="482"/>
        <w:rPr>
          <w:rFonts w:hint="eastAsia" w:asciiTheme="minorEastAsia" w:hAnsiTheme="minorEastAsia" w:eastAsiaTheme="minorEastAsia" w:cstheme="minorEastAsia"/>
          <w:color w:val="auto"/>
          <w:sz w:val="24"/>
          <w:highlight w:val="none"/>
        </w:rPr>
      </w:pPr>
      <w:bookmarkStart w:id="34" w:name="_Toc20823275"/>
      <w:bookmarkStart w:id="35" w:name="_Toc513029203"/>
      <w:bookmarkStart w:id="36" w:name="_Toc120614214"/>
      <w:bookmarkStart w:id="37" w:name="_Toc16938519"/>
      <w:bookmarkStart w:id="38" w:name="_Toc23828480"/>
      <w:bookmarkStart w:id="39" w:name="_Toc61149622"/>
      <w:bookmarkStart w:id="40" w:name="_Toc26554097"/>
      <w:r>
        <w:rPr>
          <w:rFonts w:hint="eastAsia" w:asciiTheme="minorEastAsia" w:hAnsiTheme="minorEastAsia" w:eastAsiaTheme="minorEastAsia" w:cstheme="minorEastAsia"/>
          <w:b/>
          <w:color w:val="auto"/>
          <w:sz w:val="24"/>
          <w:highlight w:val="none"/>
        </w:rPr>
        <w:t>一、总则</w:t>
      </w:r>
      <w:bookmarkEnd w:id="34"/>
      <w:bookmarkEnd w:id="35"/>
      <w:bookmarkEnd w:id="36"/>
      <w:bookmarkEnd w:id="37"/>
    </w:p>
    <w:p w14:paraId="6D66E2F1">
      <w:pPr>
        <w:spacing w:line="360" w:lineRule="auto"/>
        <w:ind w:firstLine="480"/>
        <w:rPr>
          <w:rFonts w:hint="eastAsia" w:asciiTheme="minorEastAsia" w:hAnsiTheme="minorEastAsia" w:eastAsiaTheme="minorEastAsia" w:cstheme="minorEastAsia"/>
          <w:color w:val="auto"/>
          <w:sz w:val="24"/>
          <w:highlight w:val="none"/>
        </w:rPr>
      </w:pPr>
      <w:bookmarkStart w:id="41" w:name="_Toc16938520"/>
      <w:bookmarkStart w:id="42" w:name="_Toc458694821"/>
      <w:bookmarkStart w:id="43" w:name="_Toc513029204"/>
      <w:bookmarkStart w:id="44" w:name="_Toc20823276"/>
      <w:r>
        <w:rPr>
          <w:rFonts w:hint="eastAsia" w:asciiTheme="minorEastAsia" w:hAnsiTheme="minorEastAsia" w:eastAsiaTheme="minorEastAsia" w:cstheme="minorEastAsia"/>
          <w:color w:val="auto"/>
          <w:sz w:val="24"/>
          <w:highlight w:val="none"/>
        </w:rPr>
        <w:t>1</w:t>
      </w:r>
      <w:bookmarkEnd w:id="41"/>
      <w:r>
        <w:rPr>
          <w:rFonts w:hint="eastAsia" w:asciiTheme="minorEastAsia" w:hAnsiTheme="minorEastAsia" w:eastAsiaTheme="minorEastAsia" w:cstheme="minorEastAsia"/>
          <w:color w:val="auto"/>
          <w:sz w:val="24"/>
          <w:highlight w:val="none"/>
        </w:rPr>
        <w:t>、招标方式</w:t>
      </w:r>
      <w:bookmarkEnd w:id="42"/>
      <w:bookmarkEnd w:id="43"/>
      <w:bookmarkEnd w:id="44"/>
    </w:p>
    <w:p w14:paraId="16040487">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1.1本次招标采取公开招标方式，本招标文件仅适用于招标公告中所述项目。</w:t>
      </w:r>
    </w:p>
    <w:p w14:paraId="21577C80">
      <w:pPr>
        <w:spacing w:line="360" w:lineRule="auto"/>
        <w:ind w:firstLine="480"/>
        <w:rPr>
          <w:rFonts w:hint="eastAsia" w:asciiTheme="minorEastAsia" w:hAnsiTheme="minorEastAsia" w:eastAsiaTheme="minorEastAsia" w:cstheme="minorEastAsia"/>
          <w:color w:val="auto"/>
          <w:sz w:val="24"/>
          <w:highlight w:val="none"/>
        </w:rPr>
      </w:pPr>
      <w:bookmarkStart w:id="45" w:name="_Toc16938521"/>
      <w:bookmarkStart w:id="46" w:name="_Toc20823277"/>
      <w:bookmarkStart w:id="47" w:name="_Toc513029205"/>
      <w:r>
        <w:rPr>
          <w:rFonts w:hint="eastAsia" w:asciiTheme="minorEastAsia" w:hAnsiTheme="minorEastAsia" w:eastAsiaTheme="minorEastAsia" w:cstheme="minorEastAsia"/>
          <w:color w:val="auto"/>
          <w:sz w:val="24"/>
          <w:highlight w:val="none"/>
        </w:rPr>
        <w:t>2、合格的投标人</w:t>
      </w:r>
      <w:bookmarkEnd w:id="45"/>
      <w:bookmarkEnd w:id="46"/>
      <w:bookmarkEnd w:id="47"/>
    </w:p>
    <w:p w14:paraId="51A59DA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2.1满足招标公告中投标人的资格要求的规定。</w:t>
      </w:r>
    </w:p>
    <w:p w14:paraId="5EF1399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2.2满足本文件实质性要求和条件的规定。</w:t>
      </w:r>
    </w:p>
    <w:p w14:paraId="09CA5981">
      <w:pPr>
        <w:spacing w:line="360" w:lineRule="auto"/>
        <w:ind w:firstLine="480"/>
        <w:rPr>
          <w:rFonts w:hint="eastAsia" w:asciiTheme="minorEastAsia" w:hAnsiTheme="minorEastAsia" w:eastAsiaTheme="minorEastAsia" w:cstheme="minorEastAsia"/>
          <w:color w:val="auto"/>
          <w:sz w:val="24"/>
          <w:highlight w:val="none"/>
        </w:rPr>
      </w:pPr>
      <w:bookmarkStart w:id="48" w:name="_Toc462564067"/>
      <w:bookmarkStart w:id="49" w:name="_Toc16938523"/>
      <w:bookmarkStart w:id="50" w:name="_Toc513029207"/>
      <w:bookmarkStart w:id="51" w:name="_Toc20823279"/>
      <w:r>
        <w:rPr>
          <w:rFonts w:hint="eastAsia" w:asciiTheme="minorEastAsia" w:hAnsiTheme="minorEastAsia" w:eastAsiaTheme="minorEastAsia" w:cstheme="minorEastAsia"/>
          <w:color w:val="auto"/>
          <w:sz w:val="24"/>
          <w:highlight w:val="none"/>
        </w:rPr>
        <w:t>3、适用法律和标准</w:t>
      </w:r>
    </w:p>
    <w:p w14:paraId="53989A2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本次招标及由此产生的合同受中华人民共和国有关的法律法规制约和保护。</w:t>
      </w:r>
    </w:p>
    <w:p w14:paraId="2D84B267">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 在本项目政府采购活动过程中，如果所执行的标准有更新的，按照最新标准执行。</w:t>
      </w:r>
    </w:p>
    <w:p w14:paraId="61322408">
      <w:pPr>
        <w:spacing w:line="360" w:lineRule="auto"/>
        <w:ind w:left="479"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4、投标费用</w:t>
      </w:r>
      <w:bookmarkEnd w:id="48"/>
      <w:bookmarkEnd w:id="49"/>
      <w:bookmarkEnd w:id="50"/>
      <w:bookmarkEnd w:id="51"/>
    </w:p>
    <w:p w14:paraId="461C000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 投标人应自行承担所有与参加投标有关的费用，无论投标过程中的做法和结果如何，采购人在任何情况下均无义务和责任承担这些费用。</w:t>
      </w:r>
    </w:p>
    <w:p w14:paraId="0FC19B09">
      <w:pPr>
        <w:spacing w:line="360" w:lineRule="auto"/>
        <w:ind w:firstLine="48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4.2招标代理服务费（中标/成交服务费）：本项目</w:t>
      </w:r>
      <w:r>
        <w:rPr>
          <w:rFonts w:hint="eastAsia" w:asciiTheme="minorEastAsia" w:hAnsiTheme="minorEastAsia" w:eastAsiaTheme="minorEastAsia" w:cstheme="minorEastAsia"/>
          <w:b/>
          <w:bCs/>
          <w:color w:val="auto"/>
          <w:sz w:val="24"/>
          <w:highlight w:val="none"/>
          <w:lang w:val="en-US" w:eastAsia="zh-CN"/>
        </w:rPr>
        <w:t>按</w:t>
      </w:r>
      <w:r>
        <w:rPr>
          <w:rFonts w:hint="eastAsia" w:asciiTheme="minorEastAsia" w:hAnsiTheme="minorEastAsia" w:eastAsiaTheme="minorEastAsia" w:cstheme="minorEastAsia"/>
          <w:b/>
          <w:bCs/>
          <w:color w:val="auto"/>
          <w:sz w:val="24"/>
          <w:highlight w:val="none"/>
        </w:rPr>
        <w:t>苏招协[2022]002号收费标准的</w:t>
      </w:r>
      <w:r>
        <w:rPr>
          <w:rFonts w:hint="eastAsia" w:asciiTheme="minorEastAsia" w:hAnsiTheme="minorEastAsia" w:eastAsiaTheme="minorEastAsia" w:cstheme="minorEastAsia"/>
          <w:b/>
          <w:bCs/>
          <w:color w:val="auto"/>
          <w:sz w:val="24"/>
          <w:highlight w:val="none"/>
          <w:lang w:val="en-US" w:eastAsia="zh-CN"/>
        </w:rPr>
        <w:t>28</w:t>
      </w:r>
      <w:r>
        <w:rPr>
          <w:rFonts w:hint="eastAsia" w:asciiTheme="minorEastAsia" w:hAnsiTheme="minorEastAsia" w:eastAsiaTheme="minorEastAsia" w:cstheme="minorEastAsia"/>
          <w:b/>
          <w:bCs/>
          <w:color w:val="auto"/>
          <w:sz w:val="24"/>
          <w:highlight w:val="none"/>
        </w:rPr>
        <w:t>%收取代理服务费，由成交供应商向代理公司支付。供应商投标时综合考虑招标代理服务费报价中，此项费用不得单列，凡漏项或少计均视为优惠采购人，不另行增加费用。中标后由成交供应商在领取中标（成交）通知书前直接向招标代理公司一次性付清。</w:t>
      </w:r>
    </w:p>
    <w:p w14:paraId="3DA91A8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5、招标文件的约束力</w:t>
      </w:r>
    </w:p>
    <w:p w14:paraId="45EE6D1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5.1投标人一旦参加本项目采购活动，即被认为接受了本招标文件的规定和约束。</w:t>
      </w:r>
    </w:p>
    <w:p w14:paraId="359E339E">
      <w:pPr>
        <w:spacing w:line="360" w:lineRule="auto"/>
        <w:ind w:firstLine="482"/>
        <w:rPr>
          <w:rFonts w:hint="eastAsia" w:asciiTheme="minorEastAsia" w:hAnsiTheme="minorEastAsia" w:eastAsiaTheme="minorEastAsia" w:cstheme="minorEastAsia"/>
          <w:color w:val="auto"/>
          <w:sz w:val="24"/>
          <w:highlight w:val="none"/>
        </w:rPr>
      </w:pPr>
      <w:bookmarkStart w:id="52" w:name="_Toc513029209"/>
      <w:bookmarkStart w:id="53" w:name="_Toc120614215"/>
      <w:bookmarkStart w:id="54" w:name="_Toc16938525"/>
      <w:bookmarkStart w:id="55" w:name="_Toc20823281"/>
      <w:r>
        <w:rPr>
          <w:rFonts w:hint="eastAsia" w:asciiTheme="minorEastAsia" w:hAnsiTheme="minorEastAsia" w:eastAsiaTheme="minorEastAsia" w:cstheme="minorEastAsia"/>
          <w:b/>
          <w:color w:val="auto"/>
          <w:sz w:val="24"/>
          <w:highlight w:val="none"/>
        </w:rPr>
        <w:t>二、招标文件</w:t>
      </w:r>
      <w:bookmarkEnd w:id="52"/>
      <w:bookmarkEnd w:id="53"/>
      <w:bookmarkEnd w:id="54"/>
      <w:bookmarkEnd w:id="55"/>
    </w:p>
    <w:p w14:paraId="462C02A8">
      <w:pPr>
        <w:spacing w:line="360" w:lineRule="auto"/>
        <w:ind w:firstLine="480"/>
        <w:rPr>
          <w:rFonts w:hint="eastAsia" w:asciiTheme="minorEastAsia" w:hAnsiTheme="minorEastAsia" w:eastAsiaTheme="minorEastAsia" w:cstheme="minorEastAsia"/>
          <w:color w:val="auto"/>
          <w:sz w:val="24"/>
          <w:highlight w:val="none"/>
        </w:rPr>
      </w:pPr>
      <w:bookmarkStart w:id="56" w:name="_Toc16938526"/>
      <w:bookmarkStart w:id="57" w:name="_Toc20823282"/>
      <w:bookmarkStart w:id="58" w:name="_Toc513029210"/>
      <w:r>
        <w:rPr>
          <w:rFonts w:hint="eastAsia" w:asciiTheme="minorEastAsia" w:hAnsiTheme="minorEastAsia" w:eastAsiaTheme="minorEastAsia" w:cstheme="minorEastAsia"/>
          <w:color w:val="auto"/>
          <w:sz w:val="24"/>
          <w:highlight w:val="none"/>
        </w:rPr>
        <w:t>6、招标文件构成</w:t>
      </w:r>
      <w:bookmarkEnd w:id="56"/>
      <w:bookmarkEnd w:id="57"/>
      <w:bookmarkEnd w:id="58"/>
    </w:p>
    <w:p w14:paraId="069891F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6.1招标文件由以下部分组成：</w:t>
      </w:r>
    </w:p>
    <w:p w14:paraId="1841B40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（1）招标公告</w:t>
      </w:r>
    </w:p>
    <w:p w14:paraId="5CCE9A5D">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（2）投标人须知</w:t>
      </w:r>
    </w:p>
    <w:p w14:paraId="7C736D1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（3）合同文本</w:t>
      </w:r>
    </w:p>
    <w:p w14:paraId="401CD1F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（4）采购需求</w:t>
      </w:r>
    </w:p>
    <w:p w14:paraId="51D174EC">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（5）评标方法与评标标准</w:t>
      </w:r>
    </w:p>
    <w:p w14:paraId="5290ECA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（6）投标文件格式</w:t>
      </w:r>
    </w:p>
    <w:p w14:paraId="3E54FF7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请仔细检查招标文件是否齐全，如有缺漏请立即与采购代理机构联系解决。</w:t>
      </w:r>
    </w:p>
    <w:p w14:paraId="0EA0938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58345CF">
      <w:pPr>
        <w:spacing w:line="360" w:lineRule="auto"/>
        <w:ind w:firstLine="480"/>
        <w:rPr>
          <w:rFonts w:hint="eastAsia" w:asciiTheme="minorEastAsia" w:hAnsiTheme="minorEastAsia" w:eastAsiaTheme="minorEastAsia" w:cstheme="minorEastAsia"/>
          <w:color w:val="auto"/>
          <w:sz w:val="24"/>
          <w:highlight w:val="none"/>
        </w:rPr>
      </w:pPr>
      <w:bookmarkStart w:id="59" w:name="_Toc16938527"/>
      <w:bookmarkStart w:id="60" w:name="_Toc513029211"/>
      <w:bookmarkStart w:id="61" w:name="_Toc20823283"/>
      <w:bookmarkStart w:id="62" w:name="_Toc462564070"/>
      <w:r>
        <w:rPr>
          <w:rFonts w:hint="eastAsia" w:asciiTheme="minorEastAsia" w:hAnsiTheme="minorEastAsia" w:eastAsiaTheme="minorEastAsia" w:cstheme="minorEastAsia"/>
          <w:color w:val="auto"/>
          <w:sz w:val="24"/>
          <w:highlight w:val="none"/>
        </w:rPr>
        <w:t>7、招标文件的澄清</w:t>
      </w:r>
      <w:bookmarkEnd w:id="59"/>
      <w:bookmarkEnd w:id="60"/>
      <w:bookmarkEnd w:id="61"/>
      <w:bookmarkEnd w:id="62"/>
    </w:p>
    <w:p w14:paraId="642607C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7.1任何要求对招标文件进行澄清的投标人，应在投标截止期</w:t>
      </w:r>
      <w:r>
        <w:rPr>
          <w:rFonts w:hint="eastAsia" w:asciiTheme="minorEastAsia" w:hAnsiTheme="minorEastAsia" w:eastAsiaTheme="minorEastAsia" w:cstheme="minorEastAsia"/>
          <w:b/>
          <w:color w:val="auto"/>
          <w:sz w:val="24"/>
          <w:highlight w:val="none"/>
        </w:rPr>
        <w:t>十日</w:t>
      </w:r>
      <w:r>
        <w:rPr>
          <w:rFonts w:hint="eastAsia" w:asciiTheme="minorEastAsia" w:hAnsiTheme="minorEastAsia" w:eastAsiaTheme="minorEastAsia" w:cstheme="minorEastAsia"/>
          <w:color w:val="auto"/>
          <w:sz w:val="24"/>
          <w:highlight w:val="none"/>
        </w:rPr>
        <w:t>前按招标公告中的通讯地址，以书面形式通知采购代理机构或采购人。</w:t>
      </w:r>
    </w:p>
    <w:p w14:paraId="71DE7335">
      <w:pPr>
        <w:spacing w:line="360" w:lineRule="auto"/>
        <w:ind w:firstLine="480"/>
        <w:rPr>
          <w:rFonts w:hint="eastAsia" w:asciiTheme="minorEastAsia" w:hAnsiTheme="minorEastAsia" w:eastAsiaTheme="minorEastAsia" w:cstheme="minorEastAsia"/>
          <w:color w:val="auto"/>
          <w:sz w:val="24"/>
          <w:highlight w:val="none"/>
        </w:rPr>
      </w:pPr>
      <w:bookmarkStart w:id="63" w:name="_Toc16938528"/>
      <w:bookmarkStart w:id="64" w:name="_Toc513029212"/>
      <w:bookmarkStart w:id="65" w:name="_Toc20823284"/>
      <w:bookmarkStart w:id="66" w:name="_Toc462564071"/>
      <w:r>
        <w:rPr>
          <w:rFonts w:hint="eastAsia" w:asciiTheme="minorEastAsia" w:hAnsiTheme="minorEastAsia" w:eastAsiaTheme="minorEastAsia" w:cstheme="minorEastAsia"/>
          <w:color w:val="auto"/>
          <w:sz w:val="24"/>
          <w:highlight w:val="none"/>
        </w:rPr>
        <w:t>8、招标文件的修改</w:t>
      </w:r>
      <w:bookmarkEnd w:id="63"/>
      <w:bookmarkEnd w:id="64"/>
      <w:bookmarkEnd w:id="65"/>
      <w:bookmarkEnd w:id="66"/>
    </w:p>
    <w:p w14:paraId="024CA537">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8.1在投标截止时间前，采购代理机构或采购人可以对招标文件进行修改。</w:t>
      </w:r>
    </w:p>
    <w:p w14:paraId="147F992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8.2采购代理机构或采购人有权按照法定的要求推迟投标截止日期和开标日期。</w:t>
      </w:r>
    </w:p>
    <w:p w14:paraId="2C35FC1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8.3招标文件的修改将在中国政府采购网</w:t>
      </w:r>
      <w:r>
        <w:rPr>
          <w:rFonts w:hint="eastAsia" w:asciiTheme="minorEastAsia" w:hAnsiTheme="minorEastAsia" w:eastAsiaTheme="minorEastAsia" w:cstheme="minorEastAsia"/>
          <w:color w:val="auto"/>
          <w:sz w:val="24"/>
          <w:highlight w:val="none"/>
          <w:shd w:val="clear" w:color="auto" w:fill="FFFFFF"/>
        </w:rPr>
        <w:t>、</w:t>
      </w:r>
      <w:r>
        <w:rPr>
          <w:rFonts w:hint="eastAsia" w:asciiTheme="minorEastAsia" w:hAnsiTheme="minorEastAsia" w:eastAsiaTheme="minorEastAsia" w:cstheme="minorEastAsia"/>
          <w:color w:val="auto"/>
          <w:sz w:val="24"/>
          <w:highlight w:val="none"/>
        </w:rPr>
        <w:t>江苏政府采购网、盐城市政府采购网公布，补充文件将作为招标文件的组成部分，并对投标人具有约束力。</w:t>
      </w:r>
    </w:p>
    <w:p w14:paraId="2AAE3908">
      <w:pPr>
        <w:spacing w:line="360" w:lineRule="auto"/>
        <w:ind w:firstLine="482"/>
        <w:rPr>
          <w:rFonts w:hint="eastAsia" w:asciiTheme="minorEastAsia" w:hAnsiTheme="minorEastAsia" w:eastAsiaTheme="minorEastAsia" w:cstheme="minorEastAsia"/>
          <w:color w:val="auto"/>
          <w:sz w:val="24"/>
          <w:highlight w:val="none"/>
        </w:rPr>
      </w:pPr>
      <w:bookmarkStart w:id="67" w:name="_Toc462564072"/>
      <w:bookmarkStart w:id="68" w:name="_Toc20823285"/>
      <w:bookmarkStart w:id="69" w:name="_Toc120614216"/>
      <w:bookmarkStart w:id="70" w:name="_Toc16938529"/>
      <w:bookmarkStart w:id="71" w:name="_Toc513029213"/>
      <w:r>
        <w:rPr>
          <w:rFonts w:hint="eastAsia" w:asciiTheme="minorEastAsia" w:hAnsiTheme="minorEastAsia" w:eastAsiaTheme="minorEastAsia" w:cstheme="minorEastAsia"/>
          <w:b/>
          <w:color w:val="auto"/>
          <w:sz w:val="24"/>
          <w:highlight w:val="none"/>
        </w:rPr>
        <w:t>三、投标文件的编制</w:t>
      </w:r>
      <w:bookmarkEnd w:id="67"/>
      <w:bookmarkEnd w:id="68"/>
      <w:bookmarkEnd w:id="69"/>
      <w:bookmarkEnd w:id="70"/>
      <w:bookmarkEnd w:id="71"/>
    </w:p>
    <w:p w14:paraId="3E4C20F2">
      <w:pPr>
        <w:spacing w:line="360" w:lineRule="auto"/>
        <w:ind w:firstLine="480"/>
        <w:rPr>
          <w:rFonts w:hint="eastAsia" w:asciiTheme="minorEastAsia" w:hAnsiTheme="minorEastAsia" w:eastAsiaTheme="minorEastAsia" w:cstheme="minorEastAsia"/>
          <w:color w:val="auto"/>
          <w:sz w:val="24"/>
          <w:highlight w:val="none"/>
        </w:rPr>
      </w:pPr>
      <w:bookmarkStart w:id="72" w:name="_Toc16938530"/>
      <w:bookmarkStart w:id="73" w:name="_Toc20823286"/>
      <w:bookmarkStart w:id="74" w:name="_Toc513029214"/>
      <w:bookmarkStart w:id="75" w:name="_Toc462564073"/>
      <w:r>
        <w:rPr>
          <w:rFonts w:hint="eastAsia" w:asciiTheme="minorEastAsia" w:hAnsiTheme="minorEastAsia" w:eastAsiaTheme="minorEastAsia" w:cstheme="minorEastAsia"/>
          <w:color w:val="auto"/>
          <w:sz w:val="24"/>
          <w:highlight w:val="none"/>
        </w:rPr>
        <w:t>9、投标文件的语言及度量衡单位</w:t>
      </w:r>
      <w:bookmarkEnd w:id="72"/>
      <w:bookmarkEnd w:id="73"/>
      <w:bookmarkEnd w:id="74"/>
      <w:bookmarkEnd w:id="75"/>
    </w:p>
    <w:p w14:paraId="7505E0F7">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9.1投标人提交的投标文件以及投标人与采购代理机构或采购人就有关投标的所有来往通知、函件和文件均应使用</w:t>
      </w:r>
      <w:r>
        <w:rPr>
          <w:rFonts w:hint="eastAsia" w:asciiTheme="minorEastAsia" w:hAnsiTheme="minorEastAsia" w:eastAsiaTheme="minorEastAsia" w:cstheme="minorEastAsia"/>
          <w:b/>
          <w:color w:val="auto"/>
          <w:sz w:val="24"/>
          <w:highlight w:val="none"/>
        </w:rPr>
        <w:t>简体中文</w:t>
      </w:r>
      <w:r>
        <w:rPr>
          <w:rFonts w:hint="eastAsia" w:asciiTheme="minorEastAsia" w:hAnsiTheme="minorEastAsia" w:eastAsiaTheme="minorEastAsia" w:cstheme="minorEastAsia"/>
          <w:color w:val="auto"/>
          <w:sz w:val="24"/>
          <w:highlight w:val="none"/>
        </w:rPr>
        <w:t>。</w:t>
      </w:r>
    </w:p>
    <w:p w14:paraId="4063DC5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9.2除技术性能另有规定外，投标文件所使用的度量衡单位，均须采用国家法定计量单位。</w:t>
      </w:r>
    </w:p>
    <w:p w14:paraId="6E9E3753">
      <w:pPr>
        <w:spacing w:line="360" w:lineRule="auto"/>
        <w:ind w:firstLine="480"/>
        <w:rPr>
          <w:rFonts w:hint="eastAsia" w:asciiTheme="minorEastAsia" w:hAnsiTheme="minorEastAsia" w:eastAsiaTheme="minorEastAsia" w:cstheme="minorEastAsia"/>
          <w:color w:val="auto"/>
          <w:sz w:val="24"/>
          <w:highlight w:val="none"/>
        </w:rPr>
      </w:pPr>
      <w:bookmarkStart w:id="76" w:name="_Toc462564074"/>
      <w:bookmarkStart w:id="77" w:name="_Toc513029215"/>
      <w:bookmarkStart w:id="78" w:name="_Toc16938531"/>
      <w:bookmarkStart w:id="79" w:name="_Toc20823287"/>
      <w:r>
        <w:rPr>
          <w:rFonts w:hint="eastAsia" w:asciiTheme="minorEastAsia" w:hAnsiTheme="minorEastAsia" w:eastAsiaTheme="minorEastAsia" w:cstheme="minorEastAsia"/>
          <w:color w:val="auto"/>
          <w:sz w:val="24"/>
          <w:highlight w:val="none"/>
        </w:rPr>
        <w:t>10、投标文件构成</w:t>
      </w:r>
      <w:bookmarkEnd w:id="76"/>
      <w:bookmarkEnd w:id="77"/>
      <w:bookmarkEnd w:id="78"/>
      <w:bookmarkEnd w:id="79"/>
    </w:p>
    <w:p w14:paraId="77EC2EB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10.1投标人编写的投标文件应包括资格证明文件、符合性证明文件、投标分项报价表、技术要求响应及偏离表、商务要求响应及偏离表、其他证明文件、投标函、开标一览表等部分。</w:t>
      </w:r>
    </w:p>
    <w:p w14:paraId="59A0F31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7E01005F">
      <w:pPr>
        <w:spacing w:line="360" w:lineRule="auto"/>
        <w:ind w:firstLine="480"/>
        <w:rPr>
          <w:rFonts w:hint="eastAsia" w:asciiTheme="minorEastAsia" w:hAnsiTheme="minorEastAsia" w:eastAsiaTheme="minorEastAsia" w:cstheme="minorEastAsia"/>
          <w:color w:val="auto"/>
          <w:sz w:val="24"/>
          <w:highlight w:val="none"/>
        </w:rPr>
      </w:pPr>
      <w:bookmarkStart w:id="80" w:name="_Toc49090509"/>
      <w:bookmarkStart w:id="81" w:name="_Toc513029216"/>
      <w:bookmarkStart w:id="82" w:name="_Toc14577354"/>
      <w:bookmarkStart w:id="83" w:name="_Toc513029219"/>
      <w:bookmarkStart w:id="84" w:name="_Toc14577357"/>
      <w:bookmarkStart w:id="85" w:name="_Toc49090507"/>
      <w:r>
        <w:rPr>
          <w:rFonts w:hint="eastAsia" w:asciiTheme="minorEastAsia" w:hAnsiTheme="minorEastAsia" w:eastAsiaTheme="minorEastAsia" w:cstheme="minorEastAsia"/>
          <w:color w:val="auto"/>
          <w:sz w:val="24"/>
          <w:highlight w:val="none"/>
        </w:rPr>
        <w:t>11、证明投标人及投标标的符合招标文件规定的文件</w:t>
      </w:r>
      <w:bookmarkEnd w:id="80"/>
      <w:bookmarkEnd w:id="81"/>
      <w:bookmarkEnd w:id="82"/>
      <w:bookmarkEnd w:id="83"/>
      <w:bookmarkEnd w:id="84"/>
      <w:bookmarkEnd w:id="85"/>
    </w:p>
    <w:p w14:paraId="713EDD08">
      <w:pPr>
        <w:spacing w:line="360" w:lineRule="auto"/>
        <w:ind w:firstLine="480"/>
        <w:rPr>
          <w:rFonts w:hint="eastAsia" w:asciiTheme="minorEastAsia" w:hAnsiTheme="minorEastAsia" w:eastAsiaTheme="minorEastAsia" w:cstheme="minorEastAsia"/>
          <w:b w:val="0"/>
          <w:bCs w:val="0"/>
          <w:color w:val="auto"/>
          <w:sz w:val="24"/>
          <w:highlight w:val="none"/>
        </w:rPr>
      </w:pPr>
      <w:bookmarkStart w:id="86" w:name="_Toc14577355"/>
      <w:bookmarkStart w:id="87" w:name="_Toc49090508"/>
      <w:r>
        <w:rPr>
          <w:rFonts w:hint="eastAsia" w:asciiTheme="minorEastAsia" w:hAnsiTheme="minorEastAsia" w:eastAsiaTheme="minorEastAsia" w:cstheme="minorEastAsia"/>
          <w:b w:val="0"/>
          <w:bCs w:val="0"/>
          <w:color w:val="auto"/>
          <w:sz w:val="24"/>
          <w:highlight w:val="none"/>
        </w:rPr>
        <w:t>11.1投标人应按照法律、法规、规章和规范性文件以及招标文件要求提交证明文件，证明其及投标标的符合招标文件规定。</w:t>
      </w:r>
      <w:bookmarkEnd w:id="86"/>
      <w:bookmarkEnd w:id="87"/>
    </w:p>
    <w:p w14:paraId="76CAA4B7">
      <w:pPr>
        <w:spacing w:line="360" w:lineRule="auto"/>
        <w:ind w:firstLine="48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11.2招标文件对证明文件无明确形式要求的，证明文件可以以文字资料、图纸和数据等形式提交。</w:t>
      </w:r>
    </w:p>
    <w:p w14:paraId="340C1789">
      <w:pPr>
        <w:spacing w:line="360" w:lineRule="auto"/>
        <w:ind w:firstLine="48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11.3“上一年度的财务状况报告”，投标人应提供资产负债表、利润表、现金流量表，投标人成立不满一年无需提供。</w:t>
      </w:r>
    </w:p>
    <w:p w14:paraId="540F11C0">
      <w:pPr>
        <w:spacing w:line="360" w:lineRule="auto"/>
        <w:ind w:firstLine="48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11.4“依法缴纳税收的相关材料”，投标人应提供近期缴纳税收的凭据。</w:t>
      </w:r>
    </w:p>
    <w:p w14:paraId="0A7F3F35">
      <w:pPr>
        <w:spacing w:line="360" w:lineRule="auto"/>
        <w:ind w:firstLine="48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11.5“依法缴纳社会保障资金的相关材料”，投标人应提供近期缴纳社会保险的凭据。</w:t>
      </w:r>
    </w:p>
    <w:p w14:paraId="02AEC305">
      <w:pPr>
        <w:spacing w:line="360" w:lineRule="auto"/>
        <w:ind w:firstLine="48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11.6依法免税或不需要缴纳社会保障资金的投标人，应提供相应文件证明其依法免税或不需要缴纳社会保障资金。</w:t>
      </w:r>
    </w:p>
    <w:p w14:paraId="1A0646B0">
      <w:pPr>
        <w:spacing w:line="360" w:lineRule="auto"/>
        <w:ind w:firstLine="48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11.7“申请人的资格要求”和“资格审查资料”中的“近期”是指近两年以来的任一时间段。</w:t>
      </w:r>
    </w:p>
    <w:p w14:paraId="5993319C">
      <w:pPr>
        <w:spacing w:line="360" w:lineRule="auto"/>
        <w:ind w:firstLine="48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bCs/>
          <w:color w:val="auto"/>
          <w:sz w:val="24"/>
          <w:highlight w:val="none"/>
        </w:rPr>
        <w:t>11.8投标文件格式规定的法定代表人或被授权人签名（签字）的地方，手写签名（签字）、加盖（电子）印章、加盖电子手写签名（签字）均认可。</w:t>
      </w:r>
    </w:p>
    <w:p w14:paraId="0F9CB57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12、投标分项报价表</w:t>
      </w:r>
    </w:p>
    <w:p w14:paraId="1C3C60D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12.1投标人应按照招标文件规定格式填报投标分项报价表。</w:t>
      </w:r>
    </w:p>
    <w:p w14:paraId="7749FCD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12.2投标货币。投标文件中的单价和总价无特殊规定的采用人民币报价，以元为单位标注。招标文件中另有规定的按规定执行。</w:t>
      </w:r>
    </w:p>
    <w:p w14:paraId="49F88AD2">
      <w:pPr>
        <w:spacing w:line="360" w:lineRule="auto"/>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12.3投标人应按照投标文件格式完整地填写投标分项报价表，说明其拟提供服务的名称、服务内容、数量、价格等，采购人要求投标人明确填写的相关内容的，也应填写。</w:t>
      </w:r>
    </w:p>
    <w:p w14:paraId="07A16414">
      <w:pPr>
        <w:spacing w:line="360" w:lineRule="auto"/>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12.4每项服务内容只允许有一个报价，任何有选择的报价将不予接受。</w:t>
      </w:r>
    </w:p>
    <w:p w14:paraId="089B5194">
      <w:pPr>
        <w:spacing w:line="360" w:lineRule="auto"/>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p>
    <w:p w14:paraId="3B16F24E">
      <w:pPr>
        <w:spacing w:line="360" w:lineRule="auto"/>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上述费用由各投标人在投标时自行综合考虑分摊含进投标报价中，且不得单列，采购人不承担此费用。</w:t>
      </w:r>
    </w:p>
    <w:p w14:paraId="5004C6D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13、技术要求响应及偏离表、商务要求响应及偏离表</w:t>
      </w:r>
    </w:p>
    <w:p w14:paraId="257767F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13.1投标人需对招标文件中的技术要求与商务要求逐项作出响应或偏离，并说明原因。</w:t>
      </w:r>
    </w:p>
    <w:p w14:paraId="7A1AFC44">
      <w:pPr>
        <w:tabs>
          <w:tab w:val="left" w:pos="1036"/>
        </w:tabs>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13.2投标人可在投标文件中提供认为需要的其他技术文件或说明。</w:t>
      </w:r>
    </w:p>
    <w:p w14:paraId="6813E1BF">
      <w:pPr>
        <w:spacing w:line="360" w:lineRule="auto"/>
        <w:ind w:firstLine="480"/>
        <w:rPr>
          <w:rFonts w:hint="eastAsia" w:asciiTheme="minorEastAsia" w:hAnsiTheme="minorEastAsia" w:eastAsiaTheme="minorEastAsia" w:cstheme="minorEastAsia"/>
          <w:color w:val="auto"/>
          <w:sz w:val="24"/>
          <w:highlight w:val="none"/>
        </w:rPr>
      </w:pPr>
      <w:bookmarkStart w:id="88" w:name="_Toc14577359"/>
      <w:bookmarkStart w:id="89" w:name="_Toc49090510"/>
      <w:r>
        <w:rPr>
          <w:rFonts w:hint="eastAsia" w:asciiTheme="minorEastAsia" w:hAnsiTheme="minorEastAsia" w:eastAsiaTheme="minorEastAsia" w:cstheme="minorEastAsia"/>
          <w:color w:val="auto"/>
          <w:sz w:val="24"/>
          <w:highlight w:val="none"/>
        </w:rPr>
        <w:t>14、投标函和开标一览表</w:t>
      </w:r>
      <w:bookmarkEnd w:id="88"/>
      <w:bookmarkEnd w:id="89"/>
    </w:p>
    <w:p w14:paraId="171D6F5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14.1投标人应按照招标文件中提供的格式完整、正确填写投标函、开标一览表。</w:t>
      </w:r>
    </w:p>
    <w:p w14:paraId="3676D45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sz w:val="24"/>
          <w:highlight w:val="none"/>
        </w:rPr>
        <w:t>。</w:t>
      </w:r>
    </w:p>
    <w:p w14:paraId="77122FF1">
      <w:pPr>
        <w:spacing w:line="360" w:lineRule="auto"/>
        <w:ind w:firstLine="480"/>
        <w:rPr>
          <w:rFonts w:hint="eastAsia" w:asciiTheme="minorEastAsia" w:hAnsiTheme="minorEastAsia" w:eastAsiaTheme="minorEastAsia" w:cstheme="minorEastAsia"/>
          <w:color w:val="auto"/>
          <w:sz w:val="24"/>
          <w:highlight w:val="none"/>
        </w:rPr>
      </w:pPr>
      <w:bookmarkStart w:id="90" w:name="_Toc14577360"/>
      <w:bookmarkStart w:id="91" w:name="_Toc49090511"/>
      <w:r>
        <w:rPr>
          <w:rFonts w:hint="eastAsia" w:asciiTheme="minorEastAsia" w:hAnsiTheme="minorEastAsia" w:eastAsiaTheme="minorEastAsia" w:cstheme="minorEastAsia"/>
          <w:color w:val="auto"/>
          <w:sz w:val="24"/>
          <w:highlight w:val="none"/>
        </w:rPr>
        <w:t>15、投标有效期</w:t>
      </w:r>
      <w:bookmarkEnd w:id="90"/>
      <w:bookmarkEnd w:id="91"/>
    </w:p>
    <w:p w14:paraId="13A2C5FC">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15.1投标有效期为采购代理机构或采购人规定的开标之日后</w:t>
      </w:r>
      <w:r>
        <w:rPr>
          <w:rFonts w:hint="eastAsia" w:asciiTheme="minorEastAsia" w:hAnsiTheme="minorEastAsia" w:eastAsiaTheme="minorEastAsia" w:cstheme="minorEastAsia"/>
          <w:b/>
          <w:color w:val="auto"/>
          <w:sz w:val="24"/>
          <w:highlight w:val="none"/>
          <w:u w:val="single"/>
        </w:rPr>
        <w:t>九十（90）天</w:t>
      </w:r>
      <w:r>
        <w:rPr>
          <w:rFonts w:hint="eastAsia" w:asciiTheme="minorEastAsia" w:hAnsiTheme="minorEastAsia" w:eastAsiaTheme="minorEastAsia" w:cstheme="minorEastAsia"/>
          <w:color w:val="auto"/>
          <w:sz w:val="24"/>
          <w:highlight w:val="none"/>
        </w:rPr>
        <w:t>。投标有效期比规定短的将被视为未实质性响应招标文件而予以拒绝。</w:t>
      </w:r>
    </w:p>
    <w:p w14:paraId="4F3FC74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16、投标有效期的延长</w:t>
      </w:r>
    </w:p>
    <w:p w14:paraId="65782C6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16.1在特殊情况下，采购代理机构或采购人于原投标有效期满之前，可向投标人提出延长投标有效期的要求。这种要求与答复均应采用书面形式。投标人可以拒绝采购代理机构或采购人的这一要求而放弃投标。同意延长投标有效期的投标人既不能要求也不允许修改其投标文件，同时受投标有效期约束的所有权利与义务均延长至新的有效期。</w:t>
      </w:r>
    </w:p>
    <w:p w14:paraId="3DA559B1">
      <w:pPr>
        <w:spacing w:line="360" w:lineRule="auto"/>
        <w:ind w:firstLine="482"/>
        <w:rPr>
          <w:rFonts w:hint="eastAsia" w:asciiTheme="minorEastAsia" w:hAnsiTheme="minorEastAsia" w:eastAsiaTheme="minorEastAsia" w:cstheme="minorEastAsia"/>
          <w:color w:val="auto"/>
          <w:sz w:val="24"/>
          <w:highlight w:val="none"/>
        </w:rPr>
      </w:pPr>
      <w:bookmarkStart w:id="92" w:name="_Toc16938540"/>
      <w:bookmarkStart w:id="93" w:name="_Toc20823296"/>
      <w:bookmarkStart w:id="94" w:name="_Toc513029224"/>
      <w:bookmarkStart w:id="95" w:name="_Toc120614217"/>
      <w:r>
        <w:rPr>
          <w:rFonts w:hint="eastAsia" w:asciiTheme="minorEastAsia" w:hAnsiTheme="minorEastAsia" w:eastAsiaTheme="minorEastAsia" w:cstheme="minorEastAsia"/>
          <w:b/>
          <w:color w:val="auto"/>
          <w:sz w:val="24"/>
          <w:highlight w:val="none"/>
        </w:rPr>
        <w:t>四、投标文件的递交</w:t>
      </w:r>
      <w:bookmarkEnd w:id="92"/>
      <w:bookmarkEnd w:id="93"/>
      <w:bookmarkEnd w:id="94"/>
      <w:bookmarkEnd w:id="95"/>
    </w:p>
    <w:p w14:paraId="7DA79496">
      <w:pPr>
        <w:spacing w:line="360" w:lineRule="auto"/>
        <w:ind w:firstLine="480"/>
        <w:rPr>
          <w:rFonts w:hint="eastAsia" w:asciiTheme="minorEastAsia" w:hAnsiTheme="minorEastAsia" w:eastAsiaTheme="minorEastAsia" w:cstheme="minorEastAsia"/>
          <w:color w:val="auto"/>
          <w:sz w:val="24"/>
          <w:highlight w:val="none"/>
        </w:rPr>
      </w:pPr>
      <w:bookmarkStart w:id="96" w:name="_Toc20823297"/>
      <w:bookmarkStart w:id="97" w:name="_Toc462564084"/>
      <w:bookmarkStart w:id="98" w:name="_Toc513029225"/>
      <w:bookmarkStart w:id="99" w:name="_Toc16938541"/>
      <w:r>
        <w:rPr>
          <w:rFonts w:hint="eastAsia" w:asciiTheme="minorEastAsia" w:hAnsiTheme="minorEastAsia" w:eastAsiaTheme="minorEastAsia" w:cstheme="minorEastAsia"/>
          <w:color w:val="auto"/>
          <w:sz w:val="24"/>
          <w:highlight w:val="none"/>
        </w:rPr>
        <w:t>17、投标文件</w:t>
      </w:r>
      <w:bookmarkEnd w:id="96"/>
      <w:bookmarkEnd w:id="97"/>
      <w:bookmarkEnd w:id="98"/>
      <w:bookmarkEnd w:id="99"/>
      <w:r>
        <w:rPr>
          <w:rFonts w:hint="eastAsia" w:asciiTheme="minorEastAsia" w:hAnsiTheme="minorEastAsia" w:eastAsiaTheme="minorEastAsia" w:cstheme="minorEastAsia"/>
          <w:color w:val="auto"/>
          <w:sz w:val="24"/>
          <w:highlight w:val="none"/>
        </w:rPr>
        <w:t>的递交</w:t>
      </w:r>
    </w:p>
    <w:p w14:paraId="163A625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17.1电子投标文件的递交</w:t>
      </w:r>
    </w:p>
    <w:p w14:paraId="3DCE840D">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投标人应当按照《操作手册》规定，在投标截止时间前制作并上传电子投标文件。</w:t>
      </w:r>
      <w:bookmarkStart w:id="100" w:name="_Toc16938542"/>
      <w:bookmarkEnd w:id="100"/>
      <w:bookmarkStart w:id="101" w:name="_Toc20823298"/>
      <w:bookmarkEnd w:id="101"/>
    </w:p>
    <w:p w14:paraId="22A9A53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18、投标截止时间</w:t>
      </w:r>
    </w:p>
    <w:p w14:paraId="59647D3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
          <w:color w:val="auto"/>
          <w:sz w:val="24"/>
          <w:highlight w:val="none"/>
          <w:u w:val="single"/>
        </w:rPr>
        <w:t>18.1投标人上传电子投标文件的时间不得迟于招标公告中规定的投标截止时间。</w:t>
      </w:r>
    </w:p>
    <w:p w14:paraId="56D2EA5C">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投标人应充分考虑到网络环境、网络带宽等风险因素，如因投标人自身原因造成的电子投标文件上传不成功的按照本招标文件第二章第26.1.2条规定做无效投标处理。</w:t>
      </w:r>
    </w:p>
    <w:p w14:paraId="7DFB6F8C">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18.2采购代理机构或采购人可以按照规定，通过修改招标文件酌情延长投标截止时间，在此情况下，投标人的所有权利和义务以及投标人受制的截止时间均应以延长后新的截止时间为准。</w:t>
      </w:r>
    </w:p>
    <w:p w14:paraId="2B92A180">
      <w:pPr>
        <w:spacing w:line="360" w:lineRule="auto"/>
        <w:ind w:firstLine="480"/>
        <w:rPr>
          <w:rFonts w:hint="eastAsia" w:asciiTheme="minorEastAsia" w:hAnsiTheme="minorEastAsia" w:eastAsiaTheme="minorEastAsia" w:cstheme="minorEastAsia"/>
          <w:color w:val="auto"/>
          <w:sz w:val="24"/>
          <w:highlight w:val="none"/>
        </w:rPr>
      </w:pPr>
      <w:bookmarkStart w:id="102" w:name="_Toc16938543"/>
      <w:bookmarkStart w:id="103" w:name="_Toc20823299"/>
      <w:bookmarkStart w:id="104" w:name="_Toc513029227"/>
      <w:r>
        <w:rPr>
          <w:rFonts w:hint="eastAsia" w:asciiTheme="minorEastAsia" w:hAnsiTheme="minorEastAsia" w:eastAsiaTheme="minorEastAsia" w:cstheme="minorEastAsia"/>
          <w:color w:val="auto"/>
          <w:sz w:val="24"/>
          <w:highlight w:val="none"/>
        </w:rPr>
        <w:t>19、投标文件</w:t>
      </w:r>
      <w:bookmarkEnd w:id="102"/>
      <w:bookmarkEnd w:id="103"/>
      <w:bookmarkEnd w:id="104"/>
      <w:r>
        <w:rPr>
          <w:rFonts w:hint="eastAsia" w:asciiTheme="minorEastAsia" w:hAnsiTheme="minorEastAsia" w:eastAsiaTheme="minorEastAsia" w:cstheme="minorEastAsia"/>
          <w:color w:val="auto"/>
          <w:sz w:val="24"/>
          <w:highlight w:val="none"/>
        </w:rPr>
        <w:t>的拒收</w:t>
      </w:r>
    </w:p>
    <w:p w14:paraId="482C770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19.1采购代理机构或采购人拒绝接收在其规定的投标截止时间后上传的任何投标文件。</w:t>
      </w:r>
    </w:p>
    <w:p w14:paraId="4E106F2D">
      <w:pPr>
        <w:spacing w:line="360" w:lineRule="auto"/>
        <w:ind w:firstLine="480"/>
        <w:rPr>
          <w:rFonts w:hint="eastAsia" w:asciiTheme="minorEastAsia" w:hAnsiTheme="minorEastAsia" w:eastAsiaTheme="minorEastAsia" w:cstheme="minorEastAsia"/>
          <w:color w:val="auto"/>
          <w:sz w:val="24"/>
          <w:highlight w:val="none"/>
        </w:rPr>
      </w:pPr>
      <w:bookmarkStart w:id="105" w:name="_Toc513029228"/>
      <w:bookmarkStart w:id="106" w:name="_Toc16938544"/>
      <w:bookmarkStart w:id="107" w:name="_Toc20823300"/>
      <w:r>
        <w:rPr>
          <w:rFonts w:hint="eastAsia" w:asciiTheme="minorEastAsia" w:hAnsiTheme="minorEastAsia" w:eastAsiaTheme="minorEastAsia" w:cstheme="minorEastAsia"/>
          <w:color w:val="auto"/>
          <w:sz w:val="24"/>
          <w:highlight w:val="none"/>
        </w:rPr>
        <w:t>20、投标文件的撤回和修改</w:t>
      </w:r>
      <w:bookmarkEnd w:id="105"/>
      <w:bookmarkEnd w:id="106"/>
      <w:bookmarkEnd w:id="107"/>
    </w:p>
    <w:p w14:paraId="51F4E71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20.1投标文件的撤回</w:t>
      </w:r>
    </w:p>
    <w:p w14:paraId="31FE363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20.1.1电子投标文件的撤回</w:t>
      </w:r>
    </w:p>
    <w:p w14:paraId="08811A3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投标人可在投标截止时间前，撤回其电子投标文件，具体操作方法见《操作手册》。</w:t>
      </w:r>
    </w:p>
    <w:p w14:paraId="6F860EF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20.1.2投标人撤回电子投标文件，则认为其不再参与本项目投标活动。</w:t>
      </w:r>
    </w:p>
    <w:p w14:paraId="73499AF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20.2投标文件的修改</w:t>
      </w:r>
    </w:p>
    <w:p w14:paraId="1C3618FC">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20.2.1投标人可在投标截止时间前，对其电子投标文件进行修改，具体操作方法见《操作手册》。</w:t>
      </w:r>
    </w:p>
    <w:p w14:paraId="1F319A9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20.2.2在投标截止时间之后，投标人不得对其电子投标文件作任何修改。</w:t>
      </w:r>
    </w:p>
    <w:p w14:paraId="5FF5E37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20.3在投标截止时间至招标文件中规定的投标有效期满之间的这段时间内，投标人不得撤回其投标。</w:t>
      </w:r>
    </w:p>
    <w:p w14:paraId="3A549220">
      <w:pPr>
        <w:spacing w:line="360" w:lineRule="auto"/>
        <w:ind w:firstLine="482"/>
        <w:rPr>
          <w:rFonts w:hint="eastAsia" w:asciiTheme="minorEastAsia" w:hAnsiTheme="minorEastAsia" w:eastAsiaTheme="minorEastAsia" w:cstheme="minorEastAsia"/>
          <w:color w:val="auto"/>
          <w:sz w:val="24"/>
          <w:highlight w:val="none"/>
        </w:rPr>
      </w:pPr>
      <w:bookmarkStart w:id="108" w:name="_Toc120614218"/>
      <w:bookmarkStart w:id="109" w:name="_Toc513029229"/>
      <w:bookmarkStart w:id="110" w:name="_Toc16938545"/>
      <w:bookmarkStart w:id="111" w:name="_Toc20823301"/>
      <w:r>
        <w:rPr>
          <w:rFonts w:hint="eastAsia" w:asciiTheme="minorEastAsia" w:hAnsiTheme="minorEastAsia" w:eastAsiaTheme="minorEastAsia" w:cstheme="minorEastAsia"/>
          <w:b/>
          <w:color w:val="auto"/>
          <w:sz w:val="24"/>
          <w:highlight w:val="none"/>
        </w:rPr>
        <w:t>五、开标与评标</w:t>
      </w:r>
      <w:bookmarkEnd w:id="108"/>
      <w:bookmarkEnd w:id="109"/>
      <w:bookmarkEnd w:id="110"/>
      <w:bookmarkEnd w:id="111"/>
    </w:p>
    <w:p w14:paraId="6A5CA858">
      <w:pPr>
        <w:spacing w:line="360" w:lineRule="auto"/>
        <w:ind w:firstLine="480"/>
        <w:rPr>
          <w:rFonts w:hint="eastAsia" w:asciiTheme="minorEastAsia" w:hAnsiTheme="minorEastAsia" w:eastAsiaTheme="minorEastAsia" w:cstheme="minorEastAsia"/>
          <w:color w:val="auto"/>
          <w:sz w:val="24"/>
          <w:highlight w:val="none"/>
        </w:rPr>
      </w:pPr>
      <w:bookmarkStart w:id="112" w:name="_Toc513029230"/>
      <w:bookmarkStart w:id="113" w:name="_Toc16938546"/>
      <w:bookmarkStart w:id="114" w:name="_Toc20823302"/>
      <w:r>
        <w:rPr>
          <w:rFonts w:hint="eastAsia" w:asciiTheme="minorEastAsia" w:hAnsiTheme="minorEastAsia" w:eastAsiaTheme="minorEastAsia" w:cstheme="minorEastAsia"/>
          <w:color w:val="auto"/>
          <w:sz w:val="24"/>
          <w:highlight w:val="none"/>
        </w:rPr>
        <w:t>21、开标</w:t>
      </w:r>
      <w:bookmarkEnd w:id="112"/>
      <w:bookmarkEnd w:id="113"/>
      <w:bookmarkEnd w:id="114"/>
    </w:p>
    <w:p w14:paraId="07E1F06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21.1采购代理机构将在招标公告中规定的时间和地点组织公开开标。投标人应当按照《操作手册》规定，参加开标活动和在苏采云系统规定的时间内对投标文件进行解密。</w:t>
      </w:r>
    </w:p>
    <w:p w14:paraId="4D120B19">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21.2开标仪式由采购代理机构或采购人组织。苏采云系统将自动对项目进行开标，并宣布各投标人名称和投标价格。</w:t>
      </w:r>
    </w:p>
    <w:p w14:paraId="79F75217">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21.3投标人在开标过程中涉及到的投标文件解密、开标结果确认等工作，应按照《操作手册》规定执行。</w:t>
      </w:r>
    </w:p>
    <w:p w14:paraId="06C5937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21.4投标人如果对开标过程和开标记录有疑义，应当根据《操作手册》规定提出，如苏采云系统中《开标记录表》宣布后5分钟内未提出的，视同认可开标结果。</w:t>
      </w:r>
    </w:p>
    <w:p w14:paraId="21093A01">
      <w:pPr>
        <w:spacing w:line="360" w:lineRule="auto"/>
        <w:ind w:firstLine="480"/>
        <w:rPr>
          <w:rFonts w:hint="eastAsia" w:asciiTheme="minorEastAsia" w:hAnsiTheme="minorEastAsia" w:eastAsiaTheme="minorEastAsia" w:cstheme="minorEastAsia"/>
          <w:color w:val="auto"/>
          <w:sz w:val="24"/>
          <w:highlight w:val="none"/>
        </w:rPr>
      </w:pPr>
      <w:bookmarkStart w:id="115" w:name="_Toc20823303"/>
      <w:bookmarkStart w:id="116" w:name="_Toc513029231"/>
      <w:bookmarkStart w:id="117" w:name="_Toc16938547"/>
      <w:r>
        <w:rPr>
          <w:rFonts w:hint="eastAsia" w:asciiTheme="minorEastAsia" w:hAnsiTheme="minorEastAsia" w:eastAsiaTheme="minorEastAsia" w:cstheme="minorEastAsia"/>
          <w:color w:val="auto"/>
          <w:sz w:val="24"/>
          <w:highlight w:val="none"/>
        </w:rPr>
        <w:t>22、评标委员会</w:t>
      </w:r>
      <w:bookmarkEnd w:id="115"/>
      <w:bookmarkEnd w:id="116"/>
      <w:bookmarkEnd w:id="117"/>
    </w:p>
    <w:p w14:paraId="6D88EEF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22.1开标后，采购代理机构或采购人将立即组织评标委员会（以下简称评委会）进行评标。</w:t>
      </w:r>
    </w:p>
    <w:p w14:paraId="43F5466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22.2评委会由采购人代表和有关技术、经济等方面的专家组成，且人员构成符合政府采购有关规定。</w:t>
      </w:r>
    </w:p>
    <w:p w14:paraId="6F42DE89">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22.3评委会独立工作，负责评审所有投标文件并确定中标候选人。</w:t>
      </w:r>
    </w:p>
    <w:p w14:paraId="3FB650D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23、评标过程的保密与公正</w:t>
      </w:r>
    </w:p>
    <w:p w14:paraId="516D4E3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23.1凡是与审查、澄清、评价和比较投标的有关资料以及授标建议等，采购人、评委、采购代理机构均不得向投标人或与评标无关的其他人员透露。</w:t>
      </w:r>
    </w:p>
    <w:p w14:paraId="47E0354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23.2在评标过程中，投标人不得以任何行为影响评标过程，否则其投标文件将被作为无效投标文件。</w:t>
      </w:r>
    </w:p>
    <w:p w14:paraId="4BA1C1E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23.3采购代理机构或采购人和评标委员会不向未中标的投标人解释未中标原因，也不公布评标过程中的相关细节。</w:t>
      </w:r>
    </w:p>
    <w:p w14:paraId="6F578BC9">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23.4采用综合评分法的项目，未中标的投标人可于中标结果公告期限届满之日起通过苏采云系统查看自己的评审得分及排序情况。</w:t>
      </w:r>
    </w:p>
    <w:p w14:paraId="0025EFC6">
      <w:pPr>
        <w:spacing w:line="360" w:lineRule="auto"/>
        <w:ind w:firstLine="480"/>
        <w:rPr>
          <w:rFonts w:hint="eastAsia" w:asciiTheme="minorEastAsia" w:hAnsiTheme="minorEastAsia" w:eastAsiaTheme="minorEastAsia" w:cstheme="minorEastAsia"/>
          <w:color w:val="auto"/>
          <w:sz w:val="24"/>
          <w:highlight w:val="none"/>
        </w:rPr>
      </w:pPr>
      <w:bookmarkStart w:id="118" w:name="_Toc513029232"/>
      <w:bookmarkStart w:id="119" w:name="_Toc16938548"/>
      <w:bookmarkStart w:id="120" w:name="_Toc20823304"/>
      <w:r>
        <w:rPr>
          <w:rFonts w:hint="eastAsia" w:asciiTheme="minorEastAsia" w:hAnsiTheme="minorEastAsia" w:eastAsiaTheme="minorEastAsia" w:cstheme="minorEastAsia"/>
          <w:color w:val="auto"/>
          <w:sz w:val="24"/>
          <w:highlight w:val="none"/>
        </w:rPr>
        <w:t>24、投标文件的澄清</w:t>
      </w:r>
      <w:bookmarkEnd w:id="118"/>
      <w:bookmarkEnd w:id="119"/>
      <w:bookmarkEnd w:id="120"/>
    </w:p>
    <w:p w14:paraId="046DBF1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24.1评标期间，评委会对投标文件中含义不明确、同类问题表述不一致或者有明显文字和计算错误的内容，有权要求投标人作出必要的澄清、说明或者补正。</w:t>
      </w:r>
    </w:p>
    <w:p w14:paraId="11CDBA8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投标人的澄清、说明或者补正不得超出投标文件的范围或者改变投标文件的实质性内容。</w:t>
      </w:r>
    </w:p>
    <w:p w14:paraId="0ED7BAD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评标委员会并非对每个投标人都做澄清要求。</w:t>
      </w:r>
    </w:p>
    <w:p w14:paraId="516CE9F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202C7F1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24.3接到评委会澄清、说明和补正要求的投标人如未按规定作出澄清、说明和补正，其风险由投标人自行承担。</w:t>
      </w:r>
    </w:p>
    <w:p w14:paraId="7039CD65">
      <w:pPr>
        <w:spacing w:line="360" w:lineRule="auto"/>
        <w:ind w:firstLine="480"/>
        <w:rPr>
          <w:rFonts w:hint="eastAsia" w:asciiTheme="minorEastAsia" w:hAnsiTheme="minorEastAsia" w:eastAsiaTheme="minorEastAsia" w:cstheme="minorEastAsia"/>
          <w:color w:val="auto"/>
          <w:sz w:val="24"/>
          <w:highlight w:val="none"/>
        </w:rPr>
      </w:pPr>
      <w:bookmarkStart w:id="121" w:name="_Toc16938549"/>
      <w:bookmarkStart w:id="122" w:name="_Toc20823305"/>
      <w:bookmarkStart w:id="123" w:name="_Toc513029233"/>
      <w:r>
        <w:rPr>
          <w:rFonts w:hint="eastAsia" w:asciiTheme="minorEastAsia" w:hAnsiTheme="minorEastAsia" w:eastAsiaTheme="minorEastAsia" w:cstheme="minorEastAsia"/>
          <w:color w:val="auto"/>
          <w:sz w:val="24"/>
          <w:highlight w:val="none"/>
        </w:rPr>
        <w:t>25、对投标文件的初审</w:t>
      </w:r>
      <w:bookmarkEnd w:id="121"/>
      <w:bookmarkEnd w:id="122"/>
      <w:bookmarkEnd w:id="123"/>
    </w:p>
    <w:p w14:paraId="63E91926">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25.1投标文件初审分为资格审查和符合性审查。</w:t>
      </w:r>
    </w:p>
    <w:p w14:paraId="352DEC6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25.1.1资格审查：依据法律法规和招标文件的规定，由采购人对投标文件中的资格证明文件进行审查。资格审查的结论，采购人以书面形式向评委会进行反馈。</w:t>
      </w:r>
    </w:p>
    <w:p w14:paraId="54BD5EF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采购人在进行资格性审查的同时，将在“信用中国”网站（www.creditchina.gov.cn）查询投标人的信用记录，以确定投标人是否具备投标资格，查询结果留存并归档。</w:t>
      </w:r>
    </w:p>
    <w:p w14:paraId="3EB4072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14:paraId="42508376">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25.1.2符合性审查：依据招标文件的规定，由评委会从投标文件的有效性、完整性和对招标文件的响应程度进行审查，以确定是否对招标文件的实质性要求作出响应。</w:t>
      </w:r>
    </w:p>
    <w:p w14:paraId="0DEFF0A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25.1.3未通过资格审查或符合性审查的投标人，采购代理机构或采购人将在苏采云系统中告知未通过资格审查或符合性审查的原因，评标结束后，采购代理机构或采购人将不再告知未通过资格审查和符合性审查的原因。</w:t>
      </w:r>
    </w:p>
    <w:p w14:paraId="2F028A9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930204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D73F23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25.3如果投标文件实质上没有响应招标文件的要求，评委会将予以拒绝，投标人不得通过修改或撤销不符合要求的偏离或保留而使其投标成为实质性响应的投标。</w:t>
      </w:r>
    </w:p>
    <w:p w14:paraId="454EB2B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25.4评委会将对确定为实质性响应的投标进行进一步审核，确定其是否有计算上或累加上的算术错误，修正错误的原则如下：</w:t>
      </w:r>
    </w:p>
    <w:p w14:paraId="75DAFA5D">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（1）投标文件中开标一览表内容与投标文件中相应内容不一致的，以开标一览表为准。</w:t>
      </w:r>
    </w:p>
    <w:p w14:paraId="75EEBF46">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（2）大写金额和小写金额不一致的，以大写金额为准。</w:t>
      </w:r>
    </w:p>
    <w:p w14:paraId="7F45853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（3）单价金额小数点或者百分比有明显错位的，以开标一览表的总价为准，并修改单价。</w:t>
      </w:r>
    </w:p>
    <w:p w14:paraId="678B1BCC">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（4）总价金额与按单价汇总金额不一致的，以单价金额计算结果为准。</w:t>
      </w:r>
    </w:p>
    <w:p w14:paraId="48BF8A99">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同时出现两种以上错误的，按照前款规定的顺序修正。</w:t>
      </w:r>
    </w:p>
    <w:p w14:paraId="3ABE995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DE580F8">
      <w:pPr>
        <w:spacing w:line="360" w:lineRule="auto"/>
        <w:ind w:firstLine="480"/>
        <w:rPr>
          <w:rFonts w:hint="eastAsia" w:asciiTheme="minorEastAsia" w:hAnsiTheme="minorEastAsia" w:eastAsiaTheme="minorEastAsia" w:cstheme="minorEastAsia"/>
          <w:color w:val="auto"/>
          <w:sz w:val="24"/>
          <w:highlight w:val="none"/>
        </w:rPr>
      </w:pPr>
      <w:bookmarkStart w:id="124" w:name="_Toc20823306"/>
      <w:bookmarkStart w:id="125" w:name="_Toc513029234"/>
      <w:bookmarkStart w:id="126" w:name="_Toc16938550"/>
      <w:r>
        <w:rPr>
          <w:rFonts w:hint="eastAsia" w:asciiTheme="minorEastAsia" w:hAnsiTheme="minorEastAsia" w:eastAsiaTheme="minorEastAsia" w:cstheme="minorEastAsia"/>
          <w:color w:val="auto"/>
          <w:sz w:val="24"/>
          <w:highlight w:val="none"/>
        </w:rPr>
        <w:t>25.6投标人在开、评标全过程中应保持通信畅通，及时登录苏采云系统查阅、答复相关信息，并安排专人与采购代理机构或采购人及评标委员会联系。</w:t>
      </w:r>
      <w:bookmarkEnd w:id="124"/>
      <w:bookmarkEnd w:id="125"/>
      <w:bookmarkEnd w:id="126"/>
    </w:p>
    <w:p w14:paraId="670F648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26、无效投标条款和废标条款</w:t>
      </w:r>
    </w:p>
    <w:p w14:paraId="6E9DC816">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26.1无效投标条款</w:t>
      </w:r>
    </w:p>
    <w:p w14:paraId="68C0FE11">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26.1.1投标人在苏采云系统规定的时间内未成功解密电子投标文件的。</w:t>
      </w:r>
    </w:p>
    <w:p w14:paraId="08AC8AB0">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26.1.2投标人未按照招标文件要求上传电子投标文件的。</w:t>
      </w:r>
    </w:p>
    <w:p w14:paraId="3C9ADCDC">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26.1.3同一投标人提交两个（含两个）以上不同的投标报价的。</w:t>
      </w:r>
    </w:p>
    <w:p w14:paraId="1334BE46">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26.1.4投标人不具备招标文件中规定资格要求的。</w:t>
      </w:r>
    </w:p>
    <w:p w14:paraId="5A4A2783">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26.1.5投标人的报价超过了采购预算或最高限价的。</w:t>
      </w:r>
    </w:p>
    <w:p w14:paraId="217F4E30">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26.1.6未通过符合性审查的。</w:t>
      </w:r>
    </w:p>
    <w:p w14:paraId="020DA649">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26.1.7不符合招标文件中规定的实质性要求和条件的（本招标文件中斜体且有下划线部分为实质性要求和条件）。</w:t>
      </w:r>
    </w:p>
    <w:p w14:paraId="405417FC">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D241E95">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26.1.9投标文件含有采购人不能接受的附加条件的。</w:t>
      </w:r>
    </w:p>
    <w:p w14:paraId="24C85414">
      <w:pPr>
        <w:widowControl w:val="0"/>
        <w:spacing w:line="360" w:lineRule="auto"/>
        <w:ind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26.1.10投标人不能证明其报价合理性的，评标委员会应当将其作为无效投标处理。</w:t>
      </w:r>
    </w:p>
    <w:p w14:paraId="67891D90">
      <w:pPr>
        <w:widowControl w:val="0"/>
        <w:spacing w:line="360" w:lineRule="auto"/>
        <w:ind w:firstLine="482"/>
        <w:jc w:val="both"/>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color w:val="FF0000"/>
          <w:sz w:val="24"/>
          <w:highlight w:val="none"/>
        </w:rPr>
        <w:t>（一）评审过程中出现下列情形之一的，评标委员会应当启动异常低价投标审查程序：</w:t>
      </w:r>
    </w:p>
    <w:p w14:paraId="09EE6178">
      <w:pPr>
        <w:widowControl w:val="0"/>
        <w:spacing w:line="360" w:lineRule="auto"/>
        <w:ind w:firstLine="482"/>
        <w:jc w:val="both"/>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color w:val="FF0000"/>
          <w:sz w:val="24"/>
          <w:highlight w:val="none"/>
        </w:rPr>
        <w:t>1.投标（响应）报价低于全部通过符合性审查供应商投标（响应）报价平均值50%的，即投标（响应）报价&lt;全部通过符合性审查供应商投标（响应）报价平均值×50%；</w:t>
      </w:r>
    </w:p>
    <w:p w14:paraId="69CAEB6C">
      <w:pPr>
        <w:widowControl w:val="0"/>
        <w:spacing w:line="360" w:lineRule="auto"/>
        <w:ind w:firstLine="482"/>
        <w:jc w:val="both"/>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color w:val="FF0000"/>
          <w:sz w:val="24"/>
          <w:highlight w:val="none"/>
        </w:rPr>
        <w:t>2.投标（响应）报价低于通过符合性审查的次低报价供应商投标（响应）报价50%的，即投标（响应）报价&lt;通过符合性审查的次低报价供应商投标（响应）报价×50%；</w:t>
      </w:r>
    </w:p>
    <w:p w14:paraId="4D8F5B0B">
      <w:pPr>
        <w:widowControl w:val="0"/>
        <w:spacing w:line="360" w:lineRule="auto"/>
        <w:ind w:firstLine="482"/>
        <w:jc w:val="both"/>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color w:val="FF0000"/>
          <w:sz w:val="24"/>
          <w:highlight w:val="none"/>
        </w:rPr>
        <w:t>3.投标（响应）报价低于采购项目最高限价45%的，即投标（响应）报价&lt;采购项目最高限价×45%；</w:t>
      </w:r>
    </w:p>
    <w:p w14:paraId="64496C86">
      <w:pPr>
        <w:widowControl w:val="0"/>
        <w:spacing w:line="360" w:lineRule="auto"/>
        <w:ind w:firstLine="482"/>
        <w:jc w:val="both"/>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color w:val="FF0000"/>
          <w:sz w:val="24"/>
          <w:highlight w:val="none"/>
        </w:rPr>
        <w:t>4.评审委员会基于专业判断，认为供应商报价过低，有可能影响产品质量或者不能诚信履约的其他情形。</w:t>
      </w:r>
    </w:p>
    <w:p w14:paraId="59EE70B1">
      <w:pPr>
        <w:widowControl w:val="0"/>
        <w:spacing w:line="360" w:lineRule="auto"/>
        <w:ind w:firstLine="482"/>
        <w:jc w:val="both"/>
        <w:rPr>
          <w:rFonts w:hint="eastAsia" w:asciiTheme="minorEastAsia" w:hAnsiTheme="minorEastAsia" w:eastAsiaTheme="minorEastAsia" w:cstheme="minorEastAsia"/>
          <w:b/>
          <w:bCs/>
          <w:color w:val="FF0000"/>
          <w:sz w:val="24"/>
          <w:highlight w:val="none"/>
          <w:u w:val="single"/>
        </w:rPr>
      </w:pPr>
      <w:r>
        <w:rPr>
          <w:rFonts w:hint="eastAsia" w:asciiTheme="minorEastAsia" w:hAnsiTheme="minorEastAsia" w:eastAsiaTheme="minorEastAsia" w:cstheme="minorEastAsia"/>
          <w:b/>
          <w:bCs/>
          <w:color w:val="FF0000"/>
          <w:sz w:val="24"/>
          <w:highlight w:val="none"/>
          <w:u w:val="single"/>
        </w:rPr>
        <w:t>提醒：采购人可以结合具体项目实际情况，提高上述第1项至第3项中启动异常低价投标（响应）审查的数值标准，但是最高不得超过65%。</w:t>
      </w:r>
    </w:p>
    <w:p w14:paraId="5B1A6782">
      <w:pPr>
        <w:widowControl w:val="0"/>
        <w:spacing w:line="360" w:lineRule="auto"/>
        <w:ind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相关法律法规对供应商报价有规定的，从其规定。</w:t>
      </w:r>
    </w:p>
    <w:p w14:paraId="38635677">
      <w:pPr>
        <w:widowControl w:val="0"/>
        <w:spacing w:line="360" w:lineRule="auto"/>
        <w:ind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3E3435C">
      <w:pPr>
        <w:widowControl w:val="0"/>
        <w:spacing w:line="360" w:lineRule="auto"/>
        <w:ind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300488">
      <w:pPr>
        <w:widowControl w:val="0"/>
        <w:spacing w:line="360" w:lineRule="auto"/>
        <w:ind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71850D">
      <w:pPr>
        <w:widowControl w:val="0"/>
        <w:spacing w:line="360" w:lineRule="auto"/>
        <w:ind w:firstLine="482"/>
        <w:jc w:val="both"/>
        <w:rPr>
          <w:rFonts w:hint="eastAsia"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color w:val="FF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E94DD28">
      <w:pPr>
        <w:spacing w:line="360" w:lineRule="auto"/>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26.1.11投标文件未按照招标文件要求加盖CA电子公章的。</w:t>
      </w:r>
    </w:p>
    <w:p w14:paraId="22A891B9">
      <w:pPr>
        <w:widowControl w:val="0"/>
        <w:spacing w:line="360" w:lineRule="auto"/>
        <w:ind w:left="0"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26.1.12其他法律、法规及本招标文件规定的属无效投标的情形。</w:t>
      </w:r>
    </w:p>
    <w:p w14:paraId="0382AD47">
      <w:pPr>
        <w:widowControl w:val="0"/>
        <w:spacing w:line="360" w:lineRule="auto"/>
        <w:ind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26.2废标条款</w:t>
      </w:r>
    </w:p>
    <w:p w14:paraId="5D88999D">
      <w:pPr>
        <w:spacing w:line="360" w:lineRule="auto"/>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26.2.1符合专业条件的供应商或者对招标文件作实质响应的供应商不足三家的。</w:t>
      </w:r>
    </w:p>
    <w:p w14:paraId="092E1C4B">
      <w:pPr>
        <w:keepNext w:val="0"/>
        <w:keepLines w:val="0"/>
        <w:pageBreakBefore w:val="0"/>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26.2.2出现影响采购公正的违法、违规行为的。</w:t>
      </w:r>
    </w:p>
    <w:p w14:paraId="34E51F33">
      <w:pPr>
        <w:keepNext w:val="0"/>
        <w:keepLines w:val="0"/>
        <w:pageBreakBefore w:val="0"/>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26.2.3因重大变故，采购任务取消的。</w:t>
      </w:r>
    </w:p>
    <w:p w14:paraId="061A8C86">
      <w:pPr>
        <w:keepNext w:val="0"/>
        <w:keepLines w:val="0"/>
        <w:pageBreakBefore w:val="0"/>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26.2.4评标委员会认定招标文件存在歧义、重大缺陷导致评审工作无法进行。</w:t>
      </w:r>
    </w:p>
    <w:p w14:paraId="17009B9B">
      <w:pPr>
        <w:keepNext w:val="0"/>
        <w:keepLines w:val="0"/>
        <w:pageBreakBefore w:val="0"/>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26.2.5因苏采云系统系统故障原因造成开标不成功的。</w:t>
      </w:r>
    </w:p>
    <w:p w14:paraId="5E3BA110">
      <w:pPr>
        <w:keepNext w:val="0"/>
        <w:keepLines w:val="0"/>
        <w:pageBreakBefore w:val="0"/>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26.3 投标截止时间结束后参加投标的供应商不足三家的处理：</w:t>
      </w:r>
    </w:p>
    <w:p w14:paraId="0BE820EC">
      <w:pPr>
        <w:keepNext w:val="0"/>
        <w:keepLines w:val="0"/>
        <w:pageBreakBefore w:val="0"/>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26.3.1如出现投标截止时间结束后参加投标的供应商或者在评标期间对招标文件做出实质响应的供应商不足三家情况，按政府采购相关规定执行。</w:t>
      </w:r>
    </w:p>
    <w:p w14:paraId="37D052F3">
      <w:pPr>
        <w:spacing w:line="360" w:lineRule="auto"/>
        <w:ind w:firstLine="482"/>
        <w:rPr>
          <w:rFonts w:hint="eastAsia" w:asciiTheme="minorEastAsia" w:hAnsiTheme="minorEastAsia" w:eastAsiaTheme="minorEastAsia" w:cstheme="minorEastAsia"/>
          <w:color w:val="auto"/>
          <w:sz w:val="24"/>
          <w:highlight w:val="none"/>
        </w:rPr>
      </w:pPr>
      <w:bookmarkStart w:id="127" w:name="_Toc120614219"/>
      <w:r>
        <w:rPr>
          <w:rFonts w:hint="eastAsia" w:asciiTheme="minorEastAsia" w:hAnsiTheme="minorEastAsia" w:eastAsiaTheme="minorEastAsia" w:cstheme="minorEastAsia"/>
          <w:b/>
          <w:color w:val="auto"/>
          <w:sz w:val="24"/>
          <w:highlight w:val="none"/>
        </w:rPr>
        <w:t>六、定标</w:t>
      </w:r>
      <w:bookmarkEnd w:id="127"/>
    </w:p>
    <w:p w14:paraId="65389593">
      <w:pPr>
        <w:spacing w:line="360" w:lineRule="auto"/>
        <w:ind w:firstLine="480"/>
        <w:rPr>
          <w:rFonts w:hint="eastAsia" w:asciiTheme="minorEastAsia" w:hAnsiTheme="minorEastAsia" w:eastAsiaTheme="minorEastAsia" w:cstheme="minorEastAsia"/>
          <w:color w:val="auto"/>
          <w:sz w:val="24"/>
          <w:highlight w:val="none"/>
        </w:rPr>
      </w:pPr>
      <w:bookmarkStart w:id="128" w:name="_Toc20823310"/>
      <w:bookmarkStart w:id="129" w:name="_Toc16938554"/>
      <w:bookmarkStart w:id="130" w:name="_Toc513029238"/>
      <w:r>
        <w:rPr>
          <w:rFonts w:hint="eastAsia" w:asciiTheme="minorEastAsia" w:hAnsiTheme="minorEastAsia" w:eastAsiaTheme="minorEastAsia" w:cstheme="minorEastAsia"/>
          <w:color w:val="auto"/>
          <w:sz w:val="24"/>
          <w:highlight w:val="none"/>
        </w:rPr>
        <w:t>27、</w:t>
      </w:r>
      <w:bookmarkEnd w:id="128"/>
      <w:r>
        <w:rPr>
          <w:rFonts w:hint="eastAsia" w:asciiTheme="minorEastAsia" w:hAnsiTheme="minorEastAsia" w:eastAsiaTheme="minorEastAsia" w:cstheme="minorEastAsia"/>
          <w:color w:val="auto"/>
          <w:sz w:val="24"/>
          <w:highlight w:val="none"/>
        </w:rPr>
        <w:t>确定</w:t>
      </w:r>
      <w:bookmarkEnd w:id="129"/>
      <w:bookmarkEnd w:id="130"/>
      <w:r>
        <w:rPr>
          <w:rFonts w:hint="eastAsia" w:asciiTheme="minorEastAsia" w:hAnsiTheme="minorEastAsia" w:eastAsiaTheme="minorEastAsia" w:cstheme="minorEastAsia"/>
          <w:color w:val="auto"/>
          <w:sz w:val="24"/>
          <w:highlight w:val="none"/>
        </w:rPr>
        <w:t>中标单位</w:t>
      </w:r>
    </w:p>
    <w:p w14:paraId="270D30F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27.1中标候选人的选取原则和数量见招标文件第五章规定。</w:t>
      </w:r>
    </w:p>
    <w:p w14:paraId="70372BB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27.2采购人应根据评委会推荐的中标候选人确定中标人。</w:t>
      </w:r>
    </w:p>
    <w:p w14:paraId="216A16E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27.3采购代理机构或采购人将在“中国政府采购网”“江苏政府采购网”“盐城市政府采购网”发布中标公告，公告期限为1个工作日。</w:t>
      </w:r>
    </w:p>
    <w:p w14:paraId="3F3A68C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27.4若有充分证据证明，中标人出现下列情况之一的，一经查实，将被取消中标资格：</w:t>
      </w:r>
    </w:p>
    <w:p w14:paraId="1D2A336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27.4.1提供虚假材料谋取中标的。</w:t>
      </w:r>
    </w:p>
    <w:p w14:paraId="2CEEAF9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27.4.2向采购人、采购代理机构行贿或者提供其他不正当利益的。</w:t>
      </w:r>
    </w:p>
    <w:p w14:paraId="0EF623C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27.4.3属于本文件规定的无效条件，但在评标过程中又未被评委会发现的。</w:t>
      </w:r>
    </w:p>
    <w:p w14:paraId="0B37282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27.4.4与采购人或者其他投标人恶意串通的。</w:t>
      </w:r>
    </w:p>
    <w:p w14:paraId="0CB0E58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27.4.5采取不正当手段诋毁、排挤其他投标人的。</w:t>
      </w:r>
    </w:p>
    <w:p w14:paraId="633C2D5A">
      <w:pPr>
        <w:spacing w:line="360" w:lineRule="auto"/>
        <w:ind w:firstLine="480"/>
        <w:rPr>
          <w:rFonts w:hint="eastAsia" w:asciiTheme="minorEastAsia" w:hAnsiTheme="minorEastAsia" w:eastAsiaTheme="minorEastAsia" w:cstheme="minorEastAsia"/>
          <w:color w:val="auto"/>
          <w:sz w:val="24"/>
          <w:highlight w:val="none"/>
        </w:rPr>
      </w:pPr>
      <w:bookmarkStart w:id="131" w:name="_Toc200451960"/>
      <w:r>
        <w:rPr>
          <w:rFonts w:hint="eastAsia" w:asciiTheme="minorEastAsia" w:hAnsiTheme="minorEastAsia" w:eastAsiaTheme="minorEastAsia" w:cstheme="minorEastAsia"/>
          <w:color w:val="auto"/>
          <w:sz w:val="24"/>
          <w:highlight w:val="none"/>
        </w:rPr>
        <w:t>27.5有下列情形之一的，视为投标人串通投标，投标无效：</w:t>
      </w:r>
      <w:bookmarkEnd w:id="131"/>
    </w:p>
    <w:p w14:paraId="7F66E9C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27.5.1不同投标人的投标文件由同一单位或者个人编制。</w:t>
      </w:r>
    </w:p>
    <w:p w14:paraId="2CD63E4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27.5.2不同投标人委托同一单位或者个人办理投标事宜。</w:t>
      </w:r>
    </w:p>
    <w:p w14:paraId="64B8C9A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27.5.3不同投标人的投标文件载明的项目管理成员或者联系人员为同一人。</w:t>
      </w:r>
    </w:p>
    <w:p w14:paraId="2D8A518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27.5.4不同投标人的投标文件异常一致或者投标报价呈规律性差异。</w:t>
      </w:r>
    </w:p>
    <w:p w14:paraId="4243FEA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28、质疑处理</w:t>
      </w:r>
    </w:p>
    <w:p w14:paraId="542991E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28.1提出质疑的投标人应当是参与所质疑项目采购活动的投标人。潜在投标人依法获取其可质疑的采购文件的，可以对采购文件提出质疑。</w:t>
      </w:r>
    </w:p>
    <w:p w14:paraId="23B11587">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A917D7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28.2.1对可以质疑的采购文件提出质疑的，为收到采购文件之日或者采购文件公告期限届满之日；</w:t>
      </w:r>
    </w:p>
    <w:p w14:paraId="4556A833">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28.2.2对采购过程提出质疑的，为各采购程序环节结束之日；</w:t>
      </w:r>
    </w:p>
    <w:p w14:paraId="76014A4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28.2.3对中标或者成交结果提出质疑的，为中标或者成交结果公告期限届满之日。</w:t>
      </w:r>
    </w:p>
    <w:p w14:paraId="489D98E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投标人应当在法定质疑期内一次性提出针对同一采购程序环节的质疑。投标人如在法定期限内对同一采购程序环节提出多次质疑的，采购代理机构、采购人将只对投标人第一次质疑作出答复。</w:t>
      </w:r>
    </w:p>
    <w:p w14:paraId="6C8CC83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28.3质疑函必须按照本招标文件中《质疑函范本》要求的格式和内容进行填写。投标人如组成联合体参加投标，则《质疑函范本》中要求签字、盖章、加盖公章之处，联合体各方均须按要求签字、盖章、加盖公章。</w:t>
      </w:r>
    </w:p>
    <w:p w14:paraId="720674AC">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p>
    <w:p w14:paraId="4B628AE1">
      <w:pPr>
        <w:tabs>
          <w:tab w:val="left" w:pos="1331"/>
        </w:tabs>
        <w:spacing w:line="360" w:lineRule="auto"/>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采购代理机构及采购人只接收以纸质原件形式送达的质疑，采购人和采购代理机构不接受未填写快递运单的快件。质疑接收部门为</w:t>
      </w:r>
      <w:r>
        <w:rPr>
          <w:rFonts w:hint="eastAsia" w:asciiTheme="minorEastAsia" w:hAnsiTheme="minorEastAsia" w:eastAsiaTheme="minorEastAsia" w:cstheme="minorEastAsia"/>
          <w:color w:val="auto"/>
          <w:sz w:val="24"/>
          <w:highlight w:val="none"/>
          <w:lang w:eastAsia="zh-CN"/>
        </w:rPr>
        <w:t>盐城市港航事业发展中心</w:t>
      </w:r>
      <w:r>
        <w:rPr>
          <w:rFonts w:hint="eastAsia" w:asciiTheme="minorEastAsia" w:hAnsiTheme="minorEastAsia" w:eastAsiaTheme="minorEastAsia" w:cstheme="minorEastAsia"/>
          <w:color w:val="auto"/>
          <w:sz w:val="24"/>
          <w:highlight w:val="none"/>
        </w:rPr>
        <w:t>，联系地址：</w:t>
      </w:r>
      <w:r>
        <w:rPr>
          <w:rFonts w:hint="default" w:ascii="Times New Roman" w:hAnsi="Times New Roman" w:eastAsia="宋体" w:cs="Times New Roman"/>
          <w:color w:val="auto"/>
          <w:sz w:val="24"/>
          <w:szCs w:val="24"/>
          <w:highlight w:val="none"/>
        </w:rPr>
        <w:t>江苏省盐城市青年中路8号</w:t>
      </w:r>
      <w:r>
        <w:rPr>
          <w:rFonts w:hint="eastAsia" w:ascii="Times New Roman" w:hAnsi="Times New Roman" w:eastAsia="宋体" w:cs="Times New Roman"/>
          <w:color w:val="auto"/>
          <w:sz w:val="24"/>
          <w:szCs w:val="24"/>
          <w:highlight w:val="none"/>
          <w:lang w:val="en-US" w:eastAsia="zh-CN"/>
        </w:rPr>
        <w:t>盐城市交通运输局</w:t>
      </w:r>
      <w:r>
        <w:rPr>
          <w:rFonts w:hint="eastAsia" w:asciiTheme="minorEastAsia" w:hAnsiTheme="minorEastAsia" w:eastAsiaTheme="minorEastAsia" w:cstheme="minorEastAsia"/>
          <w:color w:val="auto"/>
          <w:sz w:val="24"/>
          <w:highlight w:val="none"/>
        </w:rPr>
        <w:t>，联系电话：</w:t>
      </w:r>
      <w:r>
        <w:rPr>
          <w:rFonts w:hint="eastAsia" w:asciiTheme="minorEastAsia" w:hAnsiTheme="minorEastAsia" w:eastAsiaTheme="minorEastAsia" w:cstheme="minorEastAsia"/>
          <w:color w:val="auto"/>
          <w:sz w:val="24"/>
          <w:highlight w:val="none"/>
          <w:lang w:val="en-US" w:eastAsia="zh-CN"/>
        </w:rPr>
        <w:t>88883505</w:t>
      </w:r>
      <w:r>
        <w:rPr>
          <w:rFonts w:hint="eastAsia" w:asciiTheme="minorEastAsia" w:hAnsiTheme="minorEastAsia" w:eastAsiaTheme="minorEastAsia" w:cstheme="minorEastAsia"/>
          <w:color w:val="auto"/>
          <w:sz w:val="24"/>
          <w:highlight w:val="none"/>
        </w:rPr>
        <w:t>。</w:t>
      </w:r>
    </w:p>
    <w:p w14:paraId="0BCFF1B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28.5以下情形的质疑不予受理</w:t>
      </w:r>
    </w:p>
    <w:p w14:paraId="3545551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28.5.1内容不符合《政府采购质疑和投诉办法》第十二条规定的质疑。</w:t>
      </w:r>
    </w:p>
    <w:p w14:paraId="50459286">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28.5.2超出政府采购法定期限的质疑。</w:t>
      </w:r>
    </w:p>
    <w:p w14:paraId="409703A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28.5.3以传真、电子邮件等方式递交的非原件形式的质疑。</w:t>
      </w:r>
    </w:p>
    <w:p w14:paraId="7EF333A9">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28.5.4未参加投标活动的投标人或在投标活动中自身权益未受到损害的投标人所提出的质疑。</w:t>
      </w:r>
    </w:p>
    <w:p w14:paraId="6D025CAD">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28.5.5投标人组成联合体参加投标，联合体中任何一方或多方未按要求签字、盖章、加盖公章的质疑。</w:t>
      </w:r>
    </w:p>
    <w:p w14:paraId="6F64C1A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28.6投标人提出书面质疑必须有理、有据，不得捏造事实、提供虚假材料进行恶意质疑。否则，一经查实，采购代理机构或采购人有权依据政府采购的有关规定，报请政府采购监管部门对该投标人进行相应的行政处罚和记录该投标人的失信信息。</w:t>
      </w:r>
    </w:p>
    <w:p w14:paraId="43EEA93D">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29、中标通知书</w:t>
      </w:r>
    </w:p>
    <w:p w14:paraId="27ADBEB5">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1C9EF4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29.2中标通知书将是合同的一个组成部分。对采购人和中标人均具有法律效力。中标通知书发出后，采购人改变中标结果的，或者中标人放弃中标项目的，应当依法承担法律责任。</w:t>
      </w:r>
    </w:p>
    <w:p w14:paraId="0EFA170D">
      <w:pPr>
        <w:spacing w:line="360" w:lineRule="auto"/>
        <w:ind w:firstLine="480"/>
        <w:rPr>
          <w:rFonts w:hint="eastAsia" w:asciiTheme="minorEastAsia" w:hAnsiTheme="minorEastAsia" w:eastAsiaTheme="minorEastAsia" w:cstheme="minorEastAsia"/>
          <w:color w:val="auto"/>
          <w:sz w:val="24"/>
          <w:highlight w:val="none"/>
        </w:rPr>
      </w:pPr>
      <w:bookmarkStart w:id="132" w:name="_Toc20823308"/>
      <w:bookmarkStart w:id="133" w:name="_Toc513029236"/>
      <w:bookmarkStart w:id="134" w:name="_Toc120614220"/>
      <w:bookmarkStart w:id="135" w:name="_Toc16938552"/>
      <w:r>
        <w:rPr>
          <w:rFonts w:hint="eastAsia" w:asciiTheme="minorEastAsia" w:hAnsiTheme="minorEastAsia" w:eastAsiaTheme="minorEastAsia" w:cstheme="minorEastAsia"/>
          <w:color w:val="auto"/>
          <w:sz w:val="24"/>
          <w:highlight w:val="none"/>
        </w:rPr>
        <w:t>29.3中标通知书发出之前，如遇质疑、投诉、政策调整等情形，导致重新评审改变评标结果、采购项目流标、重新招标等情形的，采购人将停止发放中标通知书，且不承担由此给投标人造成的经济损失等任何后果。在正式发出中标通知书之前，投标人为完成项目付出的所有成本均由投标人自行承担。</w:t>
      </w:r>
    </w:p>
    <w:p w14:paraId="1EBC7C48">
      <w:pPr>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七、授予合同</w:t>
      </w:r>
      <w:bookmarkEnd w:id="132"/>
      <w:bookmarkEnd w:id="133"/>
      <w:bookmarkEnd w:id="134"/>
      <w:bookmarkEnd w:id="135"/>
    </w:p>
    <w:p w14:paraId="0B43D814">
      <w:pPr>
        <w:spacing w:line="360" w:lineRule="auto"/>
        <w:ind w:firstLine="480"/>
        <w:rPr>
          <w:rFonts w:hint="eastAsia" w:asciiTheme="minorEastAsia" w:hAnsiTheme="minorEastAsia" w:eastAsiaTheme="minorEastAsia" w:cstheme="minorEastAsia"/>
          <w:color w:val="auto"/>
          <w:sz w:val="24"/>
          <w:highlight w:val="none"/>
        </w:rPr>
      </w:pPr>
      <w:bookmarkStart w:id="136" w:name="_Toc513029237"/>
      <w:bookmarkStart w:id="137" w:name="_Toc16938553"/>
      <w:bookmarkStart w:id="138" w:name="_Toc20823309"/>
      <w:r>
        <w:rPr>
          <w:rFonts w:hint="eastAsia" w:asciiTheme="minorEastAsia" w:hAnsiTheme="minorEastAsia" w:eastAsiaTheme="minorEastAsia" w:cstheme="minorEastAsia"/>
          <w:color w:val="auto"/>
          <w:sz w:val="24"/>
          <w:highlight w:val="none"/>
        </w:rPr>
        <w:t>30、签订合同</w:t>
      </w:r>
      <w:bookmarkEnd w:id="136"/>
      <w:bookmarkEnd w:id="137"/>
      <w:bookmarkEnd w:id="138"/>
    </w:p>
    <w:p w14:paraId="75A0482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30.l中标人应当在中标通知书发出之日起三十日内，按照招标文件确定的事项与采购人签订政府采购合同。</w:t>
      </w:r>
    </w:p>
    <w:p w14:paraId="356104FD">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30.2招标文件、中标人的投标文件及招标过程中有关澄清、承诺文件均应作为合同附件。</w:t>
      </w:r>
    </w:p>
    <w:p w14:paraId="74D3B6C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30.3签订合同后，</w:t>
      </w:r>
      <w:r>
        <w:rPr>
          <w:rFonts w:hint="eastAsia" w:asciiTheme="minorEastAsia" w:hAnsiTheme="minorEastAsia" w:eastAsiaTheme="minorEastAsia" w:cstheme="minorEastAsia"/>
          <w:i/>
          <w:iCs w:val="0"/>
          <w:color w:val="auto"/>
          <w:sz w:val="24"/>
          <w:highlight w:val="none"/>
          <w:u w:val="single"/>
        </w:rPr>
        <w:t>中标人不得将合同标的进行转包</w:t>
      </w:r>
      <w:r>
        <w:rPr>
          <w:rFonts w:hint="eastAsia" w:asciiTheme="minorEastAsia" w:hAnsiTheme="minorEastAsia" w:eastAsiaTheme="minorEastAsia" w:cstheme="minorEastAsia"/>
          <w:i/>
          <w:iCs w:val="0"/>
          <w:color w:val="auto"/>
          <w:sz w:val="24"/>
          <w:highlight w:val="none"/>
          <w:u w:val="single"/>
          <w:lang w:val="en-US" w:eastAsia="zh-CN"/>
        </w:rPr>
        <w:t>和分包</w:t>
      </w:r>
      <w:r>
        <w:rPr>
          <w:rFonts w:hint="eastAsia" w:asciiTheme="minorEastAsia" w:hAnsiTheme="minorEastAsia" w:eastAsiaTheme="minorEastAsia" w:cstheme="minorEastAsia"/>
          <w:i w:val="0"/>
          <w:iCs/>
          <w:color w:val="auto"/>
          <w:sz w:val="24"/>
          <w:highlight w:val="none"/>
          <w:u w:val="none"/>
          <w:lang w:val="en-US" w:eastAsia="zh-CN"/>
        </w:rPr>
        <w:t>。</w:t>
      </w:r>
      <w:r>
        <w:rPr>
          <w:rFonts w:hint="eastAsia" w:asciiTheme="minorEastAsia" w:hAnsiTheme="minorEastAsia" w:eastAsiaTheme="minorEastAsia" w:cstheme="minorEastAsia"/>
          <w:color w:val="auto"/>
          <w:sz w:val="24"/>
          <w:highlight w:val="none"/>
        </w:rPr>
        <w:t>未经采购人同意，中标人也不得采用分包的形式履行合同，否则采购人有权终止合同。转包或分包造成采购人损失的，中标人应承担相应赔偿责任。</w:t>
      </w:r>
    </w:p>
    <w:p w14:paraId="07CF031B">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31、服务（包含与服务相关的货物）的追加</w:t>
      </w:r>
    </w:p>
    <w:p w14:paraId="56750AE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4D39B00">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32.政府采购政策功能落实</w:t>
      </w:r>
    </w:p>
    <w:p w14:paraId="195EDA25">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32.1政府采购线上合同信用融资政策</w:t>
      </w:r>
    </w:p>
    <w:p w14:paraId="0779DE80">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A724067">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32.2进口产品</w:t>
      </w:r>
    </w:p>
    <w:p w14:paraId="050B34F7">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07E2690">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32.3中小企业、监狱企业及残疾人福利性单位</w:t>
      </w:r>
    </w:p>
    <w:p w14:paraId="71CB0057">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32.3.1中小企业定义：</w:t>
      </w:r>
    </w:p>
    <w:p w14:paraId="2C23F2C9">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B4DDB8E">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32.3.2供应商提供的货物、工程或者服务符合下列情形的，享受中小企业扶持政策：</w:t>
      </w:r>
    </w:p>
    <w:p w14:paraId="1417C27E">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32.3.2.1在货物采购项目中，货物由中小企业制造，即货物由中小企业生产且使用该中小企业商号或者注册商标；</w:t>
      </w:r>
    </w:p>
    <w:p w14:paraId="72B687CA">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32.3.2.2在工程采购项目中，工程由中小企业承建，即工程施工单位为中小企业；</w:t>
      </w:r>
    </w:p>
    <w:p w14:paraId="2C6E4500">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32.3.2.3在服务采购项目中，服务由中小企业承接，即提供服务的人员为中小企业依照《中华人民共和国劳动合同法》订立劳动合同的从业人员。</w:t>
      </w:r>
    </w:p>
    <w:p w14:paraId="0EC2C60D">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32.3.3在货物采购项目中，供应商提供的货物既有中小企业制造货物，也有大型企业制造货物的，不享受中小企业扶持政策。</w:t>
      </w:r>
    </w:p>
    <w:p w14:paraId="26C31AA7">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32.3.4以联合体形式参加政府采购活动，联合体各方均为中小企业的，联合体视同中小企业。其中，联合体各方均为小微企业的，联合体视同小微企业。</w:t>
      </w:r>
    </w:p>
    <w:p w14:paraId="0458AC39">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800652">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32.3.6残疾人福利单位定义：享受政府采购支持政策的残疾人福利性单位应当同时满足以下条件：</w:t>
      </w:r>
    </w:p>
    <w:p w14:paraId="0E9894D5">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32.3.6.1安置的残疾人占本单位在职职工人数的比例不低于25%（含25%），并且安置的残疾人人数不少于10 人（含10 人）；</w:t>
      </w:r>
    </w:p>
    <w:p w14:paraId="72B95EB9">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32.3.6.2依法与安置的每位残疾人签订了一年以上（含一年）的劳动合同或服务协议；</w:t>
      </w:r>
    </w:p>
    <w:p w14:paraId="30A0F78C">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32.3.6.3为安置的每位残疾人按月足额缴纳了基本养老保险、基本医疗保险、失业保险、工伤保险和生育保险等社会保险费；</w:t>
      </w:r>
    </w:p>
    <w:p w14:paraId="3E67DC47">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32.3.6.4通过银行等金融机构向安置的每位残疾人，按月支付了不低于单位所在区县适用的经省级人民政府批准的月最低工资标准的工资；</w:t>
      </w:r>
    </w:p>
    <w:p w14:paraId="5AA6B73C">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32.3.6.5提供本单位制造的货物、承担的工程或者服务（以下简称产品），或者提供其他残疾人福利性单位制造的货物（不包括使用非残疾人福利性单位注册商标的货物）；</w:t>
      </w:r>
    </w:p>
    <w:p w14:paraId="3359BB1C">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EE38306">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32.3.7本项目是否专门面向中小企业预留采购份额见第一章《招标公告》。</w:t>
      </w:r>
    </w:p>
    <w:p w14:paraId="39D64D2A">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32.3.8采购标的对应的中小企业划分标准所属行业见第四章《采购需求》。</w:t>
      </w:r>
    </w:p>
    <w:p w14:paraId="2B686931">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32.3.9小微企业价格评审优惠的政策：见第五章《评标方法和评标标准》。</w:t>
      </w:r>
    </w:p>
    <w:p w14:paraId="24525738">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32.4政府采购节能产品、环境标志产品</w:t>
      </w:r>
    </w:p>
    <w:p w14:paraId="4642BD7C">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99FC6FA">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B5B6B94">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32.5绿色包装</w:t>
      </w:r>
    </w:p>
    <w:p w14:paraId="5A0D00C7">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7DFBB89">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32.6政府采购创新产品</w:t>
      </w:r>
    </w:p>
    <w:p w14:paraId="4738D004">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采购人优先采购各级政府部门公开发布的有效期内的创新产品、创新服务、首台套、首购首用等《目录》的创新产品。</w:t>
      </w:r>
    </w:p>
    <w:p w14:paraId="0D5B7777">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32.7绿色数据中心政策 </w:t>
      </w:r>
    </w:p>
    <w:p w14:paraId="551BAF8F">
      <w:pPr>
        <w:widowControl w:val="0"/>
        <w:spacing w:line="360" w:lineRule="auto"/>
        <w:ind w:left="0" w:firstLine="482"/>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F241255">
      <w:pPr>
        <w:widowControl w:val="0"/>
        <w:spacing w:line="360" w:lineRule="auto"/>
        <w:ind w:left="0"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32.8实施本国产品标准及相关政策</w:t>
      </w:r>
    </w:p>
    <w:p w14:paraId="5DE536BD">
      <w:pPr>
        <w:widowControl w:val="0"/>
        <w:spacing w:line="360" w:lineRule="auto"/>
        <w:ind w:left="0"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1.本项目对采购本国产品给予政策支持，具体内容见招标文件“第五章 评标方法与评标标准”。</w:t>
      </w:r>
    </w:p>
    <w:p w14:paraId="4D24031A">
      <w:pPr>
        <w:widowControl w:val="0"/>
        <w:spacing w:line="360" w:lineRule="auto"/>
        <w:ind w:left="0"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69F437">
      <w:pPr>
        <w:widowControl w:val="0"/>
        <w:spacing w:line="360" w:lineRule="auto"/>
        <w:ind w:left="0" w:firstLine="482"/>
        <w:jc w:val="both"/>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C526A1">
      <w:pPr>
        <w:widowControl w:val="0"/>
        <w:spacing w:line="360" w:lineRule="auto"/>
        <w:ind w:left="0" w:firstLine="482"/>
        <w:jc w:val="both"/>
        <w:rPr>
          <w:rFonts w:hint="eastAsia"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color w:val="FF0000"/>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color w:val="FF000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575903C0">
      <w:pPr>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32.9履约保证金政策</w:t>
      </w:r>
    </w:p>
    <w:p w14:paraId="28D7401E">
      <w:pPr>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确需收取履约保证金的，履约保证金的缴纳形式：</w:t>
      </w:r>
    </w:p>
    <w:p w14:paraId="49916C43">
      <w:pPr>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CD753F4">
      <w:pPr>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如以履约保函（保险）形式缴纳履约保证金，供应商可通过政府采购电子履约保函（保险）平台（www.jsdzbh.com）在线申请履约保函（保险）。</w:t>
      </w:r>
    </w:p>
    <w:p w14:paraId="381DCE3F">
      <w:pPr>
        <w:widowControl w:val="0"/>
        <w:spacing w:line="360" w:lineRule="auto"/>
        <w:ind w:left="0" w:firstLine="482"/>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1A2AF04">
      <w:pPr>
        <w:widowControl w:val="0"/>
        <w:spacing w:line="360" w:lineRule="auto"/>
        <w:ind w:firstLine="482"/>
        <w:jc w:val="both"/>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33. 预付款制度</w:t>
      </w:r>
    </w:p>
    <w:p w14:paraId="542BFC7A">
      <w:pPr>
        <w:widowControl w:val="0"/>
        <w:spacing w:line="360" w:lineRule="auto"/>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本项目落实预付款制度，预付款比例为</w:t>
      </w:r>
      <w:r>
        <w:rPr>
          <w:rFonts w:hint="eastAsia" w:asciiTheme="minorEastAsia" w:hAnsiTheme="minorEastAsia" w:eastAsiaTheme="minorEastAsia" w:cstheme="minorEastAsia"/>
          <w:color w:val="auto"/>
          <w:sz w:val="24"/>
          <w:szCs w:val="24"/>
          <w:highlight w:val="none"/>
          <w:u w:val="single"/>
          <w:lang w:val="en-US" w:eastAsia="zh-CN" w:bidi="ar-SA"/>
        </w:rPr>
        <w:t>30%</w:t>
      </w:r>
      <w:r>
        <w:rPr>
          <w:rFonts w:hint="eastAsia" w:asciiTheme="minorEastAsia" w:hAnsiTheme="minorEastAsia" w:eastAsiaTheme="minorEastAsia" w:cstheme="minorEastAsia"/>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4F129CFC">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br w:type="page"/>
      </w:r>
    </w:p>
    <w:p w14:paraId="77E09648">
      <w:pPr>
        <w:pStyle w:val="3"/>
        <w:numPr>
          <w:ilvl w:val="0"/>
          <w:numId w:val="1"/>
        </w:numPr>
        <w:rPr>
          <w:rFonts w:hint="eastAsia" w:asciiTheme="minorEastAsia" w:hAnsiTheme="minorEastAsia" w:eastAsiaTheme="minorEastAsia" w:cstheme="minorEastAsia"/>
          <w:color w:val="auto"/>
          <w:sz w:val="44"/>
          <w:szCs w:val="44"/>
          <w:highlight w:val="none"/>
        </w:rPr>
      </w:pPr>
      <w:bookmarkStart w:id="139" w:name="_Toc16269"/>
      <w:r>
        <w:rPr>
          <w:rFonts w:hint="eastAsia" w:asciiTheme="minorEastAsia" w:hAnsiTheme="minorEastAsia" w:eastAsiaTheme="minorEastAsia" w:cstheme="minorEastAsia"/>
          <w:color w:val="auto"/>
          <w:sz w:val="44"/>
          <w:szCs w:val="44"/>
          <w:highlight w:val="none"/>
        </w:rPr>
        <w:t xml:space="preserve"> 合同</w:t>
      </w:r>
      <w:bookmarkEnd w:id="139"/>
      <w:r>
        <w:rPr>
          <w:rFonts w:hint="eastAsia" w:asciiTheme="minorEastAsia" w:hAnsiTheme="minorEastAsia" w:eastAsiaTheme="minorEastAsia" w:cstheme="minorEastAsia"/>
          <w:color w:val="auto"/>
          <w:sz w:val="44"/>
          <w:szCs w:val="44"/>
          <w:highlight w:val="none"/>
          <w:lang w:val="en-US" w:eastAsia="zh-CN"/>
        </w:rPr>
        <w:t>文本</w:t>
      </w:r>
    </w:p>
    <w:p w14:paraId="47A2D856">
      <w:pPr>
        <w:spacing w:line="500" w:lineRule="exact"/>
        <w:ind w:firstLine="480"/>
        <w:rPr>
          <w:rFonts w:hint="eastAsia" w:asciiTheme="minorEastAsia" w:hAnsiTheme="minorEastAsia" w:eastAsiaTheme="minorEastAsia" w:cstheme="minorEastAsia"/>
          <w:color w:val="auto"/>
          <w:sz w:val="24"/>
          <w:highlight w:val="none"/>
        </w:rPr>
      </w:pPr>
      <w:bookmarkStart w:id="140" w:name="_Toc16938559"/>
      <w:bookmarkStart w:id="141" w:name="_Toc20823315"/>
      <w:bookmarkStart w:id="142" w:name="_Toc513029243"/>
    </w:p>
    <w:p w14:paraId="1D2D40D0">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以下为中标后签订本项目合同的通用条款，中标人不得提出实质性的修改。</w:t>
      </w:r>
      <w:bookmarkEnd w:id="140"/>
      <w:bookmarkEnd w:id="141"/>
      <w:bookmarkEnd w:id="142"/>
    </w:p>
    <w:p w14:paraId="4DF96B46">
      <w:pPr>
        <w:pStyle w:val="24"/>
        <w:spacing w:line="360" w:lineRule="auto"/>
        <w:ind w:firstLine="482"/>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政府采购合同（服务类）</w:t>
      </w:r>
    </w:p>
    <w:p w14:paraId="259DC417">
      <w:pPr>
        <w:pStyle w:val="24"/>
        <w:spacing w:line="520" w:lineRule="exact"/>
        <w:ind w:firstLine="480"/>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eastAsia="zh-CN"/>
        </w:rPr>
        <w:t>滨海港直连工程规划研究项目</w:t>
      </w:r>
    </w:p>
    <w:p w14:paraId="6EC8DA06">
      <w:pPr>
        <w:pStyle w:val="24"/>
        <w:spacing w:line="520" w:lineRule="exact"/>
        <w:ind w:firstLine="480"/>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u w:val="single"/>
          <w:lang w:eastAsia="zh-CN"/>
        </w:rPr>
        <w:t>盐城市港航事业发展中心</w:t>
      </w:r>
    </w:p>
    <w:p w14:paraId="238921E6">
      <w:pPr>
        <w:pStyle w:val="24"/>
        <w:spacing w:line="52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13A2E917">
      <w:pPr>
        <w:pStyle w:val="24"/>
        <w:spacing w:line="520" w:lineRule="exact"/>
        <w:ind w:firstLine="48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甲、乙双方根据盐城市政府采购（</w:t>
      </w:r>
      <w:r>
        <w:rPr>
          <w:rFonts w:hint="eastAsia" w:asciiTheme="minorEastAsia" w:hAnsiTheme="minorEastAsia" w:eastAsiaTheme="minorEastAsia" w:cstheme="minorEastAsia"/>
          <w:color w:val="auto"/>
          <w:sz w:val="24"/>
          <w:szCs w:val="24"/>
          <w:highlight w:val="none"/>
          <w:u w:val="single"/>
        </w:rPr>
        <w:t xml:space="preserve">项目编号：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eastAsia="zh-CN"/>
        </w:rPr>
        <w:t>滨海港直连工程规划研究项目</w:t>
      </w:r>
      <w:r>
        <w:rPr>
          <w:rFonts w:hint="eastAsia" w:asciiTheme="minorEastAsia" w:hAnsiTheme="minorEastAsia" w:eastAsiaTheme="minorEastAsia" w:cstheme="minorEastAsia"/>
          <w:color w:val="auto"/>
          <w:sz w:val="24"/>
          <w:szCs w:val="24"/>
          <w:highlight w:val="none"/>
        </w:rPr>
        <w:t>公开招标的结果，签署本合同。</w:t>
      </w:r>
    </w:p>
    <w:p w14:paraId="4409330C">
      <w:pPr>
        <w:pStyle w:val="24"/>
        <w:spacing w:line="52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一、合同内容</w:t>
      </w:r>
    </w:p>
    <w:p w14:paraId="27C0C5A8">
      <w:pPr>
        <w:pStyle w:val="24"/>
        <w:spacing w:line="360" w:lineRule="auto"/>
        <w:ind w:firstLine="482"/>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1.1服务名称：滨海港直连工程规划研究项目</w:t>
      </w:r>
    </w:p>
    <w:p w14:paraId="73402CE0">
      <w:pPr>
        <w:pStyle w:val="24"/>
        <w:spacing w:line="360" w:lineRule="auto"/>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1.2服务内容：滨海港直连工程规划研究项目，具体服务内容包含（不限于）招标文件的项目需求中的全部内容。</w:t>
      </w:r>
    </w:p>
    <w:p w14:paraId="631C6487">
      <w:pPr>
        <w:spacing w:line="360" w:lineRule="auto"/>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1.3履行时间（期限）：合同签订后6个月内完成。</w:t>
      </w:r>
    </w:p>
    <w:p w14:paraId="0E19B523">
      <w:pPr>
        <w:pStyle w:val="44"/>
        <w:spacing w:before="0" w:beforeAutospacing="0" w:after="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1.4履行地点：盐城市。</w:t>
      </w:r>
    </w:p>
    <w:p w14:paraId="78F2CCAC">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1.5最终成果：研究成果包含 1个总报告和 2个专题报告。</w:t>
      </w:r>
    </w:p>
    <w:p w14:paraId="6BB9595D">
      <w:pPr>
        <w:pStyle w:val="24"/>
        <w:spacing w:line="52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二、合同金额</w:t>
      </w:r>
    </w:p>
    <w:p w14:paraId="05ACEA1E">
      <w:pPr>
        <w:pStyle w:val="24"/>
        <w:spacing w:line="52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2.1本合同总金额为：人民币（大写）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none"/>
          <w:lang w:val="en-US" w:eastAsia="zh-CN"/>
        </w:rPr>
        <w:t>圆</w:t>
      </w:r>
      <w:r>
        <w:rPr>
          <w:rFonts w:hint="eastAsia" w:asciiTheme="minorEastAsia" w:hAnsiTheme="minorEastAsia" w:eastAsiaTheme="minorEastAsia" w:cstheme="minorEastAsia"/>
          <w:color w:val="auto"/>
          <w:sz w:val="24"/>
          <w:szCs w:val="24"/>
          <w:highlight w:val="none"/>
          <w:u w:val="none"/>
          <w:lang w:eastAsia="zh-CN"/>
        </w:rPr>
        <w:t>整</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元</w:t>
      </w:r>
      <w:r>
        <w:rPr>
          <w:rFonts w:hint="eastAsia" w:asciiTheme="minorEastAsia" w:hAnsiTheme="minorEastAsia" w:eastAsiaTheme="minorEastAsia" w:cstheme="minorEastAsia"/>
          <w:color w:val="auto"/>
          <w:sz w:val="24"/>
          <w:szCs w:val="24"/>
          <w:highlight w:val="none"/>
        </w:rPr>
        <w:t>）。</w:t>
      </w:r>
    </w:p>
    <w:p w14:paraId="60513E01">
      <w:pPr>
        <w:spacing w:line="52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p>
    <w:p w14:paraId="2E010433">
      <w:pPr>
        <w:pStyle w:val="24"/>
        <w:spacing w:line="52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三、技术资料</w:t>
      </w:r>
    </w:p>
    <w:p w14:paraId="3E470464">
      <w:pPr>
        <w:spacing w:line="52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3.1乙方应按招标文件规定的时间向甲方提供服务（包含与服务相关的货物）的有关技术资料。</w:t>
      </w:r>
    </w:p>
    <w:p w14:paraId="319137DB">
      <w:pPr>
        <w:spacing w:line="44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四、知识产权</w:t>
      </w:r>
    </w:p>
    <w:p w14:paraId="6109CC7D">
      <w:pPr>
        <w:spacing w:line="52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7386704">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五、产权担保</w:t>
      </w:r>
    </w:p>
    <w:p w14:paraId="7DC9681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5.1乙方保证所交付的服务（包含与服务相关的货物）的所有权完全属于乙方且无任何抵押、查封等产权瑕疵。</w:t>
      </w:r>
    </w:p>
    <w:p w14:paraId="6F2D93CB">
      <w:pPr>
        <w:pStyle w:val="24"/>
        <w:spacing w:line="52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六、履约保证金</w:t>
      </w:r>
    </w:p>
    <w:p w14:paraId="4070607B">
      <w:pPr>
        <w:pStyle w:val="24"/>
        <w:spacing w:line="52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w:t>
      </w:r>
      <w:r>
        <w:rPr>
          <w:rFonts w:hint="eastAsia" w:asciiTheme="minorEastAsia" w:hAnsiTheme="minorEastAsia" w:eastAsiaTheme="minorEastAsia" w:cstheme="minorEastAsia"/>
          <w:color w:val="auto"/>
          <w:sz w:val="24"/>
          <w:szCs w:val="24"/>
          <w:highlight w:val="none"/>
          <w:lang w:val="en-US" w:eastAsia="zh-CN"/>
        </w:rPr>
        <w:t>本项目不收取履约保证金</w:t>
      </w:r>
      <w:r>
        <w:rPr>
          <w:rFonts w:hint="eastAsia" w:asciiTheme="minorEastAsia" w:hAnsiTheme="minorEastAsia" w:eastAsiaTheme="minorEastAsia" w:cstheme="minorEastAsia"/>
          <w:color w:val="auto"/>
          <w:sz w:val="24"/>
          <w:szCs w:val="24"/>
          <w:highlight w:val="none"/>
        </w:rPr>
        <w:t>。</w:t>
      </w:r>
    </w:p>
    <w:p w14:paraId="688AA482">
      <w:pPr>
        <w:spacing w:before="143" w:after="143" w:line="52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七、合同转包或分包</w:t>
      </w:r>
    </w:p>
    <w:p w14:paraId="45194124">
      <w:pPr>
        <w:pStyle w:val="24"/>
        <w:spacing w:line="52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7.1乙方不得将合同标的转包给他人履行。</w:t>
      </w:r>
    </w:p>
    <w:p w14:paraId="67D9F10F">
      <w:pPr>
        <w:pStyle w:val="24"/>
        <w:spacing w:line="52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7.2乙方不得将合同标的分包给他人履行。</w:t>
      </w:r>
    </w:p>
    <w:p w14:paraId="3055EC97">
      <w:pPr>
        <w:pStyle w:val="24"/>
        <w:spacing w:line="52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7.3乙方如有转包或未经甲方同意的分包行为，甲方有权给予终止合同。</w:t>
      </w:r>
    </w:p>
    <w:p w14:paraId="1CF26B3B">
      <w:pPr>
        <w:pStyle w:val="24"/>
        <w:spacing w:line="520" w:lineRule="exact"/>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八、付款方式</w:t>
      </w:r>
    </w:p>
    <w:p w14:paraId="42D6D252">
      <w:pPr>
        <w:spacing w:line="52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8.1付款方式：</w:t>
      </w:r>
      <w:r>
        <w:rPr>
          <w:rFonts w:hint="eastAsia" w:asciiTheme="minorEastAsia" w:hAnsiTheme="minorEastAsia" w:eastAsiaTheme="minorEastAsia" w:cstheme="minorEastAsia"/>
          <w:color w:val="auto"/>
          <w:sz w:val="24"/>
          <w:highlight w:val="none"/>
          <w:lang w:val="zh-CN"/>
        </w:rPr>
        <w:t>合同签订后，甲方收到预付款发票后10个工作日内，支付合同总价30%的预付款，乙方完成全部工作并将成果提交甲方后，经专家审查通过后，在甲方收到发票后10个工作日内一次性结清余款。</w:t>
      </w:r>
    </w:p>
    <w:p w14:paraId="60BFEF6B">
      <w:pPr>
        <w:spacing w:line="52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注：以上付款均不计任何利息和相关费用，付款一律通过银行结转。每次付款前提是乙方已提供合法票据。</w:t>
      </w:r>
    </w:p>
    <w:p w14:paraId="69F26C98">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九、税费</w:t>
      </w:r>
    </w:p>
    <w:p w14:paraId="2AFDCCBE">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9.1本合同执行中相关的一切税费均由乙方负担。</w:t>
      </w:r>
    </w:p>
    <w:p w14:paraId="5164C6C0">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十、质量保证</w:t>
      </w:r>
    </w:p>
    <w:p w14:paraId="5F1938E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 乙方应按招标文件规定及投标文件承诺的服务质量标准向甲方提供服务；若无特殊说明，则按国家有关部门最新颁布的标准及规范为准。</w:t>
      </w:r>
    </w:p>
    <w:p w14:paraId="6A3CDC5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 乙方应保证其提供的服务是全面和规范的，并完全符合招标文件。如因乙方提供的服务有遗漏或错误造成甲方损失的，所需费用由乙方承担，并负责修改或完善。</w:t>
      </w:r>
    </w:p>
    <w:p w14:paraId="48C52420">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十一、甲方的义务</w:t>
      </w:r>
    </w:p>
    <w:p w14:paraId="137C0BB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 自合同签订之日起3日内向乙方提供有关的现有资料（如资料不全，乙方需自行增补齐全）。 </w:t>
      </w:r>
    </w:p>
    <w:p w14:paraId="6B31FAF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11.2 应当保证乙方的工作队伍顺利进入现场工作，并对乙方进场人员提供必要工作条件。  </w:t>
      </w:r>
    </w:p>
    <w:p w14:paraId="39ACD3C0">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十二、乙方的义务</w:t>
      </w:r>
    </w:p>
    <w:p w14:paraId="5B690A9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12.1 乙方应按国家规定和合同约定的技术规范、标准进行编制，按规定的内容、时间向甲方交付成果。并对提交的成果的质量负责。 </w:t>
      </w:r>
    </w:p>
    <w:p w14:paraId="288C6175">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 xml:space="preserve"> 乙方交付成果文件后，按规定参加有关上级的验收，并根据审查结论负责不超出原定范围的内容做必要调整补充。</w:t>
      </w:r>
    </w:p>
    <w:p w14:paraId="7A93DDD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在合同履行期间和履行完后，乙方需承担获取或知悉的涉密信息的保密责任，并与甲方签订保密协议。</w:t>
      </w:r>
    </w:p>
    <w:p w14:paraId="389959C3">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十三、合同的解除与终止</w:t>
      </w:r>
    </w:p>
    <w:p w14:paraId="3E3604B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 因甲方原因导致乙方不能为其提供服务的，乙方有权书面要求甲方在一定期限内解决，逾期未解决且严重违约的，乙方有权解除合同。造成乙方经济损失的，甲方应给予乙方经济赔偿。</w:t>
      </w:r>
    </w:p>
    <w:p w14:paraId="43AB269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 乙方未能按照约定提供服务，甲方有权要求乙方限期整改，逾期未整改的，甲方有权解除合同，解除合同的效力在甲方书面通知送达乙方后生效。给甲方造成经济损失的，乙方应当承担赔偿责任。</w:t>
      </w:r>
    </w:p>
    <w:p w14:paraId="64CF34A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13.3 因国家政策调整或不可抗力而导致合同无法履行的，可以解除合同，双方不承担任何责任。</w:t>
      </w:r>
    </w:p>
    <w:p w14:paraId="1885C9A8">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十四、违约责任</w:t>
      </w:r>
    </w:p>
    <w:p w14:paraId="6527A933">
      <w:pPr>
        <w:spacing w:line="48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14.1 没有甲方事先书面同意，乙方不得将由甲方提供的有关合同或任何合同条文、规格、计划、图纸、样品或资料提供给与履行本合同无关的任何其他人。乙方若违反规定，甲方有权单方解除本合同，同时乙方应赔偿甲方的损失。</w:t>
      </w:r>
    </w:p>
    <w:p w14:paraId="5262C678">
      <w:pPr>
        <w:spacing w:line="48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14.2 乙方应保证成果均未侵犯他人的知识产权，否则必须承担全部责任。若乙方使用了他人的专利、专有技术，涉及的费用由乙方承担，并赔偿甲方因此受到的损失。</w:t>
      </w:r>
    </w:p>
    <w:p w14:paraId="009BDC17">
      <w:pPr>
        <w:spacing w:line="48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14.3 乙方对成果文件出现的遗漏或错误负责修改或补充，对因乙方最终成果错误造成损失的，乙方应负责采取补救措施，若乙方对成果文件缺陷不予更正，甲方有权另请其他单位更正，所发生的费用在合同总价款中扣除。</w:t>
      </w:r>
    </w:p>
    <w:p w14:paraId="1F1897B3">
      <w:pPr>
        <w:spacing w:line="460" w:lineRule="exact"/>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14.4 </w:t>
      </w:r>
      <w:r>
        <w:rPr>
          <w:rFonts w:hint="eastAsia" w:asciiTheme="minorEastAsia" w:hAnsiTheme="minorEastAsia" w:eastAsiaTheme="minorEastAsia" w:cstheme="minorEastAsia"/>
          <w:bCs/>
          <w:color w:val="auto"/>
          <w:sz w:val="24"/>
          <w:highlight w:val="none"/>
        </w:rPr>
        <w:t>乙方逾期交付服务成果，乙方应按合同总额每日千分之六向甲方支付违约金，由甲方从待付款中扣除。逾期超过约定日期或超过规定的时间节点10个工作日不能交付的，甲方可解除本合同。乙方</w:t>
      </w:r>
      <w:r>
        <w:rPr>
          <w:rFonts w:hint="eastAsia" w:asciiTheme="minorEastAsia" w:hAnsiTheme="minorEastAsia" w:eastAsiaTheme="minorEastAsia" w:cstheme="minorEastAsia"/>
          <w:bCs/>
          <w:color w:val="auto"/>
          <w:sz w:val="24"/>
          <w:highlight w:val="none"/>
          <w:lang w:val="en-US" w:eastAsia="zh-CN"/>
        </w:rPr>
        <w:t>交付</w:t>
      </w:r>
      <w:r>
        <w:rPr>
          <w:rFonts w:hint="eastAsia" w:asciiTheme="minorEastAsia" w:hAnsiTheme="minorEastAsia" w:eastAsiaTheme="minorEastAsia" w:cstheme="minorEastAsia"/>
          <w:bCs/>
          <w:color w:val="auto"/>
          <w:sz w:val="24"/>
          <w:highlight w:val="none"/>
        </w:rPr>
        <w:t>成果验收不合格的，</w:t>
      </w:r>
      <w:r>
        <w:rPr>
          <w:rFonts w:hint="eastAsia" w:asciiTheme="minorEastAsia" w:hAnsiTheme="minorEastAsia" w:eastAsiaTheme="minorEastAsia" w:cstheme="minorEastAsia"/>
          <w:bCs/>
          <w:color w:val="auto"/>
          <w:sz w:val="24"/>
          <w:highlight w:val="none"/>
          <w:lang w:val="en-US" w:eastAsia="zh-CN"/>
        </w:rPr>
        <w:t>甲方可解除合同。</w:t>
      </w:r>
      <w:r>
        <w:rPr>
          <w:rFonts w:hint="eastAsia" w:asciiTheme="minorEastAsia" w:hAnsiTheme="minorEastAsia" w:eastAsiaTheme="minorEastAsia" w:cstheme="minorEastAsia"/>
          <w:bCs/>
          <w:color w:val="auto"/>
          <w:sz w:val="24"/>
          <w:highlight w:val="none"/>
        </w:rPr>
        <w:t xml:space="preserve">甲方依法依约解除合同的，乙方应向甲方支付合同金额百分之五的违约金，乙方应退还预付款，甲方有权不再付款。如造成甲方损失超过违约金的，超出部分由乙方继续承担赔偿责任。 </w:t>
      </w:r>
    </w:p>
    <w:p w14:paraId="6B45BB7B">
      <w:pPr>
        <w:spacing w:line="48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14.5 </w:t>
      </w:r>
      <w:r>
        <w:rPr>
          <w:rFonts w:hint="eastAsia" w:asciiTheme="minorEastAsia" w:hAnsiTheme="minorEastAsia" w:eastAsiaTheme="minorEastAsia" w:cstheme="minorEastAsia"/>
          <w:bCs/>
          <w:color w:val="auto"/>
          <w:sz w:val="24"/>
          <w:highlight w:val="none"/>
        </w:rPr>
        <w:t>乙方所交的成果的技术参数、质量不符合合同规定及招标文件规定标准的，甲方有权拒收。</w:t>
      </w:r>
    </w:p>
    <w:p w14:paraId="50085028">
      <w:pPr>
        <w:spacing w:line="480" w:lineRule="exact"/>
        <w:ind w:firstLine="482"/>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十五、不可抗力事件处理</w:t>
      </w:r>
    </w:p>
    <w:p w14:paraId="2160B13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15.1在合同有效期内，任何一方因不可抗力事件导致不能履行合同，则合同履行期可延长，其延长期与不可抗力影响期相同。</w:t>
      </w:r>
    </w:p>
    <w:p w14:paraId="19D9067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15.2不可抗力事件发生后，应立即通知对方，并寄送有关权威机构出具的证明。</w:t>
      </w:r>
    </w:p>
    <w:p w14:paraId="43C5616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15.3不可抗力事件延续120天以上，双方应通过友好协商，确定是否继续履行合同。</w:t>
      </w:r>
    </w:p>
    <w:p w14:paraId="69A2718D">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十六、解决争议的方法</w:t>
      </w:r>
    </w:p>
    <w:p w14:paraId="4E756B8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16.1双方在签订、履行合同中所发生的一切争议，应通过友好协商解决。如协商不成，由甲方住所地人民法院管辖。</w:t>
      </w:r>
    </w:p>
    <w:p w14:paraId="1012FBF1">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十七、合同生效及其他</w:t>
      </w:r>
    </w:p>
    <w:p w14:paraId="1C3711CC">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17.1合同经双方法定代表人或授权委托代表人签字并加盖单位公章后生效。</w:t>
      </w:r>
    </w:p>
    <w:p w14:paraId="33C352E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17.2本合同未尽事宜，遵照《中华人民共和国民法典》《中华人民共和国政府采购法》有关条文执行。</w:t>
      </w:r>
    </w:p>
    <w:p w14:paraId="4EE9C44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17.3 本合同正本一式肆份，具有同等法律效力，甲方、乙方各执贰份。</w:t>
      </w:r>
    </w:p>
    <w:p w14:paraId="5D70BB0E">
      <w:pPr>
        <w:spacing w:before="120" w:after="120" w:line="500" w:lineRule="exact"/>
        <w:ind w:left="480" w:hanging="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14:paraId="619F03CE">
      <w:pPr>
        <w:spacing w:before="120" w:after="120" w:line="500" w:lineRule="exact"/>
        <w:ind w:left="482" w:hanging="64"/>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               乙方： </w:t>
      </w:r>
    </w:p>
    <w:p w14:paraId="5C72D4A5">
      <w:pPr>
        <w:spacing w:before="120" w:after="120"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地址：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地址： </w:t>
      </w:r>
    </w:p>
    <w:p w14:paraId="316E514A">
      <w:pPr>
        <w:spacing w:before="120" w:after="120"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法定代表人或授权代表：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法定代表人或授权代表：</w:t>
      </w:r>
    </w:p>
    <w:p w14:paraId="1B118997">
      <w:pPr>
        <w:spacing w:before="120" w:after="120" w:line="50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联系电话：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联系电话：</w:t>
      </w:r>
    </w:p>
    <w:p w14:paraId="1A8B6DD1">
      <w:pPr>
        <w:widowControl/>
        <w:spacing w:line="360" w:lineRule="auto"/>
        <w:ind w:firstLine="480"/>
        <w:jc w:val="right"/>
        <w:rPr>
          <w:rFonts w:hint="eastAsia" w:asciiTheme="minorEastAsia" w:hAnsiTheme="minorEastAsia" w:eastAsiaTheme="minorEastAsia" w:cstheme="minorEastAsia"/>
          <w:color w:val="auto"/>
          <w:sz w:val="40"/>
          <w:szCs w:val="96"/>
          <w:highlight w:val="none"/>
        </w:rPr>
        <w:sectPr>
          <w:footerReference r:id="rId11" w:type="first"/>
          <w:footerReference r:id="rId10" w:type="default"/>
          <w:pgSz w:w="11906" w:h="16838"/>
          <w:pgMar w:top="1417" w:right="1417" w:bottom="1417" w:left="1417" w:header="851" w:footer="907" w:gutter="0"/>
          <w:pgNumType w:start="1"/>
          <w:cols w:space="720" w:num="1"/>
          <w:titlePg/>
          <w:docGrid w:linePitch="360" w:charSpace="0"/>
        </w:sectPr>
      </w:pPr>
      <w:r>
        <w:rPr>
          <w:rFonts w:hint="eastAsia" w:asciiTheme="minorEastAsia" w:hAnsiTheme="minorEastAsia" w:eastAsiaTheme="minorEastAsia" w:cstheme="minorEastAsia"/>
          <w:color w:val="auto"/>
          <w:sz w:val="24"/>
          <w:highlight w:val="none"/>
        </w:rPr>
        <w:t>签订日期：    年    月   日</w:t>
      </w:r>
    </w:p>
    <w:p w14:paraId="2FBEC0EB">
      <w:pPr>
        <w:pStyle w:val="4"/>
        <w:numPr>
          <w:ilvl w:val="0"/>
          <w:numId w:val="3"/>
        </w:numPr>
        <w:spacing w:before="0" w:after="0" w:line="360" w:lineRule="auto"/>
        <w:rPr>
          <w:rFonts w:hint="eastAsia" w:asciiTheme="minorEastAsia" w:hAnsiTheme="minorEastAsia" w:eastAsiaTheme="minorEastAsia" w:cstheme="minorEastAsia"/>
          <w:bCs/>
          <w:color w:val="auto"/>
          <w:szCs w:val="44"/>
          <w:highlight w:val="none"/>
        </w:rPr>
      </w:pPr>
      <w:r>
        <w:rPr>
          <w:rFonts w:hint="eastAsia" w:asciiTheme="minorEastAsia" w:hAnsiTheme="minorEastAsia" w:eastAsiaTheme="minorEastAsia" w:cstheme="minorEastAsia"/>
          <w:bCs/>
          <w:color w:val="auto"/>
          <w:szCs w:val="44"/>
          <w:highlight w:val="none"/>
        </w:rPr>
        <w:t>项目需求</w:t>
      </w:r>
    </w:p>
    <w:p w14:paraId="2D115AF2">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项目属性</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服务类项目。</w:t>
      </w:r>
    </w:p>
    <w:p w14:paraId="374F5E0F">
      <w:pPr>
        <w:pStyle w:val="18"/>
        <w:keepNext w:val="0"/>
        <w:keepLines w:val="0"/>
        <w:pageBreakBefore w:val="0"/>
        <w:widowControl w:val="0"/>
        <w:spacing w:line="360" w:lineRule="auto"/>
        <w:ind w:firstLine="48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一、项目背景</w:t>
      </w:r>
    </w:p>
    <w:p w14:paraId="4FA5641D">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为推动内河航运高质量发展，客观研判淮河航运发展条件、趋势和重点，更好服务支撑经济社会发展，交通运输部水运局于2025年6月4日-7日开展淮河航运发展有关情况现场调研，淮河中上游河南省和安徽省均在积极推动淮河干线航道等级提升。</w:t>
      </w:r>
    </w:p>
    <w:p w14:paraId="1631CC43">
      <w:pPr>
        <w:pStyle w:val="18"/>
        <w:keepNext w:val="0"/>
        <w:keepLines w:val="0"/>
        <w:pageBreakBefore w:val="0"/>
        <w:widowControl w:val="0"/>
        <w:spacing w:line="360" w:lineRule="auto"/>
        <w:ind w:firstLine="48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二、项目目标</w:t>
      </w:r>
    </w:p>
    <w:p w14:paraId="06983792">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在此背景下，为持续落实国家淮河生态经济带发展战略，把握国家发展改革委、交通运输部调研淮河干线航道建设需求的重大机遇，全力打造滨海港淮河流域出海门户，我局拟开展滨海港区疏港航道二级规划研究，深入分析南北疏港航道方案的合理性和可行性，论证二级航道规划的迫切性和必要性，为争取项目列入《“十五五”水运发展规划》及相关国家规划提供技术支撑。</w:t>
      </w:r>
    </w:p>
    <w:p w14:paraId="1369B009">
      <w:pPr>
        <w:pStyle w:val="18"/>
        <w:keepNext w:val="0"/>
        <w:keepLines w:val="0"/>
        <w:pageBreakBefore w:val="0"/>
        <w:widowControl w:val="0"/>
        <w:spacing w:line="360" w:lineRule="auto"/>
        <w:ind w:firstLine="48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rPr>
        <w:t>、工作内容</w:t>
      </w:r>
    </w:p>
    <w:p w14:paraId="299081B6">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研究报告需要充分调研搜集淮河沿线河南、安徽及江苏港口吞吐量及船闸过闸量，结合调研数据建立运量模型进行综合分析修正，项目建设方案需结合沿线航道地形绘制专业的工程方案图纸。</w:t>
      </w:r>
    </w:p>
    <w:p w14:paraId="3D908755">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研究成果包含 1个总报告和 2个专题报告，专题报告分别为运量预测及建设必要性分析研究、滨海港区海河联运作业区布置方案研究。</w:t>
      </w:r>
    </w:p>
    <w:p w14:paraId="5DE4446E">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总报告的主要研究内容：项目需求分析与产出方案、项目选址与要素保障、项目建设方案（滨海港区疏港航道线路方案）、项目投融资与财务方案、项目影响效果分析、项目风险管控方案、研究结论与建议等。</w:t>
      </w:r>
    </w:p>
    <w:p w14:paraId="6504A48A">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专题一——运量预测及建设必要性研究，主要研究内容：深入分析淮河水系、京杭运河沿线现状出海货运格局和近年发展变化特点，结合经济社会、对外贸易、综合交通发展趋势特征，研判未来出海货运需求发展趋势。基于区域高等级航道网的发展变化，综合考虑不同交通方式间、不同水运出海通道间比较优势，预测滨海港区疏港航道将承担的货运需求规模。综合考虑投入产出，研究论证滨海港区疏港航道建设的必要性。</w:t>
      </w:r>
    </w:p>
    <w:p w14:paraId="32965076">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专题二——滨海港区海河联运作业区布置方案研究，主要研究内容：结合滨海港区疏港航道货运量预测，分析出海货运需求主要流量流向情况，预测海河联运主要承运内河船型和到港海运船型。基于滨海港区内河航道选线、陆域条件以及沿海港区功能分工等因素，提出海河联运作业区的港池形态、不同功能分区，细化内河作业区不同货类的岸线利用、泊位及陆域布置等，并提出海河联运作业区与沿海港区的工艺组织方案、陆域布置方案等，</w:t>
      </w:r>
      <w:r>
        <w:rPr>
          <w:rFonts w:hint="eastAsia" w:asciiTheme="minorEastAsia" w:hAnsiTheme="minorEastAsia" w:eastAsiaTheme="minorEastAsia" w:cstheme="minorEastAsia"/>
          <w:color w:val="auto"/>
          <w:sz w:val="24"/>
          <w:szCs w:val="24"/>
          <w:highlight w:val="none"/>
          <w:lang w:val="en-US" w:eastAsia="zh-CN"/>
        </w:rPr>
        <w:t>为系统推动滨海港区海河联运开发提供技术支撑。</w:t>
      </w:r>
    </w:p>
    <w:p w14:paraId="5E136AC4">
      <w:pPr>
        <w:pStyle w:val="18"/>
        <w:keepNext w:val="0"/>
        <w:keepLines w:val="0"/>
        <w:pageBreakBefore w:val="0"/>
        <w:widowControl w:val="0"/>
        <w:spacing w:line="360" w:lineRule="auto"/>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四、企业实力及项目负责人</w:t>
      </w:r>
    </w:p>
    <w:p w14:paraId="0F9408CC">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1.供应商需具备的二级及以上航道工程可行性研究项目编制的相关承接经验，为了确保项目的顺利实施，投标人自2021年</w:t>
      </w:r>
      <w:r>
        <w:rPr>
          <w:rFonts w:hint="eastAsia" w:asciiTheme="minorEastAsia" w:hAnsiTheme="minorEastAsia" w:eastAsiaTheme="minorEastAsia" w:cstheme="minorEastAsia"/>
          <w:color w:val="auto"/>
          <w:sz w:val="24"/>
          <w:szCs w:val="24"/>
          <w:highlight w:val="none"/>
        </w:rPr>
        <w:t>1月1日以来</w:t>
      </w:r>
      <w:r>
        <w:rPr>
          <w:rFonts w:hint="eastAsia" w:asciiTheme="minorEastAsia" w:hAnsiTheme="minorEastAsia" w:eastAsiaTheme="minorEastAsia" w:cstheme="minorEastAsia"/>
          <w:color w:val="auto"/>
          <w:sz w:val="24"/>
          <w:szCs w:val="24"/>
          <w:highlight w:val="none"/>
          <w:lang w:val="en-US" w:eastAsia="zh-CN"/>
        </w:rPr>
        <w:t>承担过类似项目业绩的优先。</w:t>
      </w:r>
    </w:p>
    <w:p w14:paraId="18CE03FF">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2.为了滨海港直连工程规划研究项目更好的实施，项目组负责人需具有高级及以上工程师职称及自2021年</w:t>
      </w:r>
      <w:r>
        <w:rPr>
          <w:rFonts w:hint="eastAsia" w:asciiTheme="minorEastAsia" w:hAnsiTheme="minorEastAsia" w:eastAsiaTheme="minorEastAsia" w:cstheme="minorEastAsia"/>
          <w:color w:val="auto"/>
          <w:sz w:val="24"/>
          <w:szCs w:val="24"/>
          <w:highlight w:val="none"/>
          <w:lang w:eastAsia="zh-CN"/>
        </w:rPr>
        <w:t>1月1日以来</w:t>
      </w:r>
      <w:r>
        <w:rPr>
          <w:rFonts w:hint="eastAsia" w:asciiTheme="minorEastAsia" w:hAnsiTheme="minorEastAsia" w:eastAsiaTheme="minorEastAsia" w:cstheme="minorEastAsia"/>
          <w:color w:val="auto"/>
          <w:sz w:val="24"/>
          <w:szCs w:val="24"/>
          <w:highlight w:val="none"/>
          <w:lang w:val="en-US" w:eastAsia="zh-CN"/>
        </w:rPr>
        <w:t>承担过类似项目业绩项目负责人的优先。</w:t>
      </w:r>
    </w:p>
    <w:p w14:paraId="556B988E">
      <w:pPr>
        <w:pStyle w:val="18"/>
        <w:keepNext w:val="0"/>
        <w:keepLines w:val="0"/>
        <w:pageBreakBefore w:val="0"/>
        <w:widowControl w:val="0"/>
        <w:spacing w:line="360" w:lineRule="auto"/>
        <w:ind w:firstLine="480"/>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五、</w:t>
      </w:r>
      <w:r>
        <w:rPr>
          <w:rFonts w:hint="eastAsia" w:asciiTheme="minorEastAsia" w:hAnsiTheme="minorEastAsia" w:eastAsiaTheme="minorEastAsia" w:cstheme="minorEastAsia"/>
          <w:b/>
          <w:bCs/>
          <w:color w:val="auto"/>
          <w:sz w:val="24"/>
          <w:szCs w:val="24"/>
          <w:highlight w:val="none"/>
          <w:lang w:eastAsia="zh-CN"/>
        </w:rPr>
        <w:t>项目实施方案</w:t>
      </w:r>
    </w:p>
    <w:p w14:paraId="56E356E3">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1、项目技术方案：</w:t>
      </w:r>
      <w:r>
        <w:rPr>
          <w:rFonts w:hint="eastAsia" w:asciiTheme="minorEastAsia" w:hAnsiTheme="minorEastAsia" w:eastAsiaTheme="minorEastAsia" w:cstheme="minorEastAsia"/>
          <w:color w:val="auto"/>
          <w:sz w:val="24"/>
          <w:szCs w:val="24"/>
          <w:highlight w:val="none"/>
          <w:lang w:val="zh-CN" w:eastAsia="zh-CN"/>
        </w:rPr>
        <w:t>至少包含：①工作思路；②研究内容；③研究方法；④技术路线等方面内容。</w:t>
      </w:r>
    </w:p>
    <w:p w14:paraId="2C814F7D">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①</w:t>
      </w:r>
      <w:r>
        <w:rPr>
          <w:rFonts w:hint="eastAsia" w:asciiTheme="minorEastAsia" w:hAnsiTheme="minorEastAsia" w:eastAsiaTheme="minorEastAsia" w:cstheme="minorEastAsia"/>
          <w:color w:val="auto"/>
          <w:sz w:val="24"/>
          <w:szCs w:val="24"/>
          <w:highlight w:val="none"/>
          <w:lang w:val="en-US" w:eastAsia="zh-CN"/>
        </w:rPr>
        <w:t>工作思路</w:t>
      </w:r>
      <w:r>
        <w:rPr>
          <w:rFonts w:hint="eastAsia" w:asciiTheme="minorEastAsia" w:hAnsiTheme="minorEastAsia" w:eastAsiaTheme="minorEastAsia" w:cstheme="minorEastAsia"/>
          <w:color w:val="auto"/>
          <w:sz w:val="24"/>
          <w:szCs w:val="24"/>
          <w:highlight w:val="none"/>
          <w:lang w:val="zh-CN" w:eastAsia="zh-CN"/>
        </w:rPr>
        <w:t>：</w:t>
      </w:r>
      <w:r>
        <w:rPr>
          <w:rFonts w:hint="eastAsia" w:asciiTheme="minorEastAsia" w:hAnsiTheme="minorEastAsia" w:eastAsiaTheme="minorEastAsia" w:cstheme="minorEastAsia"/>
          <w:color w:val="auto"/>
          <w:sz w:val="24"/>
          <w:szCs w:val="24"/>
          <w:highlight w:val="none"/>
          <w:lang w:val="en-US" w:eastAsia="zh-CN"/>
        </w:rPr>
        <w:t>紧扣国家淮河生态经济带发展战略，以推动滨海港纳入国家高等级航道网、打造淮河流域最短最优出海门户为核心目标，响应上级领导批示要求，针对淮河通榆河以东航道纳规研究不充分的问题，开展滨海港区疏港航道二级规划研究。</w:t>
      </w:r>
    </w:p>
    <w:p w14:paraId="1DFAD7FB">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②研究内容：</w:t>
      </w:r>
      <w:r>
        <w:rPr>
          <w:rFonts w:hint="eastAsia" w:asciiTheme="minorEastAsia" w:hAnsiTheme="minorEastAsia" w:eastAsiaTheme="minorEastAsia" w:cstheme="minorEastAsia"/>
          <w:color w:val="auto"/>
          <w:sz w:val="24"/>
          <w:szCs w:val="24"/>
          <w:highlight w:val="none"/>
          <w:lang w:val="en-US" w:eastAsia="zh-CN"/>
        </w:rPr>
        <w:t>研究成果由1个总报告+2个专题报告构成，各报告内容各有侧重、形成体系：</w:t>
      </w:r>
    </w:p>
    <w:p w14:paraId="313E55FD">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（1）总报告：涵盖项目需求分析与产出方案、选址与要素保障、疏港航道线路建设方案、投融资与财务方案、影响效果分析、风险管控方案及研究结论与建议。</w:t>
      </w:r>
    </w:p>
    <w:p w14:paraId="1754B758">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（2）专题一（运量预测及建设必要性分析）：分析淮河水系及京杭运河沿线货运格局与发展趋势，预测疏港航道货运规模，从投入产出角度论证项目建设必要性。</w:t>
      </w:r>
    </w:p>
    <w:p w14:paraId="278D0677">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（3）专题二（滨海港区海河联运作业区布置方案）：研判海河联运船型需求，提出作业区港池形态、功能分区及岸线/泊位布置方案，制定与沿海港区的工艺、陆域协同布置方案。</w:t>
      </w:r>
    </w:p>
    <w:p w14:paraId="26E9B757">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③研究方法：实地调研法（全面搜集数据，为研究奠定事实基础）、模型分析法（结合调研数据建立专业运量模型，提升预测准确性）、比较研究法（对比不同</w:t>
      </w:r>
      <w:r>
        <w:rPr>
          <w:rFonts w:hint="eastAsia" w:asciiTheme="minorEastAsia" w:hAnsiTheme="minorEastAsia" w:eastAsiaTheme="minorEastAsia" w:cstheme="minorEastAsia"/>
          <w:color w:val="auto"/>
          <w:sz w:val="24"/>
          <w:szCs w:val="24"/>
          <w:highlight w:val="none"/>
          <w:lang w:val="en-US" w:eastAsia="zh-CN"/>
        </w:rPr>
        <w:t>及</w:t>
      </w:r>
      <w:r>
        <w:rPr>
          <w:rFonts w:hint="eastAsia" w:asciiTheme="minorEastAsia" w:hAnsiTheme="minorEastAsia" w:eastAsiaTheme="minorEastAsia" w:cstheme="minorEastAsia"/>
          <w:color w:val="auto"/>
          <w:sz w:val="24"/>
          <w:szCs w:val="24"/>
          <w:highlight w:val="none"/>
          <w:lang w:val="zh-CN" w:eastAsia="zh-CN"/>
        </w:rPr>
        <w:t>优势，研判本项目的核心竞争力，</w:t>
      </w:r>
      <w:r>
        <w:rPr>
          <w:rFonts w:hint="eastAsia" w:asciiTheme="minorEastAsia" w:hAnsiTheme="minorEastAsia" w:eastAsiaTheme="minorEastAsia" w:cstheme="minorEastAsia"/>
          <w:color w:val="auto"/>
          <w:sz w:val="24"/>
          <w:szCs w:val="24"/>
          <w:highlight w:val="none"/>
          <w:lang w:val="en-US" w:eastAsia="zh-CN"/>
        </w:rPr>
        <w:t>提升</w:t>
      </w:r>
      <w:r>
        <w:rPr>
          <w:rFonts w:hint="eastAsia" w:asciiTheme="minorEastAsia" w:hAnsiTheme="minorEastAsia" w:eastAsiaTheme="minorEastAsia" w:cstheme="minorEastAsia"/>
          <w:color w:val="auto"/>
          <w:sz w:val="24"/>
          <w:szCs w:val="24"/>
          <w:highlight w:val="none"/>
          <w:lang w:val="zh-CN" w:eastAsia="zh-CN"/>
        </w:rPr>
        <w:t>方案的合理性与可行性）、工程绘图法（结合图纸，直观呈现）、投入产出法（从经济、社会、行业发展等维度，综合测算项目投入与效益）</w:t>
      </w:r>
    </w:p>
    <w:p w14:paraId="169435A1">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④技术路线：落实上级批示要求，明确研究目标与核心方向，组建专业研究团队，制定研究工作计划。赴淮河沿线豫皖苏三省开展实地调研，搜集港口、船闸等核心数据，整理分析行业发展趋势。同步推进两个专题报告编制，完成运量模型搭建与货运预测、海河联运作业区船型研判与布置方案设计。基于专题研究成果，开展项目选址、建设方案、投融资、风险管控等核心内容研究，整合形成总报告。对研究报告进行反复论证、修改完善，绘制专业工程图纸，形成最终的规划研究成果。</w:t>
      </w:r>
    </w:p>
    <w:p w14:paraId="046482C0">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2.重难点分析和措施：</w:t>
      </w:r>
      <w:r>
        <w:rPr>
          <w:rFonts w:hint="eastAsia" w:asciiTheme="minorEastAsia" w:hAnsiTheme="minorEastAsia" w:eastAsiaTheme="minorEastAsia" w:cstheme="minorEastAsia"/>
          <w:color w:val="auto"/>
          <w:sz w:val="24"/>
          <w:szCs w:val="24"/>
          <w:highlight w:val="none"/>
          <w:lang w:val="en-US" w:eastAsia="zh-CN"/>
        </w:rPr>
        <w:t>至少包含：①重点工作分析；②难点问题分析；③针对性解决措施；④保障机制与落实要求等方面内容。</w:t>
      </w:r>
    </w:p>
    <w:p w14:paraId="308FF749">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重点工作分析：全面、准确获取淮河沿线三省港口、船闸核心运营数据，是后续运量预测、方案设计的基础，为研究的科学性提供支撑。结合经济社会、对外贸易、综合交通发展趋势，建立符合实际的运量模型，精准预测疏港航道货运需求规模，是论证项目建设必要性的核心。结合沿线航道地形，设计科学、合理、可行的滨海港区疏港航道二级线路方案，匹配海河联运发展需求。</w:t>
      </w:r>
    </w:p>
    <w:p w14:paraId="61F4718C">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难点问题分析：研究涉及豫皖苏三省多地港口、船闸数据，不同区域数据统计标准、更新频率不一致，数据搜集的全面性、准确性难以保障。货运需求受经济社会、对外贸易、交通路网调整等多重因素影响，模型搭建与趋势研判难度高。</w:t>
      </w:r>
      <w:r>
        <w:rPr>
          <w:rFonts w:hint="eastAsia" w:asciiTheme="minorEastAsia" w:hAnsiTheme="minorEastAsia" w:eastAsiaTheme="minorEastAsia" w:cstheme="minorEastAsia"/>
          <w:color w:val="auto"/>
          <w:sz w:val="24"/>
          <w:szCs w:val="24"/>
          <w:highlight w:val="none"/>
          <w:lang w:eastAsia="zh-CN"/>
        </w:rPr>
        <w:t>疏港航道线路设计需结合沿线地形特征，对工程绘图与方案设计的专业要求极高。研究成果需充分契合上级部门的评审标准，论证难度大。研究涉多个专业领域，各专业研究内容相互关联，需实现高效协同，统筹难度高。</w:t>
      </w:r>
    </w:p>
    <w:p w14:paraId="19CEA9AC">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③针对性解决措施：</w:t>
      </w:r>
      <w:r>
        <w:rPr>
          <w:rFonts w:hint="eastAsia" w:asciiTheme="minorEastAsia" w:hAnsiTheme="minorEastAsia" w:eastAsiaTheme="minorEastAsia" w:cstheme="minorEastAsia"/>
          <w:color w:val="auto"/>
          <w:sz w:val="24"/>
          <w:szCs w:val="24"/>
          <w:highlight w:val="none"/>
          <w:lang w:eastAsia="zh-CN"/>
        </w:rPr>
        <w:t>组建专业调研团队，赴淮河沿线三省开展实地调研，与当地交通、港口管理部门建立沟通机制，确保数据搜集的全面性；对搜集的非标准化数据进行统一整理、校验，剔除无效数据，提升数据质量。结合区域经济社会发展规划、对外贸易趋势，采用多维度预测方法，建立专业运量模型；综合考虑区域高等级航道网发展、不同交通方式的替代效应，对模型结果进行多次修正，提升预测精准度。</w:t>
      </w:r>
    </w:p>
    <w:p w14:paraId="43C34FE4">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④保障机制与落实要求：设立项目研究总指挥部，明确层级管理与岗位职责，确保研究工作有序推进。</w:t>
      </w:r>
      <w:r>
        <w:rPr>
          <w:rFonts w:hint="eastAsia" w:asciiTheme="minorEastAsia" w:hAnsiTheme="minorEastAsia" w:eastAsiaTheme="minorEastAsia" w:cstheme="minorEastAsia"/>
          <w:color w:val="auto"/>
          <w:sz w:val="24"/>
          <w:szCs w:val="24"/>
          <w:highlight w:val="none"/>
          <w:lang w:eastAsia="zh-CN"/>
        </w:rPr>
        <w:t>组建专业团队，按研究内容精准匹配专业人员，保障各环节研究的专业性；明确各岗位工作时间与工作要求，确保人力投入充足。所有调研数据需留存原始记录，做到有据可查；研究成果需经多专业审核、总负责人审批后才可进入下一环节；严格按照研究工作计划推进，各专题、各专业需按时完成研究内容，不得随意拖延；建立研究成果多级审核机制，对报告内容、数据计算、方案设计进行反复校验，确保研究成果的科学性、准确性。</w:t>
      </w:r>
    </w:p>
    <w:p w14:paraId="6A800CB5">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3.质量保证体系及保证措施</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至少包含：①质量保证体系；②质量保证措施等方面内容。</w:t>
      </w:r>
    </w:p>
    <w:p w14:paraId="40CB8471">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①质量保证体系：</w:t>
      </w:r>
      <w:r>
        <w:rPr>
          <w:rFonts w:hint="eastAsia" w:asciiTheme="minorEastAsia" w:hAnsiTheme="minorEastAsia" w:eastAsiaTheme="minorEastAsia" w:cstheme="minorEastAsia"/>
          <w:color w:val="auto"/>
          <w:sz w:val="24"/>
          <w:szCs w:val="24"/>
          <w:highlight w:val="none"/>
          <w:lang w:eastAsia="zh-CN"/>
        </w:rPr>
        <w:t>由管理人员组成，负责研究方向、核心方案的整体把控，审批研究成果最终版本，对整体质量负总责。各专业、各专题研究工作的质量管控，制定各环节质量标准，解决研究过程中的质量问题，审核本环节研究成果。严格按照质量标准与工作要求开展调研、建模、设计、撰写等工作，确保每一项具体工作的质量。研究成果实行审核制度，对发现的问题限期整改，整改完成后方可进入下一环节。</w:t>
      </w:r>
    </w:p>
    <w:p w14:paraId="5D6715E7">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质量保证措施：制定调研数据搜集与校验标准，确保数据真实、准确、完整；建立数据档案，对所有调研数据、参考资料进行分类存档，便于追溯与核查。针对核心环节，制定详细的技术操作规范，要求研究人员严格按照规范开展工作；定期对研究进度与质量进行检查，及时发现并纠正不规范操作。对研究报告的内容完整性、逻辑严谨性、论证充分性进行全面审核，对数据计算、模型分析结果进行重新验算；在审核过程中发现的问题需明确整改责任人、整改期限，整改完成后进行复核，确保问题全部解决。</w:t>
      </w:r>
    </w:p>
    <w:p w14:paraId="258A052B">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4.进度计划及保障措施：</w:t>
      </w:r>
      <w:r>
        <w:rPr>
          <w:rFonts w:hint="eastAsia" w:asciiTheme="minorEastAsia" w:hAnsiTheme="minorEastAsia" w:eastAsiaTheme="minorEastAsia" w:cstheme="minorEastAsia"/>
          <w:color w:val="auto"/>
          <w:sz w:val="24"/>
          <w:szCs w:val="24"/>
          <w:highlight w:val="none"/>
          <w:lang w:val="en-US" w:eastAsia="zh-CN"/>
        </w:rPr>
        <w:t>至少包含：①进度计划；②保障措施等方面内容。</w:t>
      </w:r>
    </w:p>
    <w:p w14:paraId="114E09FA">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①进度计划：需围绕 “质量优先、节点明确、风险可控” 核心，覆盖从方案启动到落地交付的全流程，同时预留缓冲空间适配变更与质量管控。</w:t>
      </w:r>
    </w:p>
    <w:p w14:paraId="0688D68C">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②保障措施：确保进度不偏离、问题早发现、调整有依据，覆盖进度规划、执行监控、风险预警、变更适配全环节。</w:t>
      </w:r>
    </w:p>
    <w:p w14:paraId="183E71FE">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5.后续服务的安排及保证措施：</w:t>
      </w:r>
      <w:r>
        <w:rPr>
          <w:rFonts w:hint="eastAsia" w:asciiTheme="minorEastAsia" w:hAnsiTheme="minorEastAsia" w:eastAsiaTheme="minorEastAsia" w:cstheme="minorEastAsia"/>
          <w:color w:val="auto"/>
          <w:sz w:val="24"/>
          <w:szCs w:val="24"/>
          <w:highlight w:val="none"/>
          <w:lang w:val="en-US" w:eastAsia="zh-CN"/>
        </w:rPr>
        <w:t>至少包含：①后续服务内容与工作安排；②服务流程及响应机制；③服务团队与人员保障；④质量承诺与履约保障等方面内容。</w:t>
      </w:r>
    </w:p>
    <w:p w14:paraId="7DF2BAF0">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后续服务内容与工作安排：根据项目实施阶段需求，系统制定后续服务工作计划，明确成果深化、方案优化、报批配合、现场技术对接、阶段性回访等服务内容，合理安排工作时序与服务频次，确保后续服务与项目建设、审批、实施全过程有效衔接。</w:t>
      </w:r>
    </w:p>
    <w:p w14:paraId="62FBA876">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服务流程及响应机制：成立专门后续服务小组，固定项目负责人、专业技术人员全程跟进，保持服务人员稳定性与连续性；明确各专业岗位职责，确保技术对接、问题处理、成果调整等工作专人负责、快速响应，为项目全周期提供稳定技术支撑。</w:t>
      </w:r>
    </w:p>
    <w:p w14:paraId="7212C14D">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服务团队与人员保障：建立常态化沟通与快速响应机制，实行限时响应、闭环处理制度，对业主提出的技术咨询、方案调整、资料完善等需求及时受理、快速处置；规范服务流程，做好服务记录、过程留痕与成果归档，保障服务高效、规范、可追溯。</w:t>
      </w:r>
    </w:p>
    <w:p w14:paraId="1076C6D5">
      <w:pPr>
        <w:pStyle w:val="18"/>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质量承诺与履约保障：严格执行内部质量审核与成果复核制度，确保后续服务成果符合规范、满足审批及实施要求；健全服务考核与内部督办机制，强化履约意识，主动跟踪项目进展，主动提供技术支持，切实保障服务质量与履约效果。</w:t>
      </w:r>
    </w:p>
    <w:p w14:paraId="171A2797">
      <w:pPr>
        <w:pStyle w:val="18"/>
        <w:keepNext w:val="0"/>
        <w:keepLines w:val="0"/>
        <w:pageBreakBefore w:val="0"/>
        <w:widowControl w:val="0"/>
        <w:spacing w:line="540" w:lineRule="exact"/>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采购标的对应的中小企业划分标准所属行业一览表</w:t>
      </w:r>
    </w:p>
    <w:tbl>
      <w:tblPr>
        <w:tblStyle w:val="51"/>
        <w:tblW w:w="9119" w:type="dxa"/>
        <w:tblInd w:w="24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55"/>
        <w:gridCol w:w="4476"/>
        <w:gridCol w:w="3888"/>
      </w:tblGrid>
      <w:tr w14:paraId="6D984F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9" w:hRule="atLeast"/>
        </w:trPr>
        <w:tc>
          <w:tcPr>
            <w:tcW w:w="7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8337FA">
            <w:pPr>
              <w:pStyle w:val="18"/>
              <w:keepNext w:val="0"/>
              <w:keepLines w:val="0"/>
              <w:pageBreakBefore w:val="0"/>
              <w:widowControl w:val="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447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9B120F1">
            <w:pPr>
              <w:pStyle w:val="18"/>
              <w:keepNext w:val="0"/>
              <w:keepLines w:val="0"/>
              <w:pageBreakBefore w:val="0"/>
              <w:widowControl w:val="0"/>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采购标的</w:t>
            </w:r>
          </w:p>
        </w:tc>
        <w:tc>
          <w:tcPr>
            <w:tcW w:w="388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96088D7">
            <w:pPr>
              <w:pStyle w:val="18"/>
              <w:keepNext w:val="0"/>
              <w:keepLines w:val="0"/>
              <w:pageBreakBefore w:val="0"/>
              <w:widowControl w:val="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对应中小企业划分标准所属行业</w:t>
            </w:r>
          </w:p>
        </w:tc>
      </w:tr>
      <w:tr w14:paraId="40C0D6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0" w:hRule="atLeast"/>
        </w:trPr>
        <w:tc>
          <w:tcPr>
            <w:tcW w:w="75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226697">
            <w:pPr>
              <w:pStyle w:val="18"/>
              <w:keepNext w:val="0"/>
              <w:keepLines w:val="0"/>
              <w:pageBreakBefore w:val="0"/>
              <w:widowControl w:val="0"/>
              <w:ind w:firstLine="24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447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8341FD">
            <w:pPr>
              <w:pStyle w:val="18"/>
              <w:keepNext w:val="0"/>
              <w:keepLines w:val="0"/>
              <w:pageBreakBefore w:val="0"/>
              <w:widowControl w:val="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滨海港直连工程规划研究项目</w:t>
            </w:r>
          </w:p>
        </w:tc>
        <w:tc>
          <w:tcPr>
            <w:tcW w:w="38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3402C2">
            <w:pPr>
              <w:pStyle w:val="18"/>
              <w:keepNext w:val="0"/>
              <w:keepLines w:val="0"/>
              <w:pageBreakBefore w:val="0"/>
              <w:widowControl w:val="0"/>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其他未列明行业  </w:t>
            </w:r>
          </w:p>
        </w:tc>
      </w:tr>
    </w:tbl>
    <w:p w14:paraId="12B6C24C">
      <w:pPr>
        <w:rPr>
          <w:rFonts w:hint="eastAsia" w:asciiTheme="minorEastAsia" w:hAnsiTheme="minorEastAsia" w:eastAsiaTheme="minorEastAsia" w:cstheme="minorEastAsia"/>
          <w:b/>
          <w:bCs/>
          <w:color w:val="auto"/>
          <w:sz w:val="44"/>
          <w:szCs w:val="44"/>
          <w:highlight w:val="none"/>
        </w:rPr>
      </w:pPr>
    </w:p>
    <w:p w14:paraId="36C61845">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32A16B02">
      <w:pPr>
        <w:rPr>
          <w:rFonts w:hint="eastAsia" w:asciiTheme="minorEastAsia" w:hAnsiTheme="minorEastAsia" w:eastAsiaTheme="minorEastAsia" w:cstheme="minorEastAsia"/>
          <w:color w:val="auto"/>
          <w:highlight w:val="none"/>
        </w:rPr>
      </w:pPr>
    </w:p>
    <w:p w14:paraId="44E6C945">
      <w:pPr>
        <w:pStyle w:val="3"/>
        <w:numPr>
          <w:ilvl w:val="0"/>
          <w:numId w:val="0"/>
        </w:numPr>
        <w:ind w:left="2660" w:leftChars="0" w:firstLine="0" w:firstLineChars="0"/>
        <w:rPr>
          <w:rFonts w:hint="eastAsia" w:asciiTheme="minorEastAsia" w:hAnsiTheme="minorEastAsia" w:eastAsiaTheme="minorEastAsia" w:cstheme="minorEastAsia"/>
          <w:color w:val="auto"/>
          <w:sz w:val="44"/>
          <w:szCs w:val="44"/>
          <w:highlight w:val="none"/>
        </w:rPr>
      </w:pPr>
      <w:bookmarkStart w:id="143" w:name="_Toc1167"/>
      <w:r>
        <w:rPr>
          <w:rFonts w:hint="eastAsia" w:asciiTheme="minorEastAsia" w:hAnsiTheme="minorEastAsia" w:eastAsiaTheme="minorEastAsia" w:cstheme="minorEastAsia"/>
          <w:color w:val="auto"/>
          <w:sz w:val="44"/>
          <w:szCs w:val="44"/>
          <w:highlight w:val="none"/>
          <w:lang w:val="en-US" w:eastAsia="zh-CN" w:bidi="ar-SA"/>
        </w:rPr>
        <w:t xml:space="preserve">第五章 </w:t>
      </w:r>
      <w:r>
        <w:rPr>
          <w:rFonts w:hint="eastAsia" w:asciiTheme="minorEastAsia" w:hAnsiTheme="minorEastAsia" w:eastAsiaTheme="minorEastAsia" w:cstheme="minorEastAsia"/>
          <w:color w:val="auto"/>
          <w:sz w:val="44"/>
          <w:szCs w:val="44"/>
          <w:highlight w:val="none"/>
        </w:rPr>
        <w:t>评审方法和评审标准</w:t>
      </w:r>
      <w:bookmarkEnd w:id="143"/>
    </w:p>
    <w:p w14:paraId="3BDA0014">
      <w:pP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sz w:val="24"/>
          <w:highlight w:val="none"/>
        </w:rPr>
        <w:t>一、评审方法</w:t>
      </w:r>
    </w:p>
    <w:p w14:paraId="2B6813C8">
      <w:pPr>
        <w:pStyle w:val="287"/>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本项目采用</w:t>
      </w:r>
      <w:r>
        <w:rPr>
          <w:rFonts w:hint="eastAsia" w:asciiTheme="minorEastAsia" w:hAnsiTheme="minorEastAsia" w:eastAsiaTheme="minorEastAsia" w:cstheme="minorEastAsia"/>
          <w:color w:val="auto"/>
          <w:sz w:val="24"/>
          <w:highlight w:val="none"/>
          <w:u w:val="single"/>
        </w:rPr>
        <w:t>综合评分法</w:t>
      </w:r>
      <w:r>
        <w:rPr>
          <w:rFonts w:hint="eastAsia" w:asciiTheme="minorEastAsia" w:hAnsiTheme="minorEastAsia" w:eastAsiaTheme="minorEastAsia" w:cstheme="minorEastAsia"/>
          <w:color w:val="auto"/>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4B8D4B76">
      <w:pPr>
        <w:pStyle w:val="240"/>
        <w:spacing w:before="0" w:after="0" w:line="480" w:lineRule="exact"/>
        <w:ind w:firstLine="441"/>
        <w:rPr>
          <w:rFonts w:hint="eastAsia" w:asciiTheme="minorEastAsia" w:hAnsiTheme="minorEastAsia" w:eastAsiaTheme="minorEastAsia" w:cstheme="minorEastAsia"/>
          <w:b/>
          <w:color w:val="auto"/>
          <w:highlight w:val="none"/>
        </w:rPr>
      </w:pPr>
      <w:bookmarkStart w:id="144" w:name="OLE_LINK60"/>
      <w:bookmarkStart w:id="145" w:name="OLE_LINK59"/>
      <w:r>
        <w:rPr>
          <w:rFonts w:hint="eastAsia" w:asciiTheme="minorEastAsia" w:hAnsiTheme="minorEastAsia" w:eastAsiaTheme="minorEastAsia" w:cstheme="minorEastAsia"/>
          <w:b/>
          <w:color w:val="auto"/>
          <w:highlight w:val="none"/>
        </w:rPr>
        <w:t>政府采购政策功能落实</w:t>
      </w:r>
    </w:p>
    <w:p w14:paraId="046CD176">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1、小微型企业价格扣除</w:t>
      </w:r>
    </w:p>
    <w:p w14:paraId="591A60B0">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（1）本项目不专门面向中小企业采购，对符合规定的小型和微型企业报价给予</w:t>
      </w:r>
      <w:r>
        <w:rPr>
          <w:rFonts w:hint="eastAsia" w:asciiTheme="minorEastAsia" w:hAnsiTheme="minorEastAsia" w:eastAsiaTheme="minorEastAsia" w:cstheme="minorEastAsia"/>
          <w:color w:val="auto"/>
          <w:highlight w:val="none"/>
          <w:u w:val="single"/>
        </w:rPr>
        <w:t>20%</w:t>
      </w:r>
      <w:r>
        <w:rPr>
          <w:rFonts w:hint="eastAsia" w:asciiTheme="minorEastAsia" w:hAnsiTheme="minorEastAsia" w:eastAsiaTheme="minorEastAsia" w:cstheme="minorEastAsia"/>
          <w:color w:val="auto"/>
          <w:highlight w:val="none"/>
        </w:rPr>
        <w:t>的扣除价格，用扣除后的价格参与评审；</w:t>
      </w:r>
    </w:p>
    <w:p w14:paraId="4058EED3">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（2）供应商需按照采购文件的要求提供相应的《中小企业声明函》。</w:t>
      </w:r>
    </w:p>
    <w:p w14:paraId="034458F8">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（3）企业标准请参照《关于印发中小企业划型标准规定的通知》（工信部联企业</w:t>
      </w:r>
      <w:r>
        <w:rPr>
          <w:rFonts w:hint="eastAsia" w:asciiTheme="minorEastAsia" w:hAnsiTheme="minorEastAsia" w:eastAsiaTheme="minorEastAsia" w:cstheme="minorEastAsia"/>
          <w:color w:val="auto"/>
          <w:highlight w:val="none"/>
          <w:lang w:eastAsia="zh-CN"/>
        </w:rPr>
        <w:t>〔2011〕300号</w:t>
      </w:r>
      <w:r>
        <w:rPr>
          <w:rFonts w:hint="eastAsia" w:asciiTheme="minorEastAsia" w:hAnsiTheme="minorEastAsia" w:eastAsiaTheme="minorEastAsia" w:cstheme="minorEastAsia"/>
          <w:color w:val="auto"/>
          <w:highlight w:val="none"/>
        </w:rPr>
        <w:t>）文件规定自行填写。</w:t>
      </w:r>
    </w:p>
    <w:p w14:paraId="6BB5A688">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2、残疾人福利单位价格扣除</w:t>
      </w:r>
    </w:p>
    <w:p w14:paraId="32C20813">
      <w:pPr>
        <w:pStyle w:val="44"/>
        <w:spacing w:before="120" w:beforeAutospacing="0" w:after="120" w:afterAutospacing="0" w:line="0" w:lineRule="atLeast"/>
        <w:ind w:left="120" w:firstLine="482"/>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（1）本项目对残疾人福利性单位视同小型、微型企业，给予</w:t>
      </w:r>
      <w:r>
        <w:rPr>
          <w:rFonts w:hint="eastAsia" w:asciiTheme="minorEastAsia" w:hAnsiTheme="minorEastAsia" w:eastAsiaTheme="minorEastAsia" w:cstheme="minorEastAsia"/>
          <w:color w:val="auto"/>
          <w:highlight w:val="none"/>
          <w:u w:val="single"/>
        </w:rPr>
        <w:t>20%</w:t>
      </w:r>
      <w:r>
        <w:rPr>
          <w:rFonts w:hint="eastAsia" w:asciiTheme="minorEastAsia" w:hAnsiTheme="minorEastAsia" w:eastAsiaTheme="minorEastAsia" w:cstheme="minorEastAsia"/>
          <w:color w:val="auto"/>
          <w:highlight w:val="none"/>
        </w:rPr>
        <w:t>的扣除价格，用扣除后的价格参与评审。</w:t>
      </w:r>
    </w:p>
    <w:p w14:paraId="55D93E65">
      <w:pPr>
        <w:pStyle w:val="44"/>
        <w:spacing w:before="120" w:beforeAutospacing="0" w:after="120" w:afterAutospacing="0" w:line="0" w:lineRule="atLeast"/>
        <w:ind w:left="120"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（2）残疾人福利单位需按照采购文件的要求提供《残疾人福利性单位声明函》。</w:t>
      </w:r>
    </w:p>
    <w:p w14:paraId="37B9C846">
      <w:pPr>
        <w:pStyle w:val="44"/>
        <w:spacing w:before="120" w:beforeAutospacing="0" w:after="120" w:afterAutospacing="0" w:line="0" w:lineRule="atLeast"/>
        <w:ind w:left="120"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（3）残疾人福利单位标准请参照《关于促进残疾人就业政府采购政策的通知》（财库〔2017〕141号）。</w:t>
      </w:r>
    </w:p>
    <w:p w14:paraId="55A1DA85">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3、监狱和戒毒企业价格扣除</w:t>
      </w:r>
    </w:p>
    <w:p w14:paraId="0007860A">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（1）本项目对监狱和戒毒企业（简称监狱企业）视同小型、微型企业，给予</w:t>
      </w:r>
      <w:r>
        <w:rPr>
          <w:rFonts w:hint="eastAsia" w:asciiTheme="minorEastAsia" w:hAnsiTheme="minorEastAsia" w:eastAsiaTheme="minorEastAsia" w:cstheme="minorEastAsia"/>
          <w:color w:val="auto"/>
          <w:highlight w:val="none"/>
          <w:u w:val="single"/>
        </w:rPr>
        <w:t>20%的扣除价格</w:t>
      </w:r>
      <w:r>
        <w:rPr>
          <w:rFonts w:hint="eastAsia" w:asciiTheme="minorEastAsia" w:hAnsiTheme="minorEastAsia" w:eastAsiaTheme="minorEastAsia" w:cstheme="minorEastAsia"/>
          <w:color w:val="auto"/>
          <w:highlight w:val="none"/>
        </w:rPr>
        <w:t>，用扣除后的价格参与评审。</w:t>
      </w:r>
    </w:p>
    <w:p w14:paraId="71948994">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（2）监狱企业参加政府采购活动时，需提供由省级以上监狱管理局、戒毒管理局</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含新疆生产建设兵团</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出具的属于监狱企业的证明文件。供应商如不提供上述证明文件，价格将不做相应扣除。</w:t>
      </w:r>
    </w:p>
    <w:p w14:paraId="3F58E9DF">
      <w:pPr>
        <w:pStyle w:val="44"/>
        <w:spacing w:before="120" w:beforeAutospacing="0" w:after="120" w:afterAutospacing="0" w:line="0" w:lineRule="atLeast"/>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（3）监狱企业标准请参照《关于政府采购支持监狱企业发展有关问题的通知》（财库</w:t>
      </w:r>
      <w:r>
        <w:rPr>
          <w:rFonts w:hint="eastAsia" w:asciiTheme="minorEastAsia" w:hAnsiTheme="minorEastAsia" w:eastAsiaTheme="minorEastAsia" w:cstheme="minorEastAsia"/>
          <w:color w:val="auto"/>
          <w:highlight w:val="none"/>
          <w:lang w:eastAsia="zh-CN"/>
        </w:rPr>
        <w:t>〔2014〕68号</w:t>
      </w:r>
      <w:r>
        <w:rPr>
          <w:rFonts w:hint="eastAsia" w:asciiTheme="minorEastAsia" w:hAnsiTheme="minorEastAsia" w:eastAsiaTheme="minorEastAsia" w:cstheme="minorEastAsia"/>
          <w:color w:val="auto"/>
          <w:highlight w:val="none"/>
        </w:rPr>
        <w:t>）。</w:t>
      </w:r>
    </w:p>
    <w:p w14:paraId="6946DAE7">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4、残疾人福利单位、监狱企业属于小型、微型企业的，不重复享受政策。</w:t>
      </w:r>
    </w:p>
    <w:p w14:paraId="1BF40B8C">
      <w:pPr>
        <w:pStyle w:val="44"/>
        <w:spacing w:before="120" w:beforeAutospacing="0" w:after="12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5、如本项目同意联合体参加磋商或同意分包履行合同的</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eastAsiaTheme="minorEastAsia" w:cstheme="minorEastAsia"/>
          <w:color w:val="auto"/>
          <w:highlight w:val="none"/>
          <w:u w:val="single"/>
        </w:rPr>
        <w:t>6%</w:t>
      </w:r>
      <w:r>
        <w:rPr>
          <w:rFonts w:hint="eastAsia" w:asciiTheme="minorEastAsia" w:hAnsiTheme="minorEastAsia" w:eastAsiaTheme="minorEastAsia" w:cstheme="minorEastAsia"/>
          <w:color w:val="auto"/>
          <w:highlight w:val="none"/>
        </w:rPr>
        <w:t>的价格扣除，用扣除后的价格参与评审。</w:t>
      </w:r>
    </w:p>
    <w:p w14:paraId="52DF7EF5">
      <w:pPr>
        <w:pStyle w:val="44"/>
        <w:spacing w:before="120" w:beforeAutospacing="0" w:after="12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6、联合体各方均为小型、微型企业（残疾人福利单位、监狱企业）的，联合体享受</w:t>
      </w:r>
      <w:r>
        <w:rPr>
          <w:rFonts w:hint="eastAsia" w:asciiTheme="minorEastAsia" w:hAnsiTheme="minorEastAsia" w:eastAsiaTheme="minorEastAsia" w:cstheme="minorEastAsia"/>
          <w:color w:val="auto"/>
          <w:highlight w:val="none"/>
          <w:u w:val="single"/>
        </w:rPr>
        <w:t>20%</w:t>
      </w:r>
      <w:r>
        <w:rPr>
          <w:rFonts w:hint="eastAsia" w:asciiTheme="minorEastAsia" w:hAnsiTheme="minorEastAsia" w:eastAsiaTheme="minorEastAsia" w:cstheme="minorEastAsia"/>
          <w:color w:val="auto"/>
          <w:highlight w:val="none"/>
        </w:rPr>
        <w:t>价格扣除，用扣除后的价格参与评审。</w:t>
      </w:r>
    </w:p>
    <w:p w14:paraId="058E5834">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7、采购本国产品的支持政策</w:t>
      </w:r>
    </w:p>
    <w:p w14:paraId="2E047BF1">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 本项目政府采购活动中既有本国产品又有非本国产品参与竞争的，依法对本国产品给予价格评审优惠，对本国产品的报价给予 20%的价格扣除，用扣除后的价格参与评审。</w:t>
      </w:r>
    </w:p>
    <w:p w14:paraId="4484298E">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28A410E">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 供应商需按照招标文件的要求提供《关于符合本国产品标准的声明函》（以下简称《声明函》），如不提供将不享受本国产品价格评审优惠。</w:t>
      </w:r>
    </w:p>
    <w:p w14:paraId="18A30C55">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26FB0872">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3A0B48D">
      <w:pPr>
        <w:pStyle w:val="48"/>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w:t>
      </w:r>
      <w:bookmarkEnd w:id="144"/>
      <w:bookmarkEnd w:id="145"/>
      <w:r>
        <w:rPr>
          <w:rFonts w:hint="eastAsia" w:asciiTheme="minorEastAsia" w:hAnsiTheme="minorEastAsia" w:eastAsiaTheme="minorEastAsia" w:cstheme="minorEastAsia"/>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bCs/>
          <w:i/>
          <w:iCs/>
          <w:color w:val="auto"/>
          <w:sz w:val="24"/>
          <w:highlight w:val="none"/>
        </w:rPr>
        <w:t>如属政府强制采购产品未提供认证证书的或认证证书提供不全的将视为未实质性响应采购要求。</w:t>
      </w:r>
      <w:r>
        <w:rPr>
          <w:rFonts w:hint="eastAsia" w:asciiTheme="minorEastAsia" w:hAnsiTheme="minorEastAsia" w:eastAsiaTheme="minorEastAsia" w:cstheme="minorEastAsia"/>
          <w:color w:val="auto"/>
          <w:sz w:val="24"/>
          <w:highlight w:val="none"/>
        </w:rPr>
        <w:t>其他条件相同情况下，应当优先采购节能产品、环境标志产品。</w:t>
      </w:r>
    </w:p>
    <w:p w14:paraId="7C4CC028">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二、评标标准</w:t>
      </w:r>
    </w:p>
    <w:tbl>
      <w:tblPr>
        <w:tblStyle w:val="50"/>
        <w:tblW w:w="98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2"/>
        <w:gridCol w:w="1559"/>
        <w:gridCol w:w="7602"/>
      </w:tblGrid>
      <w:tr w14:paraId="28A8B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Header/>
          <w:jc w:val="center"/>
        </w:trPr>
        <w:tc>
          <w:tcPr>
            <w:tcW w:w="732" w:type="dxa"/>
            <w:noWrap w:val="0"/>
            <w:vAlign w:val="center"/>
          </w:tcPr>
          <w:p w14:paraId="31E49F0E">
            <w:pPr>
              <w:spacing w:line="440" w:lineRule="exact"/>
              <w:jc w:val="center"/>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序号</w:t>
            </w:r>
          </w:p>
        </w:tc>
        <w:tc>
          <w:tcPr>
            <w:tcW w:w="1559" w:type="dxa"/>
            <w:noWrap w:val="0"/>
            <w:vAlign w:val="center"/>
          </w:tcPr>
          <w:p w14:paraId="39A20822">
            <w:pPr>
              <w:spacing w:line="44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评标分项</w:t>
            </w:r>
          </w:p>
        </w:tc>
        <w:tc>
          <w:tcPr>
            <w:tcW w:w="7602" w:type="dxa"/>
            <w:noWrap w:val="0"/>
            <w:vAlign w:val="center"/>
          </w:tcPr>
          <w:p w14:paraId="45A56F04">
            <w:pPr>
              <w:spacing w:line="44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评分标准</w:t>
            </w:r>
          </w:p>
        </w:tc>
      </w:tr>
      <w:tr w14:paraId="6FA04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3" w:hRule="atLeast"/>
          <w:jc w:val="center"/>
        </w:trPr>
        <w:tc>
          <w:tcPr>
            <w:tcW w:w="732" w:type="dxa"/>
            <w:noWrap w:val="0"/>
            <w:vAlign w:val="center"/>
          </w:tcPr>
          <w:p w14:paraId="6D3CCCBB">
            <w:pPr>
              <w:spacing w:line="44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1559" w:type="dxa"/>
            <w:noWrap w:val="0"/>
            <w:vAlign w:val="center"/>
          </w:tcPr>
          <w:p w14:paraId="68CF0C48">
            <w:pPr>
              <w:keepNext w:val="0"/>
              <w:keepLines w:val="0"/>
              <w:pageBreakBefore w:val="0"/>
              <w:widowControl w:val="0"/>
              <w:tabs>
                <w:tab w:val="left" w:pos="9000"/>
              </w:tabs>
              <w:spacing w:line="360" w:lineRule="exact"/>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价格部分</w:t>
            </w:r>
          </w:p>
          <w:p w14:paraId="7AB8975F">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分）</w:t>
            </w:r>
          </w:p>
        </w:tc>
        <w:tc>
          <w:tcPr>
            <w:tcW w:w="7602" w:type="dxa"/>
            <w:noWrap w:val="0"/>
            <w:vAlign w:val="center"/>
          </w:tcPr>
          <w:p w14:paraId="6F2B4274">
            <w:pPr>
              <w:spacing w:line="44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满足</w:t>
            </w:r>
            <w:r>
              <w:rPr>
                <w:rFonts w:hint="eastAsia" w:asciiTheme="minorEastAsia" w:hAnsiTheme="minorEastAsia" w:eastAsiaTheme="minorEastAsia" w:cstheme="minorEastAsia"/>
                <w:color w:val="auto"/>
                <w:sz w:val="24"/>
                <w:highlight w:val="none"/>
                <w:lang w:val="en-US" w:eastAsia="zh-CN"/>
              </w:rPr>
              <w:t>招标</w:t>
            </w:r>
            <w:r>
              <w:rPr>
                <w:rFonts w:hint="eastAsia" w:asciiTheme="minorEastAsia" w:hAnsiTheme="minorEastAsia" w:eastAsiaTheme="minorEastAsia" w:cstheme="minorEastAsia"/>
                <w:color w:val="auto"/>
                <w:sz w:val="24"/>
                <w:highlight w:val="none"/>
              </w:rPr>
              <w:t>文件要求且报价最低的供应商的报价为</w:t>
            </w:r>
            <w:r>
              <w:rPr>
                <w:rFonts w:hint="eastAsia" w:asciiTheme="minorEastAsia" w:hAnsiTheme="minorEastAsia" w:eastAsiaTheme="minorEastAsia" w:cstheme="minorEastAsia"/>
                <w:color w:val="auto"/>
                <w:sz w:val="24"/>
                <w:highlight w:val="none"/>
                <w:lang w:val="en-US" w:eastAsia="zh-CN"/>
              </w:rPr>
              <w:t>评标</w:t>
            </w:r>
            <w:r>
              <w:rPr>
                <w:rFonts w:hint="eastAsia" w:asciiTheme="minorEastAsia" w:hAnsiTheme="minorEastAsia" w:eastAsiaTheme="minorEastAsia" w:cstheme="minorEastAsia"/>
                <w:color w:val="auto"/>
                <w:sz w:val="24"/>
                <w:highlight w:val="none"/>
              </w:rPr>
              <w:t>基准价，其价格分为满分。其他供应商的价格分统一按照下列公式计算：报价得分=（</w:t>
            </w:r>
            <w:r>
              <w:rPr>
                <w:rFonts w:hint="eastAsia" w:asciiTheme="minorEastAsia" w:hAnsiTheme="minorEastAsia" w:eastAsiaTheme="minorEastAsia" w:cstheme="minorEastAsia"/>
                <w:color w:val="auto"/>
                <w:sz w:val="24"/>
                <w:highlight w:val="none"/>
                <w:lang w:val="en-US" w:eastAsia="zh-CN"/>
              </w:rPr>
              <w:t>评标</w:t>
            </w:r>
            <w:r>
              <w:rPr>
                <w:rFonts w:hint="eastAsia" w:asciiTheme="minorEastAsia" w:hAnsiTheme="minorEastAsia" w:eastAsiaTheme="minorEastAsia" w:cstheme="minorEastAsia"/>
                <w:color w:val="auto"/>
                <w:sz w:val="24"/>
                <w:highlight w:val="none"/>
              </w:rPr>
              <w:t>基准价／</w:t>
            </w:r>
            <w:r>
              <w:rPr>
                <w:rFonts w:hint="eastAsia" w:asciiTheme="minorEastAsia" w:hAnsiTheme="minorEastAsia" w:eastAsiaTheme="minorEastAsia" w:cstheme="minorEastAsia"/>
                <w:color w:val="auto"/>
                <w:sz w:val="24"/>
                <w:highlight w:val="none"/>
                <w:lang w:val="en-US" w:eastAsia="zh-CN"/>
              </w:rPr>
              <w:t>投标</w:t>
            </w:r>
            <w:r>
              <w:rPr>
                <w:rFonts w:hint="eastAsia" w:asciiTheme="minorEastAsia" w:hAnsiTheme="minorEastAsia" w:eastAsiaTheme="minorEastAsia" w:cstheme="minorEastAsia"/>
                <w:color w:val="auto"/>
                <w:sz w:val="24"/>
                <w:highlight w:val="none"/>
              </w:rPr>
              <w:t>报价）×</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（该结果四舍五入，保留两位小数）</w:t>
            </w:r>
          </w:p>
        </w:tc>
      </w:tr>
      <w:tr w14:paraId="1D4B1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9" w:hRule="atLeast"/>
          <w:jc w:val="center"/>
        </w:trPr>
        <w:tc>
          <w:tcPr>
            <w:tcW w:w="732" w:type="dxa"/>
            <w:noWrap w:val="0"/>
            <w:vAlign w:val="center"/>
          </w:tcPr>
          <w:p w14:paraId="3C970B72">
            <w:pPr>
              <w:spacing w:line="44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w:t>
            </w:r>
          </w:p>
        </w:tc>
        <w:tc>
          <w:tcPr>
            <w:tcW w:w="1559" w:type="dxa"/>
            <w:noWrap w:val="0"/>
            <w:vAlign w:val="center"/>
          </w:tcPr>
          <w:p w14:paraId="40DE8934">
            <w:pPr>
              <w:spacing w:line="44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企业实力</w:t>
            </w:r>
          </w:p>
          <w:p w14:paraId="5EC4F19E">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15</w:t>
            </w:r>
            <w:r>
              <w:rPr>
                <w:rFonts w:hint="eastAsia" w:asciiTheme="minorEastAsia" w:hAnsiTheme="minorEastAsia" w:eastAsiaTheme="minorEastAsia" w:cstheme="minorEastAsia"/>
                <w:color w:val="auto"/>
                <w:sz w:val="24"/>
                <w:highlight w:val="none"/>
              </w:rPr>
              <w:t>分</w:t>
            </w:r>
            <w:r>
              <w:rPr>
                <w:rFonts w:hint="eastAsia" w:asciiTheme="minorEastAsia" w:hAnsiTheme="minorEastAsia" w:eastAsiaTheme="minorEastAsia" w:cstheme="minorEastAsia"/>
                <w:color w:val="auto"/>
                <w:sz w:val="24"/>
                <w:highlight w:val="none"/>
                <w:lang w:eastAsia="zh-CN"/>
              </w:rPr>
              <w:t>）</w:t>
            </w:r>
          </w:p>
        </w:tc>
        <w:tc>
          <w:tcPr>
            <w:tcW w:w="7602" w:type="dxa"/>
            <w:noWrap w:val="0"/>
            <w:vAlign w:val="center"/>
          </w:tcPr>
          <w:p w14:paraId="32F936E6">
            <w:pPr>
              <w:spacing w:line="360" w:lineRule="auto"/>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bCs/>
                <w:color w:val="auto"/>
                <w:sz w:val="24"/>
                <w:highlight w:val="none"/>
              </w:rPr>
              <w:t>供应商自2021年1月1日以来（以工可批复时间为准）承担过类似项目（类似项目是指</w:t>
            </w:r>
            <w:r>
              <w:rPr>
                <w:rFonts w:hint="eastAsia" w:asciiTheme="minorEastAsia" w:hAnsiTheme="minorEastAsia" w:eastAsiaTheme="minorEastAsia" w:cstheme="minorEastAsia"/>
                <w:bCs/>
                <w:strike w:val="0"/>
                <w:dstrike w:val="0"/>
                <w:color w:val="auto"/>
                <w:sz w:val="24"/>
                <w:highlight w:val="none"/>
              </w:rPr>
              <w:t>二级及以上</w:t>
            </w:r>
            <w:r>
              <w:rPr>
                <w:rFonts w:hint="eastAsia" w:asciiTheme="minorEastAsia" w:hAnsiTheme="minorEastAsia" w:eastAsiaTheme="minorEastAsia" w:cstheme="minorEastAsia"/>
                <w:bCs/>
                <w:color w:val="auto"/>
                <w:sz w:val="24"/>
                <w:highlight w:val="none"/>
              </w:rPr>
              <w:t>航道工程可行性研究</w:t>
            </w:r>
            <w:r>
              <w:rPr>
                <w:rFonts w:hint="eastAsia" w:asciiTheme="minorEastAsia" w:hAnsiTheme="minorEastAsia" w:eastAsiaTheme="minorEastAsia" w:cstheme="minorEastAsia"/>
                <w:bCs/>
                <w:color w:val="auto"/>
                <w:sz w:val="24"/>
                <w:highlight w:val="none"/>
                <w:lang w:val="en-US" w:eastAsia="zh-CN"/>
              </w:rPr>
              <w:t>项目类的</w:t>
            </w:r>
            <w:r>
              <w:rPr>
                <w:rFonts w:hint="eastAsia" w:asciiTheme="minorEastAsia" w:hAnsiTheme="minorEastAsia" w:eastAsiaTheme="minorEastAsia" w:cstheme="minorEastAsia"/>
                <w:bCs/>
                <w:color w:val="auto"/>
                <w:sz w:val="24"/>
                <w:highlight w:val="none"/>
              </w:rPr>
              <w:t>相关项目）。每</w:t>
            </w:r>
            <w:r>
              <w:rPr>
                <w:rFonts w:hint="eastAsia" w:asciiTheme="minorEastAsia" w:hAnsiTheme="minorEastAsia" w:eastAsiaTheme="minorEastAsia" w:cstheme="minorEastAsia"/>
                <w:bCs/>
                <w:color w:val="auto"/>
                <w:sz w:val="24"/>
                <w:highlight w:val="none"/>
                <w:lang w:val="en-US" w:eastAsia="zh-CN"/>
              </w:rPr>
              <w:t>提供</w:t>
            </w:r>
            <w:r>
              <w:rPr>
                <w:rFonts w:hint="eastAsia" w:asciiTheme="minorEastAsia" w:hAnsiTheme="minorEastAsia" w:eastAsiaTheme="minorEastAsia" w:cstheme="minorEastAsia"/>
                <w:bCs/>
                <w:color w:val="auto"/>
                <w:sz w:val="24"/>
                <w:highlight w:val="none"/>
              </w:rPr>
              <w:t>一个</w:t>
            </w:r>
            <w:r>
              <w:rPr>
                <w:rFonts w:hint="eastAsia" w:asciiTheme="minorEastAsia" w:hAnsiTheme="minorEastAsia" w:eastAsiaTheme="minorEastAsia" w:cstheme="minorEastAsia"/>
                <w:bCs/>
                <w:color w:val="auto"/>
                <w:sz w:val="24"/>
                <w:highlight w:val="none"/>
                <w:lang w:val="en-US" w:eastAsia="zh-CN"/>
              </w:rPr>
              <w:t>有效类似</w:t>
            </w:r>
            <w:r>
              <w:rPr>
                <w:rFonts w:hint="eastAsia" w:asciiTheme="minorEastAsia" w:hAnsiTheme="minorEastAsia" w:eastAsiaTheme="minorEastAsia" w:cstheme="minorEastAsia"/>
                <w:bCs/>
                <w:color w:val="auto"/>
                <w:sz w:val="24"/>
                <w:highlight w:val="none"/>
              </w:rPr>
              <w:t>业绩加</w:t>
            </w:r>
            <w:r>
              <w:rPr>
                <w:rFonts w:hint="eastAsia" w:asciiTheme="minorEastAsia" w:hAnsiTheme="minorEastAsia" w:eastAsiaTheme="minorEastAsia" w:cstheme="minorEastAsia"/>
                <w:bCs/>
                <w:color w:val="auto"/>
                <w:sz w:val="24"/>
                <w:highlight w:val="none"/>
                <w:lang w:val="en-US" w:eastAsia="zh-CN"/>
              </w:rPr>
              <w:t>5</w:t>
            </w:r>
            <w:r>
              <w:rPr>
                <w:rFonts w:hint="eastAsia" w:asciiTheme="minorEastAsia" w:hAnsiTheme="minorEastAsia" w:eastAsiaTheme="minorEastAsia" w:cstheme="minorEastAsia"/>
                <w:bCs/>
                <w:color w:val="auto"/>
                <w:sz w:val="24"/>
                <w:highlight w:val="none"/>
              </w:rPr>
              <w:t>分，本项最高得</w:t>
            </w:r>
            <w:r>
              <w:rPr>
                <w:rFonts w:hint="eastAsia" w:asciiTheme="minorEastAsia" w:hAnsiTheme="minorEastAsia" w:eastAsiaTheme="minorEastAsia" w:cstheme="minorEastAsia"/>
                <w:bCs/>
                <w:color w:val="auto"/>
                <w:sz w:val="24"/>
                <w:highlight w:val="none"/>
                <w:lang w:val="en-US" w:eastAsia="zh-CN"/>
              </w:rPr>
              <w:t>15</w:t>
            </w:r>
            <w:r>
              <w:rPr>
                <w:rFonts w:hint="eastAsia" w:asciiTheme="minorEastAsia" w:hAnsiTheme="minorEastAsia" w:eastAsiaTheme="minorEastAsia" w:cstheme="minorEastAsia"/>
                <w:bCs/>
                <w:color w:val="auto"/>
                <w:sz w:val="24"/>
                <w:highlight w:val="none"/>
              </w:rPr>
              <w:t>分。</w:t>
            </w:r>
          </w:p>
          <w:p w14:paraId="635E6333">
            <w:pPr>
              <w:spacing w:line="440" w:lineRule="exact"/>
              <w:jc w:val="left"/>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rPr>
              <w:t>注：</w:t>
            </w:r>
            <w:r>
              <w:rPr>
                <w:rFonts w:hint="eastAsia" w:asciiTheme="minorEastAsia" w:hAnsiTheme="minorEastAsia" w:eastAsiaTheme="minorEastAsia" w:cstheme="minorEastAsia"/>
                <w:b/>
                <w:bCs/>
                <w:color w:val="auto"/>
                <w:sz w:val="24"/>
                <w:highlight w:val="none"/>
                <w:lang w:val="en-US" w:eastAsia="zh-CN"/>
              </w:rPr>
              <w:t>①</w:t>
            </w:r>
            <w:r>
              <w:rPr>
                <w:rFonts w:hint="eastAsia" w:asciiTheme="minorEastAsia" w:hAnsiTheme="minorEastAsia" w:eastAsiaTheme="minorEastAsia" w:cstheme="minorEastAsia"/>
                <w:b/>
                <w:bCs/>
                <w:color w:val="auto"/>
                <w:sz w:val="24"/>
                <w:highlight w:val="none"/>
              </w:rPr>
              <w:t>供应商业绩及项目负责人业绩可为同一项目。</w:t>
            </w:r>
          </w:p>
          <w:p w14:paraId="6B5A9312">
            <w:pPr>
              <w:spacing w:line="44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 </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rPr>
              <w:t>②供应商业绩证明材料需提供项目</w:t>
            </w:r>
            <w:bookmarkStart w:id="166" w:name="_GoBack"/>
            <w:bookmarkEnd w:id="166"/>
            <w:r>
              <w:rPr>
                <w:rFonts w:hint="eastAsia" w:asciiTheme="minorEastAsia" w:hAnsiTheme="minorEastAsia" w:eastAsiaTheme="minorEastAsia" w:cstheme="minorEastAsia"/>
                <w:b/>
                <w:bCs/>
                <w:color w:val="auto"/>
                <w:sz w:val="24"/>
                <w:highlight w:val="none"/>
              </w:rPr>
              <w:t>合同及项目批复文件复印件并加盖投标供应商公章，合同须能反映项目名称、主要标的物、签订时间、单位公章或专用合同章</w:t>
            </w:r>
            <w:r>
              <w:rPr>
                <w:rFonts w:hint="eastAsia" w:asciiTheme="minorEastAsia" w:hAnsiTheme="minorEastAsia" w:eastAsiaTheme="minorEastAsia" w:cstheme="minorEastAsia"/>
                <w:b/>
                <w:bCs/>
                <w:color w:val="auto"/>
                <w:sz w:val="24"/>
                <w:highlight w:val="none"/>
                <w:lang w:eastAsia="zh-CN"/>
              </w:rPr>
              <w:t>，</w:t>
            </w:r>
            <w:r>
              <w:rPr>
                <w:rFonts w:hint="eastAsia" w:asciiTheme="minorEastAsia" w:hAnsiTheme="minorEastAsia" w:eastAsiaTheme="minorEastAsia" w:cstheme="minorEastAsia"/>
                <w:b/>
                <w:bCs/>
                <w:color w:val="auto"/>
                <w:sz w:val="24"/>
                <w:highlight w:val="none"/>
              </w:rPr>
              <w:t>如不能反映的，另须提供盖有原委托单位公章的证明，否则不予认可。未提供或提供不全的不得分。</w:t>
            </w:r>
          </w:p>
        </w:tc>
      </w:tr>
      <w:tr w14:paraId="37DFE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5" w:hRule="atLeast"/>
          <w:jc w:val="center"/>
        </w:trPr>
        <w:tc>
          <w:tcPr>
            <w:tcW w:w="732" w:type="dxa"/>
            <w:noWrap w:val="0"/>
            <w:vAlign w:val="center"/>
          </w:tcPr>
          <w:p w14:paraId="3975B252">
            <w:pPr>
              <w:tabs>
                <w:tab w:val="left" w:pos="900"/>
              </w:tabs>
              <w:spacing w:line="44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w:t>
            </w:r>
          </w:p>
        </w:tc>
        <w:tc>
          <w:tcPr>
            <w:tcW w:w="1559" w:type="dxa"/>
            <w:noWrap w:val="0"/>
            <w:vAlign w:val="center"/>
          </w:tcPr>
          <w:p w14:paraId="3088698F">
            <w:pPr>
              <w:tabs>
                <w:tab w:val="left" w:pos="900"/>
              </w:tabs>
              <w:spacing w:line="44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项目</w:t>
            </w:r>
            <w:r>
              <w:rPr>
                <w:rFonts w:hint="eastAsia" w:asciiTheme="minorEastAsia" w:hAnsiTheme="minorEastAsia" w:eastAsiaTheme="minorEastAsia" w:cstheme="minorEastAsia"/>
                <w:color w:val="auto"/>
                <w:sz w:val="24"/>
                <w:highlight w:val="none"/>
                <w:lang w:val="en-US" w:eastAsia="zh-CN"/>
              </w:rPr>
              <w:t>负责人</w:t>
            </w:r>
          </w:p>
          <w:p w14:paraId="2352C7EB">
            <w:pPr>
              <w:tabs>
                <w:tab w:val="left" w:pos="900"/>
              </w:tabs>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15</w:t>
            </w:r>
            <w:r>
              <w:rPr>
                <w:rFonts w:hint="eastAsia" w:asciiTheme="minorEastAsia" w:hAnsiTheme="minorEastAsia" w:eastAsiaTheme="minorEastAsia" w:cstheme="minorEastAsia"/>
                <w:color w:val="auto"/>
                <w:sz w:val="24"/>
                <w:highlight w:val="none"/>
              </w:rPr>
              <w:t>分</w:t>
            </w:r>
            <w:r>
              <w:rPr>
                <w:rFonts w:hint="eastAsia" w:asciiTheme="minorEastAsia" w:hAnsiTheme="minorEastAsia" w:eastAsiaTheme="minorEastAsia" w:cstheme="minorEastAsia"/>
                <w:color w:val="auto"/>
                <w:sz w:val="24"/>
                <w:highlight w:val="none"/>
                <w:lang w:eastAsia="zh-CN"/>
              </w:rPr>
              <w:t>）</w:t>
            </w:r>
          </w:p>
        </w:tc>
        <w:tc>
          <w:tcPr>
            <w:tcW w:w="7602" w:type="dxa"/>
            <w:noWrap w:val="0"/>
            <w:vAlign w:val="center"/>
          </w:tcPr>
          <w:p w14:paraId="4B7DEAFC">
            <w:pPr>
              <w:spacing w:line="360" w:lineRule="auto"/>
              <w:ind w:firstLine="240" w:firstLineChars="1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lang w:val="en-US" w:eastAsia="zh-CN"/>
              </w:rPr>
              <w:t>项目负责人自2021年1月1日以来（以工可批复时间为准）担任过类似项目的项目负责人（类似项目是指二级及以上</w:t>
            </w:r>
            <w:r>
              <w:rPr>
                <w:rFonts w:hint="eastAsia" w:asciiTheme="minorEastAsia" w:hAnsiTheme="minorEastAsia" w:eastAsiaTheme="minorEastAsia" w:cstheme="minorEastAsia"/>
                <w:color w:val="auto"/>
                <w:sz w:val="24"/>
                <w:highlight w:val="none"/>
                <w:lang w:val="en-US" w:eastAsia="zh-CN"/>
              </w:rPr>
              <w:t>航道工程可行性研究</w:t>
            </w:r>
            <w:r>
              <w:rPr>
                <w:rFonts w:hint="eastAsia" w:asciiTheme="minorEastAsia" w:hAnsiTheme="minorEastAsia" w:eastAsiaTheme="minorEastAsia" w:cstheme="minorEastAsia"/>
                <w:bCs/>
                <w:color w:val="auto"/>
                <w:sz w:val="24"/>
                <w:highlight w:val="none"/>
                <w:lang w:val="en-US" w:eastAsia="zh-CN"/>
              </w:rPr>
              <w:t>项目类的</w:t>
            </w:r>
            <w:r>
              <w:rPr>
                <w:rFonts w:hint="eastAsia" w:asciiTheme="minorEastAsia" w:hAnsiTheme="minorEastAsia" w:eastAsiaTheme="minorEastAsia" w:cstheme="minorEastAsia"/>
                <w:color w:val="auto"/>
                <w:sz w:val="24"/>
                <w:highlight w:val="none"/>
                <w:lang w:val="en-US" w:eastAsia="zh-CN"/>
              </w:rPr>
              <w:t>相关项目）。</w:t>
            </w:r>
            <w:r>
              <w:rPr>
                <w:rFonts w:hint="eastAsia" w:asciiTheme="minorEastAsia" w:hAnsiTheme="minorEastAsia" w:eastAsiaTheme="minorEastAsia" w:cstheme="minorEastAsia"/>
                <w:bCs/>
                <w:color w:val="auto"/>
                <w:sz w:val="24"/>
                <w:highlight w:val="none"/>
              </w:rPr>
              <w:t>每</w:t>
            </w:r>
            <w:r>
              <w:rPr>
                <w:rFonts w:hint="eastAsia" w:asciiTheme="minorEastAsia" w:hAnsiTheme="minorEastAsia" w:eastAsiaTheme="minorEastAsia" w:cstheme="minorEastAsia"/>
                <w:bCs/>
                <w:color w:val="auto"/>
                <w:sz w:val="24"/>
                <w:highlight w:val="none"/>
                <w:lang w:val="en-US" w:eastAsia="zh-CN"/>
              </w:rPr>
              <w:t>提供</w:t>
            </w:r>
            <w:r>
              <w:rPr>
                <w:rFonts w:hint="eastAsia" w:asciiTheme="minorEastAsia" w:hAnsiTheme="minorEastAsia" w:eastAsiaTheme="minorEastAsia" w:cstheme="minorEastAsia"/>
                <w:bCs/>
                <w:color w:val="auto"/>
                <w:sz w:val="24"/>
                <w:highlight w:val="none"/>
              </w:rPr>
              <w:t>一个</w:t>
            </w:r>
            <w:r>
              <w:rPr>
                <w:rFonts w:hint="eastAsia" w:asciiTheme="minorEastAsia" w:hAnsiTheme="minorEastAsia" w:eastAsiaTheme="minorEastAsia" w:cstheme="minorEastAsia"/>
                <w:bCs/>
                <w:color w:val="auto"/>
                <w:sz w:val="24"/>
                <w:highlight w:val="none"/>
                <w:lang w:val="en-US" w:eastAsia="zh-CN"/>
              </w:rPr>
              <w:t>有效类似</w:t>
            </w:r>
            <w:r>
              <w:rPr>
                <w:rFonts w:hint="eastAsia" w:asciiTheme="minorEastAsia" w:hAnsiTheme="minorEastAsia" w:eastAsiaTheme="minorEastAsia" w:cstheme="minorEastAsia"/>
                <w:bCs/>
                <w:color w:val="auto"/>
                <w:sz w:val="24"/>
                <w:highlight w:val="none"/>
              </w:rPr>
              <w:t>业绩加</w:t>
            </w:r>
            <w:r>
              <w:rPr>
                <w:rFonts w:hint="eastAsia" w:asciiTheme="minorEastAsia" w:hAnsiTheme="minorEastAsia" w:eastAsiaTheme="minorEastAsia" w:cstheme="minorEastAsia"/>
                <w:bCs/>
                <w:color w:val="auto"/>
                <w:sz w:val="24"/>
                <w:highlight w:val="none"/>
                <w:lang w:val="en-US" w:eastAsia="zh-CN"/>
              </w:rPr>
              <w:t>5</w:t>
            </w:r>
            <w:r>
              <w:rPr>
                <w:rFonts w:hint="eastAsia" w:asciiTheme="minorEastAsia" w:hAnsiTheme="minorEastAsia" w:eastAsiaTheme="minorEastAsia" w:cstheme="minorEastAsia"/>
                <w:bCs/>
                <w:color w:val="auto"/>
                <w:sz w:val="24"/>
                <w:highlight w:val="none"/>
              </w:rPr>
              <w:t>分，本项最高得</w:t>
            </w:r>
            <w:r>
              <w:rPr>
                <w:rFonts w:hint="eastAsia" w:asciiTheme="minorEastAsia" w:hAnsiTheme="minorEastAsia" w:eastAsiaTheme="minorEastAsia" w:cstheme="minorEastAsia"/>
                <w:bCs/>
                <w:color w:val="auto"/>
                <w:sz w:val="24"/>
                <w:highlight w:val="none"/>
                <w:lang w:val="en-US" w:eastAsia="zh-CN"/>
              </w:rPr>
              <w:t>15</w:t>
            </w:r>
            <w:r>
              <w:rPr>
                <w:rFonts w:hint="eastAsia" w:asciiTheme="minorEastAsia" w:hAnsiTheme="minorEastAsia" w:eastAsiaTheme="minorEastAsia" w:cstheme="minorEastAsia"/>
                <w:bCs/>
                <w:color w:val="auto"/>
                <w:sz w:val="24"/>
                <w:highlight w:val="none"/>
              </w:rPr>
              <w:t>分。</w:t>
            </w:r>
          </w:p>
          <w:p w14:paraId="76296890">
            <w:pPr>
              <w:spacing w:line="440" w:lineRule="exact"/>
              <w:jc w:val="left"/>
              <w:rPr>
                <w:rFonts w:hint="eastAsia" w:asciiTheme="minorEastAsia" w:hAnsiTheme="minorEastAsia" w:eastAsiaTheme="minorEastAsia" w:cstheme="minorEastAsia"/>
                <w:b/>
                <w:bCs w:val="0"/>
                <w:color w:val="auto"/>
                <w:sz w:val="24"/>
                <w:highlight w:val="none"/>
              </w:rPr>
            </w:pPr>
            <w:r>
              <w:rPr>
                <w:rFonts w:hint="eastAsia" w:asciiTheme="minorEastAsia" w:hAnsiTheme="minorEastAsia" w:eastAsiaTheme="minorEastAsia" w:cstheme="minorEastAsia"/>
                <w:b/>
                <w:bCs w:val="0"/>
                <w:color w:val="auto"/>
                <w:sz w:val="24"/>
                <w:highlight w:val="none"/>
              </w:rPr>
              <w:t>注：① 供应商业绩及项目负责人业绩可为同一项目。</w:t>
            </w:r>
          </w:p>
          <w:p w14:paraId="516C3ADA">
            <w:pPr>
              <w:spacing w:line="440" w:lineRule="exact"/>
              <w:ind w:firstLine="481"/>
              <w:jc w:val="left"/>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rPr>
              <w:t xml:space="preserve">② </w:t>
            </w:r>
            <w:r>
              <w:rPr>
                <w:rFonts w:hint="eastAsia" w:asciiTheme="minorEastAsia" w:hAnsiTheme="minorEastAsia" w:eastAsiaTheme="minorEastAsia" w:cstheme="minorEastAsia"/>
                <w:b/>
                <w:bCs w:val="0"/>
                <w:color w:val="auto"/>
                <w:sz w:val="24"/>
                <w:highlight w:val="none"/>
              </w:rPr>
              <w:t>供应商业绩证明材料需提供项目合同及项目批复文件复印件并加盖投标供应商公章，合同须能反映项目名称、主要标的物、项目负责人（或技术负责人）姓名、签订时间、单位公章或专用合同章</w:t>
            </w:r>
            <w:r>
              <w:rPr>
                <w:rFonts w:hint="eastAsia" w:asciiTheme="minorEastAsia" w:hAnsiTheme="minorEastAsia" w:eastAsiaTheme="minorEastAsia" w:cstheme="minorEastAsia"/>
                <w:b/>
                <w:bCs w:val="0"/>
                <w:color w:val="auto"/>
                <w:sz w:val="24"/>
                <w:highlight w:val="none"/>
                <w:lang w:eastAsia="zh-CN"/>
              </w:rPr>
              <w:t>，</w:t>
            </w:r>
            <w:r>
              <w:rPr>
                <w:rFonts w:hint="eastAsia" w:asciiTheme="minorEastAsia" w:hAnsiTheme="minorEastAsia" w:eastAsiaTheme="minorEastAsia" w:cstheme="minorEastAsia"/>
                <w:b/>
                <w:bCs w:val="0"/>
                <w:color w:val="auto"/>
                <w:sz w:val="24"/>
                <w:highlight w:val="none"/>
              </w:rPr>
              <w:t>如不能反映的，另须提供盖有原委托单位公章的证明，否则不予认可。未提供或提供不全的不得分。</w:t>
            </w:r>
          </w:p>
        </w:tc>
      </w:tr>
      <w:tr w14:paraId="19B44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2" w:type="dxa"/>
            <w:noWrap w:val="0"/>
            <w:vAlign w:val="center"/>
          </w:tcPr>
          <w:p w14:paraId="5EB29EDF">
            <w:pPr>
              <w:keepNext w:val="0"/>
              <w:keepLines w:val="0"/>
              <w:pageBreakBefore w:val="0"/>
              <w:widowControl w:val="0"/>
              <w:spacing w:line="36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w:t>
            </w:r>
          </w:p>
        </w:tc>
        <w:tc>
          <w:tcPr>
            <w:tcW w:w="1559" w:type="dxa"/>
            <w:noWrap w:val="0"/>
            <w:vAlign w:val="center"/>
          </w:tcPr>
          <w:p w14:paraId="415924A8">
            <w:pPr>
              <w:keepNext w:val="0"/>
              <w:keepLines w:val="0"/>
              <w:pageBreakBefore w:val="0"/>
              <w:widowControl w:val="0"/>
              <w:spacing w:line="360" w:lineRule="exact"/>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技术部分</w:t>
            </w:r>
          </w:p>
          <w:p w14:paraId="7D69E97B">
            <w:pPr>
              <w:keepNext w:val="0"/>
              <w:keepLines w:val="0"/>
              <w:pageBreakBefore w:val="0"/>
              <w:widowControl w:val="0"/>
              <w:spacing w:line="360" w:lineRule="exact"/>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val="en-US" w:eastAsia="zh-CN"/>
              </w:rPr>
              <w:t>60</w:t>
            </w:r>
            <w:r>
              <w:rPr>
                <w:rFonts w:hint="eastAsia" w:asciiTheme="minorEastAsia" w:hAnsiTheme="minorEastAsia" w:eastAsiaTheme="minorEastAsia" w:cstheme="minorEastAsia"/>
                <w:b w:val="0"/>
                <w:bCs/>
                <w:color w:val="auto"/>
                <w:sz w:val="24"/>
                <w:szCs w:val="24"/>
                <w:highlight w:val="none"/>
              </w:rPr>
              <w:t>分）</w:t>
            </w:r>
          </w:p>
        </w:tc>
        <w:tc>
          <w:tcPr>
            <w:tcW w:w="7602" w:type="dxa"/>
            <w:tcBorders>
              <w:top w:val="single" w:color="auto" w:sz="4" w:space="0"/>
            </w:tcBorders>
            <w:noWrap w:val="0"/>
            <w:vAlign w:val="center"/>
          </w:tcPr>
          <w:p w14:paraId="79987016">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zh-CN"/>
              </w:rPr>
              <w:t>1</w:t>
            </w:r>
            <w:r>
              <w:rPr>
                <w:rFonts w:hint="eastAsia" w:asciiTheme="minorEastAsia" w:hAnsiTheme="minorEastAsia" w:eastAsiaTheme="minorEastAsia" w:cstheme="minorEastAsia"/>
                <w:bCs/>
                <w:color w:val="auto"/>
                <w:sz w:val="24"/>
                <w:highlight w:val="none"/>
                <w:lang w:val="en-US" w:eastAsia="zh-CN"/>
              </w:rPr>
              <w:t>.</w:t>
            </w:r>
            <w:r>
              <w:rPr>
                <w:rFonts w:hint="eastAsia" w:asciiTheme="minorEastAsia" w:hAnsiTheme="minorEastAsia" w:eastAsiaTheme="minorEastAsia" w:cstheme="minorEastAsia"/>
                <w:bCs/>
                <w:color w:val="auto"/>
                <w:sz w:val="24"/>
                <w:highlight w:val="none"/>
                <w:lang w:val="zh-CN"/>
              </w:rPr>
              <w:t>项目技术方案（</w:t>
            </w:r>
            <w:r>
              <w:rPr>
                <w:rFonts w:hint="eastAsia" w:asciiTheme="minorEastAsia" w:hAnsiTheme="minorEastAsia" w:eastAsiaTheme="minorEastAsia" w:cstheme="minorEastAsia"/>
                <w:bCs/>
                <w:color w:val="auto"/>
                <w:sz w:val="24"/>
                <w:highlight w:val="none"/>
                <w:lang w:val="en-US" w:eastAsia="zh-CN"/>
              </w:rPr>
              <w:t>12</w:t>
            </w:r>
            <w:r>
              <w:rPr>
                <w:rFonts w:hint="eastAsia" w:asciiTheme="minorEastAsia" w:hAnsiTheme="minorEastAsia" w:eastAsiaTheme="minorEastAsia" w:cstheme="minorEastAsia"/>
                <w:bCs/>
                <w:color w:val="auto"/>
                <w:sz w:val="24"/>
                <w:highlight w:val="none"/>
                <w:lang w:val="zh-CN"/>
              </w:rPr>
              <w:t>分）</w:t>
            </w:r>
          </w:p>
          <w:p w14:paraId="0B3E0DF6">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lang w:val="zh-CN"/>
              </w:rPr>
              <w:t>供应商根据本项目第四章中“项目需求”要求，提供有针对性的、科学合理的技术路线，至少包含：①工作思路②研究内容</w:t>
            </w:r>
            <w:r>
              <w:rPr>
                <w:rFonts w:hint="eastAsia" w:asciiTheme="minorEastAsia" w:hAnsiTheme="minorEastAsia" w:eastAsiaTheme="minorEastAsia" w:cstheme="minorEastAsia"/>
                <w:bCs/>
                <w:color w:val="auto"/>
                <w:sz w:val="24"/>
                <w:highlight w:val="none"/>
                <w:lang w:val="en-US" w:eastAsia="zh-CN"/>
              </w:rPr>
              <w:t>③研究方法④技术路线</w:t>
            </w:r>
            <w:r>
              <w:rPr>
                <w:rFonts w:hint="eastAsia" w:asciiTheme="minorEastAsia" w:hAnsiTheme="minorEastAsia" w:eastAsiaTheme="minorEastAsia" w:cstheme="minorEastAsia"/>
                <w:bCs/>
                <w:color w:val="auto"/>
                <w:sz w:val="24"/>
                <w:highlight w:val="none"/>
                <w:lang w:val="zh-CN"/>
              </w:rPr>
              <w:t>等方面内容。</w:t>
            </w:r>
          </w:p>
          <w:p w14:paraId="5AD3631A">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lang w:val="zh-CN"/>
              </w:rPr>
              <w:t>以上方案内容完整得</w:t>
            </w:r>
            <w:r>
              <w:rPr>
                <w:rFonts w:hint="eastAsia" w:asciiTheme="minorEastAsia" w:hAnsiTheme="minorEastAsia" w:eastAsiaTheme="minorEastAsia" w:cstheme="minorEastAsia"/>
                <w:bCs/>
                <w:color w:val="auto"/>
                <w:sz w:val="24"/>
                <w:highlight w:val="none"/>
                <w:lang w:val="en-US" w:eastAsia="zh-CN"/>
              </w:rPr>
              <w:t>12</w:t>
            </w:r>
            <w:r>
              <w:rPr>
                <w:rFonts w:hint="eastAsia" w:asciiTheme="minorEastAsia" w:hAnsiTheme="minorEastAsia" w:eastAsiaTheme="minorEastAsia" w:cstheme="minorEastAsia"/>
                <w:bCs/>
                <w:color w:val="auto"/>
                <w:sz w:val="24"/>
                <w:highlight w:val="none"/>
                <w:lang w:val="zh-CN"/>
              </w:rPr>
              <w:t>分，每有一内容缺失的扣</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rPr>
              <w:t>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eastAsiaTheme="minorEastAsia" w:cstheme="minorEastAsia"/>
                <w:bCs/>
                <w:color w:val="auto"/>
                <w:sz w:val="24"/>
                <w:highlight w:val="none"/>
                <w:lang w:val="en-US" w:eastAsia="zh-CN"/>
              </w:rPr>
              <w:t>5</w:t>
            </w:r>
            <w:r>
              <w:rPr>
                <w:rFonts w:hint="eastAsia" w:asciiTheme="minorEastAsia" w:hAnsiTheme="minorEastAsia" w:eastAsiaTheme="minorEastAsia" w:cstheme="minorEastAsia"/>
                <w:bCs/>
                <w:color w:val="auto"/>
                <w:sz w:val="24"/>
                <w:highlight w:val="none"/>
                <w:lang w:val="zh-CN"/>
              </w:rPr>
              <w:t>分，直至该项分值</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rPr>
              <w:t>分扣完为止，不提供本项不得分。</w:t>
            </w:r>
          </w:p>
          <w:p w14:paraId="379B2AC6">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lang w:val="en-US" w:eastAsia="zh-CN"/>
              </w:rPr>
              <w:t>2.重难点分析和措施（12分）</w:t>
            </w:r>
          </w:p>
          <w:p w14:paraId="684A3A5E">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供应商根据本项目第四章中“项目需求”要求，提供有针对性的、科学合理的技术方案，至少包含：①重点工作分析②难点问题分析③针对性解决措施④保障机制与落实要求等方面内容。</w:t>
            </w:r>
          </w:p>
          <w:p w14:paraId="679137EA">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lang w:val="zh-CN"/>
              </w:rPr>
              <w:t>以上方案内容完整得</w:t>
            </w:r>
            <w:r>
              <w:rPr>
                <w:rFonts w:hint="eastAsia" w:asciiTheme="minorEastAsia" w:hAnsiTheme="minorEastAsia" w:eastAsiaTheme="minorEastAsia" w:cstheme="minorEastAsia"/>
                <w:bCs/>
                <w:color w:val="auto"/>
                <w:sz w:val="24"/>
                <w:highlight w:val="none"/>
                <w:lang w:val="en-US" w:eastAsia="zh-CN"/>
              </w:rPr>
              <w:t>12</w:t>
            </w:r>
            <w:r>
              <w:rPr>
                <w:rFonts w:hint="eastAsia" w:asciiTheme="minorEastAsia" w:hAnsiTheme="minorEastAsia" w:eastAsiaTheme="minorEastAsia" w:cstheme="minorEastAsia"/>
                <w:bCs/>
                <w:color w:val="auto"/>
                <w:sz w:val="24"/>
                <w:highlight w:val="none"/>
                <w:lang w:val="zh-CN"/>
              </w:rPr>
              <w:t>分，每有一内容缺失的扣</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rPr>
              <w:t>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eastAsiaTheme="minorEastAsia" w:cstheme="minorEastAsia"/>
                <w:bCs/>
                <w:color w:val="auto"/>
                <w:sz w:val="24"/>
                <w:highlight w:val="none"/>
                <w:lang w:val="en-US" w:eastAsia="zh-CN"/>
              </w:rPr>
              <w:t>5</w:t>
            </w:r>
            <w:r>
              <w:rPr>
                <w:rFonts w:hint="eastAsia" w:asciiTheme="minorEastAsia" w:hAnsiTheme="minorEastAsia" w:eastAsiaTheme="minorEastAsia" w:cstheme="minorEastAsia"/>
                <w:bCs/>
                <w:color w:val="auto"/>
                <w:sz w:val="24"/>
                <w:highlight w:val="none"/>
                <w:lang w:val="zh-CN"/>
              </w:rPr>
              <w:t>分，直至该项分值</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rPr>
              <w:t>分扣完为止，不提供本项不得分。</w:t>
            </w:r>
          </w:p>
          <w:p w14:paraId="0A98FCD6">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lang w:val="en-US" w:eastAsia="zh-CN"/>
              </w:rPr>
              <w:t>3.质量保证体系及保证措施（12分）</w:t>
            </w:r>
          </w:p>
          <w:p w14:paraId="7741E0E4">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供应商根据本项目第四章中“项目需求”要求，提供有针对性的、科学合理的质量保证体系及保证措施，至少包含：①质量保证体系；②质量保证措施等方面内容。</w:t>
            </w:r>
          </w:p>
          <w:p w14:paraId="29179346">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以上方案内容完整得12分，每有一内容缺失的扣6分；每有一处存在缺陷（缺陷是指不适用于本项目，表述前后不一致或内容矛盾，语句有歧义，仅有框架或标题，涉及的规范及标准错误，套用其他项目内容等任意一种情形）的扣1分，直至该项分值6分扣完为止，不提供本项不得分。</w:t>
            </w:r>
          </w:p>
          <w:p w14:paraId="5192C411">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4.进度计划及保障措施（12分）</w:t>
            </w:r>
          </w:p>
          <w:p w14:paraId="765DF24F">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供应商根据本项目第四章中“项目需求”要求，提供有针对性的、科学合理的进度计划及保障措施，至少包含：①进度计划；②保障措施等方面内容。</w:t>
            </w:r>
          </w:p>
          <w:p w14:paraId="19D5C316">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以上方案内容完整得12分，每有一内容缺失的扣6分；每有一处存在缺陷（缺陷是指不适用于本项目，表述前后不一致或内容矛盾，语句有歧义，仅有框架或标题，涉及的规范及标准错误，套用其他项目内容等任意一种情形）的扣1分，直至该项分值6分扣完为止，不提供本项不得分。</w:t>
            </w:r>
          </w:p>
          <w:p w14:paraId="345B8968">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5.后续服务的安排及保证措施（12分）</w:t>
            </w:r>
          </w:p>
          <w:p w14:paraId="51710D25">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供应商根据本项目第四章中“项目需求”要求，提供有针对性的、科学合理的安全保密措施，至少包含：①后续服务内容与工作安排；②服务流程及响应机制；③服务团队与人员保障；④质量承诺与履约保障等方面内容。</w:t>
            </w:r>
          </w:p>
          <w:p w14:paraId="148A3F1A">
            <w:pPr>
              <w:keepNext w:val="0"/>
              <w:keepLines w:val="0"/>
              <w:pageBreakBefore w:val="0"/>
              <w:widowControl w:val="0"/>
              <w:spacing w:line="420" w:lineRule="exact"/>
              <w:jc w:val="left"/>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zh-CN"/>
              </w:rPr>
              <w:t>以上方案内容完整得</w:t>
            </w:r>
            <w:r>
              <w:rPr>
                <w:rFonts w:hint="eastAsia" w:asciiTheme="minorEastAsia" w:hAnsiTheme="minorEastAsia" w:eastAsiaTheme="minorEastAsia" w:cstheme="minorEastAsia"/>
                <w:bCs/>
                <w:color w:val="auto"/>
                <w:sz w:val="24"/>
                <w:highlight w:val="none"/>
                <w:lang w:val="en-US" w:eastAsia="zh-CN"/>
              </w:rPr>
              <w:t>12</w:t>
            </w:r>
            <w:r>
              <w:rPr>
                <w:rFonts w:hint="eastAsia" w:asciiTheme="minorEastAsia" w:hAnsiTheme="minorEastAsia" w:eastAsiaTheme="minorEastAsia" w:cstheme="minorEastAsia"/>
                <w:bCs/>
                <w:color w:val="auto"/>
                <w:sz w:val="24"/>
                <w:highlight w:val="none"/>
                <w:lang w:val="zh-CN"/>
              </w:rPr>
              <w:t>分，每有一内容缺失的扣</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rPr>
              <w:t>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eastAsiaTheme="minorEastAsia" w:cstheme="minorEastAsia"/>
                <w:bCs/>
                <w:color w:val="auto"/>
                <w:sz w:val="24"/>
                <w:highlight w:val="none"/>
                <w:lang w:val="en-US" w:eastAsia="zh-CN"/>
              </w:rPr>
              <w:t>5</w:t>
            </w:r>
            <w:r>
              <w:rPr>
                <w:rFonts w:hint="eastAsia" w:asciiTheme="minorEastAsia" w:hAnsiTheme="minorEastAsia" w:eastAsiaTheme="minorEastAsia" w:cstheme="minorEastAsia"/>
                <w:bCs/>
                <w:color w:val="auto"/>
                <w:sz w:val="24"/>
                <w:highlight w:val="none"/>
                <w:lang w:val="zh-CN"/>
              </w:rPr>
              <w:t>分，直至该项分值</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rPr>
              <w:t>分扣完为止，不提供本项不得分。</w:t>
            </w:r>
          </w:p>
        </w:tc>
      </w:tr>
    </w:tbl>
    <w:p w14:paraId="2D8E85CD">
      <w:pPr>
        <w:keepNext w:val="0"/>
        <w:keepLines w:val="0"/>
        <w:pageBreakBefore w:val="0"/>
        <w:widowControl w:val="0"/>
        <w:spacing w:line="260" w:lineRule="exact"/>
        <w:ind w:firstLine="480"/>
        <w:rPr>
          <w:rFonts w:hint="eastAsia" w:asciiTheme="minorEastAsia" w:hAnsiTheme="minorEastAsia" w:eastAsiaTheme="minorEastAsia" w:cstheme="minorEastAsia"/>
          <w:color w:val="auto"/>
          <w:sz w:val="24"/>
          <w:highlight w:val="none"/>
        </w:rPr>
      </w:pPr>
    </w:p>
    <w:p w14:paraId="673C785B">
      <w:pPr>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说明：</w:t>
      </w:r>
    </w:p>
    <w:p w14:paraId="7B8DFEEA">
      <w:pPr>
        <w:keepNext w:val="0"/>
        <w:keepLines w:val="0"/>
        <w:pageBreakBefore w:val="0"/>
        <w:widowControl w:val="0"/>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1.</w:t>
      </w:r>
      <w:r>
        <w:rPr>
          <w:rFonts w:hint="eastAsia" w:asciiTheme="minorEastAsia" w:hAnsiTheme="minorEastAsia" w:eastAsiaTheme="minorEastAsia" w:cstheme="minorEastAsia"/>
          <w:color w:val="auto"/>
          <w:sz w:val="24"/>
          <w:highlight w:val="none"/>
        </w:rPr>
        <w:t>投标人对所提供资料的真实性负责。招标人保留对中标单位所有资料进行复核的权利。如有弄虚作假者，一经发现，立即取消其中标资格。</w:t>
      </w:r>
    </w:p>
    <w:p w14:paraId="4DB2FDC3">
      <w:pPr>
        <w:pStyle w:val="12"/>
        <w:keepNext w:val="0"/>
        <w:keepLines w:val="0"/>
        <w:pageBreakBefore w:val="0"/>
        <w:widowControl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所有认证、证明等均以有效的原件扫描件为计分依据。</w:t>
      </w:r>
    </w:p>
    <w:p w14:paraId="4907694C">
      <w:pPr>
        <w:spacing w:line="400" w:lineRule="exact"/>
        <w:rPr>
          <w:rFonts w:hint="eastAsia" w:asciiTheme="minorEastAsia" w:hAnsiTheme="minorEastAsia" w:eastAsiaTheme="minorEastAsia" w:cstheme="minorEastAsia"/>
          <w:color w:val="auto"/>
          <w:sz w:val="24"/>
          <w:highlight w:val="none"/>
        </w:rPr>
      </w:pPr>
    </w:p>
    <w:p w14:paraId="4C12DB4F">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4D1C9ACF">
      <w:pPr>
        <w:pStyle w:val="12"/>
        <w:rPr>
          <w:rFonts w:hint="eastAsia" w:asciiTheme="minorEastAsia" w:hAnsiTheme="minorEastAsia" w:eastAsiaTheme="minorEastAsia" w:cstheme="minorEastAsia"/>
          <w:color w:val="auto"/>
          <w:sz w:val="24"/>
          <w:szCs w:val="24"/>
          <w:highlight w:val="none"/>
        </w:rPr>
      </w:pPr>
    </w:p>
    <w:p w14:paraId="1D3D2ED7">
      <w:pPr>
        <w:pStyle w:val="3"/>
        <w:numPr>
          <w:ilvl w:val="0"/>
          <w:numId w:val="0"/>
        </w:numPr>
        <w:ind w:left="2660" w:leftChars="0" w:firstLine="0" w:firstLineChars="0"/>
        <w:rPr>
          <w:rFonts w:hint="eastAsia" w:asciiTheme="minorEastAsia" w:hAnsiTheme="minorEastAsia" w:eastAsiaTheme="minorEastAsia" w:cstheme="minorEastAsia"/>
          <w:color w:val="auto"/>
          <w:sz w:val="44"/>
          <w:szCs w:val="44"/>
          <w:highlight w:val="none"/>
        </w:rPr>
      </w:pPr>
      <w:bookmarkStart w:id="146" w:name="_Toc29394"/>
      <w:r>
        <w:rPr>
          <w:rFonts w:hint="eastAsia" w:asciiTheme="minorEastAsia" w:hAnsiTheme="minorEastAsia" w:eastAsiaTheme="minorEastAsia" w:cstheme="minorEastAsia"/>
          <w:color w:val="auto"/>
          <w:sz w:val="44"/>
          <w:szCs w:val="44"/>
          <w:highlight w:val="none"/>
          <w:lang w:val="en-US" w:eastAsia="zh-CN" w:bidi="ar-SA"/>
        </w:rPr>
        <w:t xml:space="preserve">第六章 </w:t>
      </w:r>
      <w:r>
        <w:rPr>
          <w:rFonts w:hint="eastAsia" w:asciiTheme="minorEastAsia" w:hAnsiTheme="minorEastAsia" w:eastAsiaTheme="minorEastAsia" w:cstheme="minorEastAsia"/>
          <w:color w:val="auto"/>
          <w:sz w:val="44"/>
          <w:szCs w:val="44"/>
          <w:highlight w:val="none"/>
        </w:rPr>
        <w:t>投标文件格式</w:t>
      </w:r>
      <w:bookmarkEnd w:id="146"/>
    </w:p>
    <w:p w14:paraId="5399964F">
      <w:pPr>
        <w:jc w:val="center"/>
        <w:rPr>
          <w:rFonts w:hint="eastAsia" w:asciiTheme="minorEastAsia" w:hAnsiTheme="minorEastAsia" w:eastAsiaTheme="minorEastAsia" w:cstheme="minorEastAsia"/>
          <w:b/>
          <w:color w:val="auto"/>
          <w:sz w:val="72"/>
          <w:szCs w:val="21"/>
          <w:highlight w:val="none"/>
        </w:rPr>
      </w:pPr>
    </w:p>
    <w:p w14:paraId="46312A50">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 xml:space="preserve"> 投 标 文 件</w:t>
      </w:r>
    </w:p>
    <w:p w14:paraId="03EA52FC">
      <w:pPr>
        <w:pStyle w:val="240"/>
        <w:ind w:firstLine="0"/>
        <w:jc w:val="center"/>
        <w:rPr>
          <w:rFonts w:hint="eastAsia" w:asciiTheme="minorEastAsia" w:hAnsiTheme="minorEastAsia" w:eastAsiaTheme="minorEastAsia" w:cstheme="minorEastAsia"/>
          <w:b/>
          <w:bCs/>
          <w:color w:val="auto"/>
          <w:sz w:val="32"/>
          <w:highlight w:val="none"/>
        </w:rPr>
      </w:pPr>
    </w:p>
    <w:p w14:paraId="074C7ADE">
      <w:pPr>
        <w:ind w:firstLine="1084"/>
        <w:rPr>
          <w:rFonts w:hint="eastAsia" w:asciiTheme="minorEastAsia" w:hAnsiTheme="minorEastAsia" w:eastAsiaTheme="minorEastAsia" w:cstheme="minorEastAsia"/>
          <w:b/>
          <w:color w:val="auto"/>
          <w:sz w:val="36"/>
          <w:szCs w:val="21"/>
          <w:highlight w:val="none"/>
        </w:rPr>
      </w:pPr>
    </w:p>
    <w:p w14:paraId="017A3199">
      <w:pPr>
        <w:ind w:firstLine="1084"/>
        <w:rPr>
          <w:rFonts w:hint="eastAsia" w:asciiTheme="minorEastAsia" w:hAnsiTheme="minorEastAsia" w:eastAsiaTheme="minorEastAsia" w:cstheme="minorEastAsia"/>
          <w:b/>
          <w:color w:val="auto"/>
          <w:sz w:val="36"/>
          <w:szCs w:val="21"/>
          <w:highlight w:val="none"/>
        </w:rPr>
      </w:pPr>
    </w:p>
    <w:p w14:paraId="2A7A033D">
      <w:pPr>
        <w:ind w:firstLine="1084"/>
        <w:rPr>
          <w:rFonts w:hint="eastAsia" w:asciiTheme="minorEastAsia" w:hAnsiTheme="minorEastAsia" w:eastAsiaTheme="minorEastAsia" w:cstheme="minorEastAsia"/>
          <w:b/>
          <w:color w:val="auto"/>
          <w:sz w:val="36"/>
          <w:szCs w:val="21"/>
          <w:highlight w:val="none"/>
        </w:rPr>
      </w:pPr>
    </w:p>
    <w:p w14:paraId="4687697F">
      <w:pPr>
        <w:pStyle w:val="44"/>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名 称：</w:t>
      </w:r>
      <w:r>
        <w:rPr>
          <w:rFonts w:hint="eastAsia" w:asciiTheme="minorEastAsia" w:hAnsiTheme="minorEastAsia" w:eastAsiaTheme="minorEastAsia" w:cstheme="minorEastAsia"/>
          <w:b/>
          <w:color w:val="auto"/>
          <w:sz w:val="36"/>
          <w:szCs w:val="36"/>
          <w:highlight w:val="none"/>
          <w:u w:val="single"/>
        </w:rPr>
        <w:t>             </w:t>
      </w:r>
    </w:p>
    <w:p w14:paraId="6682381C">
      <w:pPr>
        <w:pStyle w:val="44"/>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编 号：</w:t>
      </w:r>
      <w:r>
        <w:rPr>
          <w:rFonts w:hint="eastAsia" w:asciiTheme="minorEastAsia" w:hAnsiTheme="minorEastAsia" w:eastAsiaTheme="minorEastAsia" w:cstheme="minorEastAsia"/>
          <w:b/>
          <w:color w:val="auto"/>
          <w:sz w:val="36"/>
          <w:szCs w:val="36"/>
          <w:highlight w:val="none"/>
          <w:u w:val="single"/>
        </w:rPr>
        <w:t>             </w:t>
      </w:r>
    </w:p>
    <w:p w14:paraId="4EE5078C">
      <w:pPr>
        <w:pStyle w:val="44"/>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投标人名称 ：</w:t>
      </w:r>
      <w:r>
        <w:rPr>
          <w:rFonts w:hint="eastAsia" w:asciiTheme="minorEastAsia" w:hAnsiTheme="minorEastAsia" w:eastAsiaTheme="minorEastAsia" w:cstheme="minorEastAsia"/>
          <w:b/>
          <w:color w:val="auto"/>
          <w:sz w:val="36"/>
          <w:szCs w:val="36"/>
          <w:highlight w:val="none"/>
          <w:u w:val="single"/>
        </w:rPr>
        <w:t>（加盖CA电子公章）</w:t>
      </w:r>
    </w:p>
    <w:p w14:paraId="13FFB8D3">
      <w:pPr>
        <w:pStyle w:val="240"/>
        <w:spacing w:before="0" w:after="0"/>
        <w:ind w:firstLine="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日   期 ：</w:t>
      </w:r>
      <w:r>
        <w:rPr>
          <w:rFonts w:hint="eastAsia" w:asciiTheme="minorEastAsia" w:hAnsiTheme="minorEastAsia" w:eastAsiaTheme="minorEastAsia" w:cstheme="minorEastAsia"/>
          <w:b/>
          <w:color w:val="auto"/>
          <w:sz w:val="36"/>
          <w:szCs w:val="36"/>
          <w:highlight w:val="none"/>
          <w:u w:val="single"/>
        </w:rPr>
        <w:t>             </w:t>
      </w:r>
    </w:p>
    <w:p w14:paraId="75CA4EF0">
      <w:pPr>
        <w:pStyle w:val="26"/>
        <w:spacing w:line="360" w:lineRule="auto"/>
        <w:jc w:val="center"/>
        <w:rPr>
          <w:rFonts w:hint="eastAsia" w:asciiTheme="minorEastAsia" w:hAnsiTheme="minorEastAsia" w:eastAsiaTheme="minorEastAsia" w:cstheme="minorEastAsia"/>
          <w:color w:val="auto"/>
          <w:sz w:val="32"/>
          <w:highlight w:val="none"/>
        </w:rPr>
      </w:pPr>
    </w:p>
    <w:p w14:paraId="0F2F83DF">
      <w:pPr>
        <w:rPr>
          <w:rFonts w:hint="eastAsia" w:asciiTheme="minorEastAsia" w:hAnsiTheme="minorEastAsia" w:eastAsiaTheme="minorEastAsia" w:cstheme="minorEastAsia"/>
          <w:color w:val="auto"/>
          <w:highlight w:val="none"/>
        </w:rPr>
      </w:pPr>
    </w:p>
    <w:p w14:paraId="71D8EBA4">
      <w:pPr>
        <w:rPr>
          <w:rFonts w:hint="eastAsia" w:asciiTheme="minorEastAsia" w:hAnsiTheme="minorEastAsia" w:eastAsiaTheme="minorEastAsia" w:cstheme="minorEastAsia"/>
          <w:color w:val="auto"/>
          <w:highlight w:val="none"/>
        </w:rPr>
      </w:pPr>
    </w:p>
    <w:p w14:paraId="304B696C">
      <w:pPr>
        <w:rPr>
          <w:rFonts w:hint="eastAsia" w:asciiTheme="minorEastAsia" w:hAnsiTheme="minorEastAsia" w:eastAsiaTheme="minorEastAsia" w:cstheme="minorEastAsia"/>
          <w:color w:val="auto"/>
          <w:highlight w:val="none"/>
        </w:rPr>
      </w:pPr>
    </w:p>
    <w:p w14:paraId="7CF0F3D7">
      <w:pPr>
        <w:rPr>
          <w:rFonts w:hint="eastAsia" w:asciiTheme="minorEastAsia" w:hAnsiTheme="minorEastAsia" w:eastAsiaTheme="minorEastAsia" w:cstheme="minorEastAsia"/>
          <w:color w:val="auto"/>
          <w:highlight w:val="none"/>
        </w:rPr>
      </w:pPr>
    </w:p>
    <w:p w14:paraId="0514B4C0">
      <w:pPr>
        <w:rPr>
          <w:rFonts w:hint="eastAsia" w:asciiTheme="minorEastAsia" w:hAnsiTheme="minorEastAsia" w:eastAsiaTheme="minorEastAsia" w:cstheme="minorEastAsia"/>
          <w:color w:val="auto"/>
          <w:highlight w:val="none"/>
        </w:rPr>
      </w:pPr>
    </w:p>
    <w:p w14:paraId="657A9788">
      <w:pPr>
        <w:rPr>
          <w:rFonts w:hint="eastAsia" w:asciiTheme="minorEastAsia" w:hAnsiTheme="minorEastAsia" w:eastAsiaTheme="minorEastAsia" w:cstheme="minorEastAsia"/>
          <w:color w:val="auto"/>
          <w:highlight w:val="none"/>
        </w:rPr>
      </w:pPr>
    </w:p>
    <w:p w14:paraId="7BA0E8AA">
      <w:pPr>
        <w:pStyle w:val="48"/>
        <w:ind w:firstLine="600"/>
        <w:rPr>
          <w:rFonts w:hint="eastAsia" w:asciiTheme="minorEastAsia" w:hAnsiTheme="minorEastAsia" w:eastAsiaTheme="minorEastAsia" w:cstheme="minorEastAsia"/>
          <w:color w:val="auto"/>
          <w:highlight w:val="none"/>
        </w:rPr>
      </w:pPr>
    </w:p>
    <w:p w14:paraId="7B0E30E5">
      <w:pPr>
        <w:pStyle w:val="36"/>
        <w:rPr>
          <w:rFonts w:hint="eastAsia" w:asciiTheme="minorEastAsia" w:hAnsiTheme="minorEastAsia" w:eastAsiaTheme="minorEastAsia" w:cstheme="minorEastAsia"/>
          <w:color w:val="auto"/>
          <w:highlight w:val="none"/>
        </w:rPr>
      </w:pPr>
    </w:p>
    <w:p w14:paraId="6EDBDA52">
      <w:pPr>
        <w:rPr>
          <w:rFonts w:hint="eastAsia" w:asciiTheme="minorEastAsia" w:hAnsiTheme="minorEastAsia" w:eastAsiaTheme="minorEastAsia" w:cstheme="minorEastAsia"/>
          <w:color w:val="auto"/>
          <w:highlight w:val="none"/>
        </w:rPr>
      </w:pPr>
    </w:p>
    <w:p w14:paraId="49453AF0">
      <w:pPr>
        <w:rPr>
          <w:rFonts w:hint="eastAsia" w:asciiTheme="minorEastAsia" w:hAnsiTheme="minorEastAsia" w:eastAsiaTheme="minorEastAsia" w:cstheme="minorEastAsia"/>
          <w:color w:val="auto"/>
          <w:highlight w:val="none"/>
        </w:rPr>
      </w:pPr>
    </w:p>
    <w:p w14:paraId="34B7B6E4">
      <w:pPr>
        <w:rPr>
          <w:rFonts w:hint="eastAsia" w:asciiTheme="minorEastAsia" w:hAnsiTheme="minorEastAsia" w:eastAsiaTheme="minorEastAsia" w:cstheme="minorEastAsia"/>
          <w:color w:val="auto"/>
          <w:highlight w:val="none"/>
        </w:rPr>
      </w:pPr>
    </w:p>
    <w:p w14:paraId="0DBC222F">
      <w:pPr>
        <w:rPr>
          <w:rFonts w:hint="eastAsia" w:asciiTheme="minorEastAsia" w:hAnsiTheme="minorEastAsia" w:eastAsiaTheme="minorEastAsia" w:cstheme="minorEastAsia"/>
          <w:color w:val="auto"/>
          <w:highlight w:val="none"/>
        </w:rPr>
      </w:pPr>
    </w:p>
    <w:p w14:paraId="10B822D1">
      <w:pPr>
        <w:rPr>
          <w:rFonts w:hint="eastAsia" w:asciiTheme="minorEastAsia" w:hAnsiTheme="minorEastAsia" w:eastAsiaTheme="minorEastAsia" w:cstheme="minorEastAsia"/>
          <w:color w:val="auto"/>
          <w:highlight w:val="none"/>
        </w:rPr>
      </w:pPr>
    </w:p>
    <w:p w14:paraId="3E4A4E73">
      <w:pPr>
        <w:rPr>
          <w:rFonts w:hint="eastAsia" w:asciiTheme="minorEastAsia" w:hAnsiTheme="minorEastAsia" w:eastAsiaTheme="minorEastAsia" w:cstheme="minorEastAsia"/>
          <w:color w:val="auto"/>
          <w:highlight w:val="none"/>
        </w:rPr>
      </w:pPr>
    </w:p>
    <w:p w14:paraId="1F0346A3">
      <w:pPr>
        <w:pStyle w:val="278"/>
        <w:rPr>
          <w:rFonts w:hint="eastAsia" w:asciiTheme="minorEastAsia" w:hAnsiTheme="minorEastAsia" w:eastAsiaTheme="minorEastAsia" w:cstheme="minorEastAsia"/>
          <w:color w:val="auto"/>
          <w:highlight w:val="none"/>
        </w:rPr>
      </w:pPr>
    </w:p>
    <w:p w14:paraId="73F9D010">
      <w:pPr>
        <w:rPr>
          <w:rFonts w:hint="eastAsia" w:asciiTheme="minorEastAsia" w:hAnsiTheme="minorEastAsia" w:eastAsiaTheme="minorEastAsia" w:cstheme="minorEastAsia"/>
          <w:b/>
          <w:color w:val="auto"/>
          <w:sz w:val="24"/>
          <w:highlight w:val="none"/>
        </w:rPr>
      </w:pPr>
    </w:p>
    <w:p w14:paraId="2F4F7C31">
      <w:pPr>
        <w:pStyle w:val="44"/>
        <w:spacing w:beforeAutospacing="0" w:afterAutospacing="0" w:line="0" w:lineRule="atLeast"/>
        <w:jc w:val="center"/>
        <w:rPr>
          <w:rFonts w:hint="eastAsia" w:asciiTheme="minorEastAsia" w:hAnsiTheme="minorEastAsia" w:eastAsiaTheme="minorEastAsia" w:cstheme="minorEastAsia"/>
          <w:b/>
          <w:bCs/>
          <w:color w:val="auto"/>
          <w:sz w:val="32"/>
          <w:szCs w:val="32"/>
          <w:highlight w:val="none"/>
        </w:rPr>
      </w:pPr>
    </w:p>
    <w:p w14:paraId="7E0B4629">
      <w:pPr>
        <w:pStyle w:val="44"/>
        <w:spacing w:beforeAutospacing="0" w:afterAutospacing="0" w:line="0" w:lineRule="atLeast"/>
        <w:jc w:val="center"/>
        <w:rPr>
          <w:rFonts w:hint="eastAsia" w:asciiTheme="minorEastAsia" w:hAnsiTheme="minorEastAsia" w:eastAsiaTheme="minorEastAsia" w:cstheme="minorEastAsia"/>
          <w:b/>
          <w:bCs/>
          <w:color w:val="auto"/>
          <w:sz w:val="32"/>
          <w:szCs w:val="32"/>
          <w:highlight w:val="none"/>
        </w:rPr>
      </w:pPr>
    </w:p>
    <w:p w14:paraId="0A6A19E9">
      <w:pPr>
        <w:pStyle w:val="44"/>
        <w:spacing w:beforeAutospacing="0" w:afterAutospacing="0" w:line="0" w:lineRule="atLeast"/>
        <w:jc w:val="center"/>
        <w:rPr>
          <w:rFonts w:hint="eastAsia" w:asciiTheme="minorEastAsia" w:hAnsiTheme="minorEastAsia" w:eastAsiaTheme="minorEastAsia" w:cstheme="minorEastAsia"/>
          <w:b/>
          <w:bCs/>
          <w:color w:val="auto"/>
          <w:sz w:val="32"/>
          <w:szCs w:val="32"/>
          <w:highlight w:val="none"/>
        </w:rPr>
      </w:pPr>
    </w:p>
    <w:p w14:paraId="706A8000">
      <w:pPr>
        <w:pStyle w:val="44"/>
        <w:spacing w:beforeAutospacing="0" w:afterAutospacing="0" w:line="0" w:lineRule="atLeast"/>
        <w:jc w:val="center"/>
        <w:rPr>
          <w:rFonts w:hint="eastAsia" w:asciiTheme="minorEastAsia" w:hAnsiTheme="minorEastAsia" w:eastAsiaTheme="minorEastAsia" w:cstheme="minorEastAsia"/>
          <w:b/>
          <w:bCs/>
          <w:color w:val="auto"/>
          <w:sz w:val="32"/>
          <w:szCs w:val="32"/>
          <w:highlight w:val="none"/>
        </w:rPr>
      </w:pPr>
    </w:p>
    <w:p w14:paraId="34CF40C3">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投标文件目录</w:t>
      </w:r>
      <w:r>
        <w:rPr>
          <w:rFonts w:hint="eastAsia" w:asciiTheme="minorEastAsia" w:hAnsiTheme="minorEastAsia" w:eastAsiaTheme="minorEastAsia" w:cstheme="minorEastAsia"/>
          <w:color w:val="auto"/>
          <w:highlight w:val="none"/>
        </w:rPr>
        <w:t> </w:t>
      </w:r>
    </w:p>
    <w:p w14:paraId="67FA934F">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一、法人或者其他组织的营业执照等证明文件，自然人的身份证明</w:t>
      </w:r>
    </w:p>
    <w:p w14:paraId="6ACF17BC">
      <w:pPr>
        <w:tabs>
          <w:tab w:val="left" w:pos="1331"/>
        </w:tabs>
        <w:ind w:firstLine="480"/>
        <w:jc w:val="lef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24"/>
          <w:highlight w:val="none"/>
        </w:rPr>
        <w:t>二、上一年度的财务状况报表（至少提供资产负债表、利润表、现金流量表，投标人成立不满一年无需提供）</w:t>
      </w:r>
    </w:p>
    <w:p w14:paraId="29454FEE">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三、具备履行合同所必需的设备和专业技术能力的书面声明</w:t>
      </w:r>
    </w:p>
    <w:p w14:paraId="5F82FEF6">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44E417F">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五、参加政府采购活动前 3 年内在经营活动中没有重大违法记录的书面声明</w:t>
      </w:r>
    </w:p>
    <w:p w14:paraId="6DF93EBF">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六、特定资格要求的证明文件（如果本项目设置特定资格要求，则需要提供）</w:t>
      </w:r>
    </w:p>
    <w:p w14:paraId="70B960CE">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七、法人授权书</w:t>
      </w:r>
    </w:p>
    <w:p w14:paraId="5DB39CA9">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八、投标函</w:t>
      </w:r>
    </w:p>
    <w:p w14:paraId="38711329">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九、</w:t>
      </w:r>
      <w:r>
        <w:rPr>
          <w:rFonts w:hint="eastAsia" w:asciiTheme="minorEastAsia" w:hAnsiTheme="minorEastAsia" w:eastAsiaTheme="minorEastAsia" w:cstheme="minorEastAsia"/>
          <w:color w:val="auto"/>
          <w:highlight w:val="none"/>
          <w:lang w:val="en-US" w:eastAsia="zh-CN"/>
        </w:rPr>
        <w:t>中小</w:t>
      </w:r>
      <w:r>
        <w:rPr>
          <w:rFonts w:hint="eastAsia" w:asciiTheme="minorEastAsia" w:hAnsiTheme="minorEastAsia" w:eastAsiaTheme="minorEastAsia" w:cstheme="minorEastAsia"/>
          <w:color w:val="auto"/>
          <w:highlight w:val="none"/>
        </w:rPr>
        <w:t>企业声明函</w:t>
      </w:r>
    </w:p>
    <w:p w14:paraId="3A51D214">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十、残疾人福利性单位声明函</w:t>
      </w:r>
    </w:p>
    <w:p w14:paraId="1ED67F7B">
      <w:pPr>
        <w:pStyle w:val="44"/>
        <w:spacing w:before="0" w:beforeAutospacing="0" w:after="0" w:afterAutospacing="0"/>
        <w:ind w:firstLine="480"/>
        <w:rPr>
          <w:rFonts w:hint="eastAsia" w:asciiTheme="minorEastAsia" w:hAnsiTheme="minorEastAsia" w:eastAsiaTheme="minorEastAsia" w:cstheme="minorEastAsia"/>
          <w:color w:val="auto"/>
          <w:highlight w:val="none"/>
          <w:lang w:eastAsia="zh-CN"/>
        </w:rPr>
      </w:pPr>
      <w:bookmarkStart w:id="147" w:name="_Toc23828483"/>
      <w:bookmarkStart w:id="148" w:name="_Toc22356583"/>
      <w:bookmarkStart w:id="149" w:name="_Toc513029281"/>
      <w:bookmarkStart w:id="150" w:name="_Toc120614284"/>
      <w:bookmarkStart w:id="151" w:name="_Toc120614291"/>
      <w:bookmarkStart w:id="152" w:name="_Toc24878535"/>
      <w:bookmarkStart w:id="153" w:name="_Toc49090582"/>
      <w:bookmarkStart w:id="154" w:name="_Toc26554103"/>
      <w:r>
        <w:rPr>
          <w:rFonts w:hint="eastAsia" w:asciiTheme="minorEastAsia" w:hAnsiTheme="minorEastAsia" w:eastAsiaTheme="minorEastAsia" w:cstheme="minorEastAsia"/>
          <w:color w:val="auto"/>
          <w:highlight w:val="none"/>
        </w:rPr>
        <w:t>十一、联合体协议</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如有</w:t>
      </w:r>
      <w:r>
        <w:rPr>
          <w:rFonts w:hint="eastAsia" w:asciiTheme="minorEastAsia" w:hAnsiTheme="minorEastAsia" w:eastAsiaTheme="minorEastAsia" w:cstheme="minorEastAsia"/>
          <w:color w:val="auto"/>
          <w:highlight w:val="none"/>
          <w:lang w:eastAsia="zh-CN"/>
        </w:rPr>
        <w:t>）</w:t>
      </w:r>
    </w:p>
    <w:p w14:paraId="3E1DE918">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十二、投标分项报价表</w:t>
      </w:r>
    </w:p>
    <w:p w14:paraId="284BB100">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十三、技术要求响应及偏离表</w:t>
      </w:r>
    </w:p>
    <w:p w14:paraId="316EFAFA">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w:t>
      </w:r>
      <w:r>
        <w:rPr>
          <w:rFonts w:hint="eastAsia" w:asciiTheme="minorEastAsia" w:hAnsiTheme="minorEastAsia" w:eastAsiaTheme="minorEastAsia" w:cstheme="minorEastAsia"/>
          <w:iCs/>
          <w:color w:val="auto"/>
          <w:highlight w:val="none"/>
        </w:rPr>
        <w:t>四</w:t>
      </w:r>
      <w:r>
        <w:rPr>
          <w:rFonts w:hint="eastAsia" w:asciiTheme="minorEastAsia" w:hAnsiTheme="minorEastAsia" w:eastAsiaTheme="minorEastAsia" w:cstheme="minorEastAsia"/>
          <w:color w:val="auto"/>
          <w:highlight w:val="none"/>
        </w:rPr>
        <w:t>、商务要求响应及偏离表</w:t>
      </w:r>
    </w:p>
    <w:p w14:paraId="6DCCA752">
      <w:pPr>
        <w:pStyle w:val="44"/>
        <w:spacing w:before="0" w:beforeAutospacing="0" w:after="0" w:afterAutospacing="0"/>
        <w:ind w:firstLine="480"/>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color w:val="auto"/>
          <w:highlight w:val="none"/>
        </w:rPr>
        <w:t>五</w:t>
      </w:r>
      <w:r>
        <w:rPr>
          <w:rFonts w:hint="eastAsia" w:asciiTheme="minorEastAsia" w:hAnsiTheme="minorEastAsia" w:eastAsiaTheme="minorEastAsia" w:cstheme="minorEastAsia"/>
          <w:iCs/>
          <w:color w:val="auto"/>
          <w:highlight w:val="none"/>
        </w:rPr>
        <w:t>、开标一览表</w:t>
      </w:r>
    </w:p>
    <w:p w14:paraId="2D8DBE35">
      <w:pPr>
        <w:widowControl/>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w:t>
      </w:r>
      <w:r>
        <w:rPr>
          <w:rFonts w:hint="eastAsia" w:asciiTheme="minorEastAsia" w:hAnsiTheme="minorEastAsia" w:eastAsiaTheme="minorEastAsia" w:cstheme="minorEastAsia"/>
          <w:color w:val="auto"/>
          <w:highlight w:val="none"/>
        </w:rPr>
        <w:t>六</w:t>
      </w:r>
      <w:r>
        <w:rPr>
          <w:rFonts w:hint="eastAsia" w:asciiTheme="minorEastAsia" w:hAnsiTheme="minorEastAsia" w:eastAsiaTheme="minorEastAsia" w:cstheme="minorEastAsia"/>
          <w:color w:val="auto"/>
          <w:sz w:val="24"/>
          <w:highlight w:val="none"/>
        </w:rPr>
        <w:t>、技术方案等</w:t>
      </w:r>
    </w:p>
    <w:p w14:paraId="09D8F4FC">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十七、盐城市政府采购事前信用承诺书</w:t>
      </w:r>
    </w:p>
    <w:p w14:paraId="18677F06">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十八、人员配备一览表</w:t>
      </w:r>
    </w:p>
    <w:p w14:paraId="1A7B670C">
      <w:pPr>
        <w:pStyle w:val="44"/>
        <w:spacing w:before="0" w:beforeAutospacing="0" w:after="0" w:afterAutospacing="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十九、招标文件中规定要求提供的其他证明材料和投标人认为需要提供的其他材料 </w:t>
      </w:r>
    </w:p>
    <w:p w14:paraId="129AD2F4">
      <w:pPr>
        <w:pStyle w:val="44"/>
        <w:spacing w:before="0" w:beforeAutospacing="0" w:after="0" w:afterAutospacing="0"/>
        <w:ind w:firstLine="482"/>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注：如招标文件中提供的格式与苏采云系统中的格式不一致的，以苏采云系统中的格式为准。</w:t>
      </w:r>
    </w:p>
    <w:p w14:paraId="467D32A6">
      <w:pPr>
        <w:pStyle w:val="44"/>
        <w:spacing w:beforeAutospacing="0" w:afterAutospacing="0"/>
        <w:jc w:val="both"/>
        <w:rPr>
          <w:rFonts w:hint="eastAsia" w:asciiTheme="minorEastAsia" w:hAnsiTheme="minorEastAsia" w:eastAsiaTheme="minorEastAsia" w:cstheme="minorEastAsia"/>
          <w:i/>
          <w:color w:val="auto"/>
          <w:sz w:val="32"/>
          <w:szCs w:val="32"/>
          <w:highlight w:val="none"/>
          <w:u w:val="single"/>
        </w:rPr>
      </w:pPr>
    </w:p>
    <w:p w14:paraId="7792623F">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r>
    </w:p>
    <w:p w14:paraId="39335195">
      <w:pPr>
        <w:pStyle w:val="44"/>
        <w:spacing w:beforeAutospacing="0" w:afterAutospacing="0"/>
        <w:jc w:val="both"/>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一、法人或者其他组织的营业执照等证明文件，自然人的身份证明</w:t>
      </w:r>
    </w:p>
    <w:p w14:paraId="16F6A20A">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1A8E656A">
      <w:pPr>
        <w:pStyle w:val="278"/>
        <w:ind w:left="0" w:leftChars="0" w:firstLine="0" w:firstLineChars="0"/>
        <w:rPr>
          <w:rFonts w:hint="eastAsia" w:asciiTheme="minorEastAsia" w:hAnsiTheme="minorEastAsia" w:eastAsiaTheme="minorEastAsia" w:cstheme="minorEastAsia"/>
          <w:i/>
          <w:color w:val="auto"/>
          <w:sz w:val="32"/>
          <w:szCs w:val="32"/>
          <w:highlight w:val="none"/>
          <w:u w:val="single"/>
        </w:rPr>
      </w:pPr>
    </w:p>
    <w:p w14:paraId="78E9531D">
      <w:pPr>
        <w:pStyle w:val="278"/>
        <w:ind w:left="0" w:leftChars="0"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二、上一年度的财务状况报表</w:t>
      </w:r>
    </w:p>
    <w:p w14:paraId="6B779D42">
      <w:pPr>
        <w:pStyle w:val="44"/>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投标人成立不满一年无需提供</w:t>
      </w:r>
    </w:p>
    <w:p w14:paraId="368180DE">
      <w:pPr>
        <w:pStyle w:val="44"/>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57B8B8F">
      <w:pPr>
        <w:pStyle w:val="278"/>
        <w:ind w:left="0" w:leftChars="0"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三、具备履行合同所必需的设备和专业技术能力的书面声明</w:t>
      </w:r>
    </w:p>
    <w:p w14:paraId="42A147D0">
      <w:pPr>
        <w:pStyle w:val="44"/>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我单位郑重声明：我单位具备履行本项采购合同所必需的设备和专业技术能力，为履行本项采购合同我公司具备如下主要设备和主要专业技术能力：</w:t>
      </w:r>
    </w:p>
    <w:p w14:paraId="264EFF9D">
      <w:pPr>
        <w:pStyle w:val="44"/>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45E27103">
      <w:pPr>
        <w:pStyle w:val="44"/>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261B7815">
      <w:pPr>
        <w:pStyle w:val="44"/>
        <w:spacing w:beforeAutospacing="0" w:afterAutospacing="0"/>
        <w:jc w:val="both"/>
        <w:rPr>
          <w:rFonts w:hint="eastAsia" w:asciiTheme="minorEastAsia" w:hAnsiTheme="minorEastAsia" w:eastAsiaTheme="minorEastAsia" w:cstheme="minorEastAsia"/>
          <w:color w:val="auto"/>
          <w:highlight w:val="none"/>
        </w:rPr>
      </w:pPr>
    </w:p>
    <w:p w14:paraId="3391A283">
      <w:pPr>
        <w:widowControl/>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四、依法缴纳税收和社会保障资金的相关材料</w:t>
      </w:r>
    </w:p>
    <w:p w14:paraId="3C8B31F9">
      <w:pPr>
        <w:pStyle w:val="44"/>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提供提交投标文件截止时间前一年内至少一个月依法缴纳税收及缴纳社会保障资金的证明材料。投标人依法享受缓缴、免缴税收、社会保障资金的提供证明材料。</w:t>
      </w:r>
    </w:p>
    <w:p w14:paraId="6495BCC1">
      <w:pPr>
        <w:pStyle w:val="44"/>
        <w:spacing w:beforeAutospacing="0" w:afterAutospacing="0"/>
        <w:ind w:firstLine="480"/>
        <w:jc w:val="both"/>
        <w:rPr>
          <w:rFonts w:hint="eastAsia" w:asciiTheme="minorEastAsia" w:hAnsiTheme="minorEastAsia" w:eastAsiaTheme="minorEastAsia" w:cstheme="minorEastAsia"/>
          <w:color w:val="auto"/>
          <w:highlight w:val="none"/>
        </w:rPr>
      </w:pPr>
    </w:p>
    <w:p w14:paraId="4DA110D2">
      <w:pPr>
        <w:widowControl/>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五、参加政府采购活动前 3 年内在经营活动中没有重大违法记录的书面声明</w:t>
      </w:r>
    </w:p>
    <w:p w14:paraId="3F46761C">
      <w:pPr>
        <w:pStyle w:val="44"/>
        <w:spacing w:beforeAutospacing="0" w:afterAutospacing="0" w:line="0" w:lineRule="atLeast"/>
        <w:jc w:val="both"/>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w:t>
      </w:r>
    </w:p>
    <w:p w14:paraId="64B142C4">
      <w:pPr>
        <w:pStyle w:val="44"/>
        <w:spacing w:beforeAutospacing="0" w:afterAutospacing="0" w:line="0" w:lineRule="atLeast"/>
        <w:ind w:firstLine="30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声  明</w:t>
      </w:r>
    </w:p>
    <w:p w14:paraId="0E9E1E5B">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30EA42A6">
      <w:pPr>
        <w:pStyle w:val="44"/>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4104136">
      <w:pPr>
        <w:pStyle w:val="44"/>
        <w:spacing w:beforeAutospacing="0" w:afterAutospacing="0"/>
        <w:jc w:val="both"/>
        <w:rPr>
          <w:rFonts w:hint="eastAsia" w:asciiTheme="minorEastAsia" w:hAnsiTheme="minorEastAsia" w:eastAsiaTheme="minorEastAsia" w:cstheme="minorEastAsia"/>
          <w:color w:val="auto"/>
          <w:highlight w:val="none"/>
        </w:rPr>
      </w:pPr>
    </w:p>
    <w:p w14:paraId="1C61DF35">
      <w:pPr>
        <w:widowControl/>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六、特定资格要求的证明文件</w:t>
      </w:r>
    </w:p>
    <w:p w14:paraId="32E30BC9">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如果本项目申请人的特定资格要求中要求提供的，必须提供。</w:t>
      </w:r>
    </w:p>
    <w:p w14:paraId="776AA767">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7BAA647">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5A0DD709">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514DE8C3">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8A89888">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3F79CA10">
      <w:pPr>
        <w:pStyle w:val="44"/>
        <w:spacing w:beforeAutospacing="0" w:afterAutospacing="0"/>
        <w:jc w:val="center"/>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32"/>
          <w:szCs w:val="32"/>
          <w:highlight w:val="none"/>
          <w:u w:val="single"/>
        </w:rPr>
        <w:t>七、法人授权书</w:t>
      </w:r>
    </w:p>
    <w:p w14:paraId="3E4CACE4">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本授权书声明：____________（投标人名称）授权________________（被授权人的姓名）为我方就</w:t>
      </w:r>
      <w:r>
        <w:rPr>
          <w:rFonts w:hint="eastAsia" w:asciiTheme="minorEastAsia" w:hAnsiTheme="minorEastAsia" w:eastAsiaTheme="minorEastAsia" w:cstheme="minorEastAsia"/>
          <w:color w:val="auto"/>
          <w:highlight w:val="none"/>
          <w:u w:val="single"/>
        </w:rPr>
        <w:t>JSZC-320900-RHHH-G2026-0018</w:t>
      </w:r>
      <w:r>
        <w:rPr>
          <w:rFonts w:hint="eastAsia" w:asciiTheme="minorEastAsia" w:hAnsiTheme="minorEastAsia" w:eastAsiaTheme="minorEastAsia" w:cstheme="minorEastAsia"/>
          <w:color w:val="auto"/>
          <w:highlight w:val="none"/>
        </w:rPr>
        <w:t>号项目采购活动的合法代理人，以本单位名义全权处理一切与该项目采购有关的事务。</w:t>
      </w:r>
    </w:p>
    <w:p w14:paraId="71E0D420">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本授权书于______年____月____日起生效，特此声明。</w:t>
      </w:r>
    </w:p>
    <w:p w14:paraId="1DA8D9D8">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被授权人身份证号码：</w:t>
      </w:r>
    </w:p>
    <w:p w14:paraId="572178BE">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被授权人联系电话：（手机） </w:t>
      </w:r>
    </w:p>
    <w:p w14:paraId="1E683CF2">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授权单位名称：（加盖CA电子公章）</w:t>
      </w:r>
    </w:p>
    <w:p w14:paraId="43149C04">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单位地址：</w:t>
      </w:r>
    </w:p>
    <w:p w14:paraId="6966D9AC">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w:t>
      </w:r>
    </w:p>
    <w:p w14:paraId="1FA0C29F">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62D394E1">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1ECF2C24">
      <w:pPr>
        <w:pStyle w:val="44"/>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518F41AD">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2386C8B">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47A03BE">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1886DCEF">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B5E49BF">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5377F1BF">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1E4C239">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1133B55D">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529330F1">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581AA3AA">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1784AF1">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12F73D01">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DEEC537">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54D91D99">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47DF4963">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13785FA4">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37A6D294">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19E31716">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3A76D55C">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p>
    <w:p w14:paraId="20B9C88A">
      <w:pPr>
        <w:pStyle w:val="44"/>
        <w:keepNext/>
        <w:keepLines/>
        <w:spacing w:before="260" w:beforeAutospacing="0" w:after="260" w:afterAutospacing="0" w:line="415" w:lineRule="auto"/>
        <w:ind w:firstLine="339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b/>
          <w:iCs/>
          <w:color w:val="auto"/>
          <w:sz w:val="32"/>
          <w:szCs w:val="32"/>
          <w:highlight w:val="none"/>
        </w:rPr>
        <w:t>八、投标函</w:t>
      </w:r>
    </w:p>
    <w:p w14:paraId="1E11A2E6">
      <w:pPr>
        <w:pStyle w:val="44"/>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致：（招标人名称）</w:t>
      </w:r>
    </w:p>
    <w:p w14:paraId="7B422318">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根据贵方的</w:t>
      </w:r>
      <w:r>
        <w:rPr>
          <w:rFonts w:hint="eastAsia" w:asciiTheme="minorEastAsia" w:hAnsiTheme="minorEastAsia" w:eastAsiaTheme="minorEastAsia" w:cstheme="minorEastAsia"/>
          <w:b/>
          <w:color w:val="auto"/>
          <w:sz w:val="36"/>
          <w:szCs w:val="36"/>
          <w:highlight w:val="none"/>
          <w:u w:val="single"/>
        </w:rPr>
        <w:t xml:space="preserve">            </w:t>
      </w:r>
      <w:r>
        <w:rPr>
          <w:rFonts w:hint="eastAsia" w:asciiTheme="minorEastAsia" w:hAnsiTheme="minorEastAsia" w:eastAsiaTheme="minorEastAsia" w:cstheme="minorEastAsia"/>
          <w:color w:val="auto"/>
          <w:highlight w:val="none"/>
        </w:rPr>
        <w:t>号招标文件，正式授权下述签字人_________________</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姓名</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代表我方______________（投标人的名称），全权处理本次项目投标的有关事宜。</w:t>
      </w:r>
    </w:p>
    <w:p w14:paraId="453055F2">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据此函，__________签字人兹宣布同意如下：</w:t>
      </w:r>
    </w:p>
    <w:p w14:paraId="2C37ACBC">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1.按招标文件规定的各项要求，向买方提供所需货物（包含与货物相关的服务）。</w:t>
      </w:r>
    </w:p>
    <w:p w14:paraId="155D93B2">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2.我们完全理解贵方不一定将合同授予最低报价的投标人。</w:t>
      </w:r>
    </w:p>
    <w:p w14:paraId="3BB5082C">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3.我们已详细审核全部招标文件及其有效补充文件，我们知道必须放弃提出含糊不清或误解问题的权利。</w:t>
      </w:r>
    </w:p>
    <w:p w14:paraId="5287A0F9">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4.我们同意从规定的开标日期起遵循本投标文件，并在规定的投标有效期期满之前均具有约束力。</w:t>
      </w:r>
    </w:p>
    <w:p w14:paraId="468666C3">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5.同意向贵方提供贵方可能另外要求的与投标有关的任何证据或资料，并保证我方已提供和将要提供的文件是真实的、准确的。</w:t>
      </w:r>
    </w:p>
    <w:p w14:paraId="4549FB30">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6.一旦我方中标</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我方将根据招标文件的规定，严格履行合同的责任和义务</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并保证在招标文件规定的时间完成项目，交付买方验收、使用。</w:t>
      </w:r>
    </w:p>
    <w:p w14:paraId="6581CDE3">
      <w:pPr>
        <w:pStyle w:val="44"/>
        <w:spacing w:beforeAutospacing="0" w:afterAutospacing="0" w:line="0" w:lineRule="atLeast"/>
        <w:ind w:left="42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7.与本投标有关的正式通讯地址为：</w:t>
      </w:r>
    </w:p>
    <w:p w14:paraId="6C50A334">
      <w:pPr>
        <w:pStyle w:val="44"/>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          址：</w:t>
      </w:r>
    </w:p>
    <w:p w14:paraId="4376CFC9">
      <w:pPr>
        <w:pStyle w:val="44"/>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          编：</w:t>
      </w:r>
    </w:p>
    <w:p w14:paraId="454C2992">
      <w:pPr>
        <w:pStyle w:val="44"/>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          话：</w:t>
      </w:r>
    </w:p>
    <w:p w14:paraId="68A1E71F">
      <w:pPr>
        <w:pStyle w:val="44"/>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          真：</w:t>
      </w:r>
    </w:p>
    <w:p w14:paraId="0E67598E">
      <w:pPr>
        <w:pStyle w:val="44"/>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投标人开户行：</w:t>
      </w:r>
    </w:p>
    <w:p w14:paraId="70B4DEB8">
      <w:pPr>
        <w:pStyle w:val="44"/>
        <w:spacing w:beforeAutospacing="0" w:afterAutospacing="0" w:line="0" w:lineRule="atLeast"/>
        <w:ind w:left="425"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p>
    <w:p w14:paraId="5213A1F4">
      <w:pPr>
        <w:pStyle w:val="44"/>
        <w:spacing w:beforeAutospacing="0" w:afterAutospacing="0" w:line="0" w:lineRule="atLeast"/>
        <w:ind w:left="425"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期：________年____月____日</w:t>
      </w:r>
    </w:p>
    <w:p w14:paraId="4E52034E">
      <w:pPr>
        <w:pStyle w:val="36"/>
        <w:ind w:left="0"/>
        <w:rPr>
          <w:rFonts w:hint="eastAsia" w:asciiTheme="minorEastAsia" w:hAnsiTheme="minorEastAsia" w:eastAsiaTheme="minorEastAsia" w:cstheme="minorEastAsia"/>
          <w:b/>
          <w:color w:val="auto"/>
          <w:highlight w:val="none"/>
        </w:rPr>
      </w:pPr>
    </w:p>
    <w:p w14:paraId="7BBD60B6">
      <w:pPr>
        <w:pStyle w:val="36"/>
        <w:ind w:left="0"/>
        <w:rPr>
          <w:rFonts w:hint="eastAsia" w:asciiTheme="minorEastAsia" w:hAnsiTheme="minorEastAsia" w:eastAsiaTheme="minorEastAsia" w:cstheme="minorEastAsia"/>
          <w:b/>
          <w:color w:val="auto"/>
          <w:highlight w:val="none"/>
        </w:rPr>
      </w:pPr>
    </w:p>
    <w:p w14:paraId="41FB2765">
      <w:pPr>
        <w:pStyle w:val="36"/>
        <w:ind w:left="0"/>
        <w:rPr>
          <w:rFonts w:hint="eastAsia" w:asciiTheme="minorEastAsia" w:hAnsiTheme="minorEastAsia" w:eastAsiaTheme="minorEastAsia" w:cstheme="minorEastAsia"/>
          <w:b/>
          <w:color w:val="auto"/>
          <w:highlight w:val="none"/>
        </w:rPr>
      </w:pPr>
    </w:p>
    <w:p w14:paraId="352D05DD">
      <w:pPr>
        <w:pStyle w:val="36"/>
        <w:ind w:left="0"/>
        <w:rPr>
          <w:rFonts w:hint="eastAsia" w:asciiTheme="minorEastAsia" w:hAnsiTheme="minorEastAsia" w:eastAsiaTheme="minorEastAsia" w:cstheme="minorEastAsia"/>
          <w:b/>
          <w:color w:val="auto"/>
          <w:highlight w:val="none"/>
        </w:rPr>
      </w:pPr>
    </w:p>
    <w:p w14:paraId="5DE5CD9D">
      <w:pPr>
        <w:pStyle w:val="36"/>
        <w:ind w:left="0"/>
        <w:rPr>
          <w:rFonts w:hint="eastAsia" w:asciiTheme="minorEastAsia" w:hAnsiTheme="minorEastAsia" w:eastAsiaTheme="minorEastAsia" w:cstheme="minorEastAsia"/>
          <w:b/>
          <w:color w:val="auto"/>
          <w:highlight w:val="none"/>
        </w:rPr>
      </w:pPr>
    </w:p>
    <w:p w14:paraId="3DE833A9">
      <w:pPr>
        <w:pStyle w:val="36"/>
        <w:ind w:left="0"/>
        <w:rPr>
          <w:rFonts w:hint="eastAsia" w:asciiTheme="minorEastAsia" w:hAnsiTheme="minorEastAsia" w:eastAsiaTheme="minorEastAsia" w:cstheme="minorEastAsia"/>
          <w:b/>
          <w:color w:val="auto"/>
          <w:highlight w:val="none"/>
        </w:rPr>
      </w:pPr>
    </w:p>
    <w:p w14:paraId="7D4EB700">
      <w:pPr>
        <w:pStyle w:val="36"/>
        <w:ind w:left="0"/>
        <w:rPr>
          <w:rFonts w:hint="eastAsia" w:asciiTheme="minorEastAsia" w:hAnsiTheme="minorEastAsia" w:eastAsiaTheme="minorEastAsia" w:cstheme="minorEastAsia"/>
          <w:b/>
          <w:color w:val="auto"/>
          <w:highlight w:val="none"/>
        </w:rPr>
      </w:pPr>
    </w:p>
    <w:p w14:paraId="7CC62AD4">
      <w:pPr>
        <w:pStyle w:val="36"/>
        <w:ind w:left="0"/>
        <w:rPr>
          <w:rFonts w:hint="eastAsia" w:asciiTheme="minorEastAsia" w:hAnsiTheme="minorEastAsia" w:eastAsiaTheme="minorEastAsia" w:cstheme="minorEastAsia"/>
          <w:b/>
          <w:color w:val="auto"/>
          <w:highlight w:val="none"/>
        </w:rPr>
      </w:pPr>
    </w:p>
    <w:p w14:paraId="3ACFEBAA">
      <w:pPr>
        <w:pStyle w:val="36"/>
        <w:ind w:left="0"/>
        <w:rPr>
          <w:rFonts w:hint="eastAsia" w:asciiTheme="minorEastAsia" w:hAnsiTheme="minorEastAsia" w:eastAsiaTheme="minorEastAsia" w:cstheme="minorEastAsia"/>
          <w:b/>
          <w:color w:val="auto"/>
          <w:highlight w:val="none"/>
        </w:rPr>
      </w:pPr>
    </w:p>
    <w:p w14:paraId="0A1E955E">
      <w:pPr>
        <w:pStyle w:val="36"/>
        <w:ind w:left="0"/>
        <w:rPr>
          <w:rFonts w:hint="eastAsia" w:asciiTheme="minorEastAsia" w:hAnsiTheme="minorEastAsia" w:eastAsiaTheme="minorEastAsia" w:cstheme="minorEastAsia"/>
          <w:b/>
          <w:color w:val="auto"/>
          <w:highlight w:val="none"/>
        </w:rPr>
      </w:pPr>
    </w:p>
    <w:p w14:paraId="556AEAEB">
      <w:pPr>
        <w:pStyle w:val="36"/>
        <w:ind w:left="0"/>
        <w:rPr>
          <w:rFonts w:hint="eastAsia" w:asciiTheme="minorEastAsia" w:hAnsiTheme="minorEastAsia" w:eastAsiaTheme="minorEastAsia" w:cstheme="minorEastAsia"/>
          <w:b/>
          <w:color w:val="auto"/>
          <w:highlight w:val="none"/>
        </w:rPr>
      </w:pPr>
    </w:p>
    <w:p w14:paraId="38B27E6A">
      <w:pPr>
        <w:pStyle w:val="36"/>
        <w:ind w:left="0"/>
        <w:rPr>
          <w:rFonts w:hint="eastAsia" w:asciiTheme="minorEastAsia" w:hAnsiTheme="minorEastAsia" w:eastAsiaTheme="minorEastAsia" w:cstheme="minorEastAsia"/>
          <w:b/>
          <w:color w:val="auto"/>
          <w:highlight w:val="none"/>
        </w:rPr>
      </w:pPr>
    </w:p>
    <w:p w14:paraId="7CE69AF0">
      <w:pPr>
        <w:pStyle w:val="36"/>
        <w:ind w:left="0"/>
        <w:rPr>
          <w:rFonts w:hint="eastAsia" w:asciiTheme="minorEastAsia" w:hAnsiTheme="minorEastAsia" w:eastAsiaTheme="minorEastAsia" w:cstheme="minorEastAsia"/>
          <w:b/>
          <w:color w:val="auto"/>
          <w:highlight w:val="none"/>
        </w:rPr>
      </w:pPr>
    </w:p>
    <w:p w14:paraId="360D79CE">
      <w:pPr>
        <w:numPr>
          <w:ilvl w:val="0"/>
          <w:numId w:val="4"/>
        </w:numPr>
        <w:spacing w:line="560" w:lineRule="exact"/>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en-US" w:eastAsia="zh-CN"/>
        </w:rPr>
        <w:t>中小</w:t>
      </w:r>
      <w:r>
        <w:rPr>
          <w:rFonts w:hint="eastAsia" w:asciiTheme="minorEastAsia" w:hAnsiTheme="minorEastAsia" w:eastAsiaTheme="minorEastAsia" w:cstheme="minorEastAsia"/>
          <w:b/>
          <w:bCs/>
          <w:color w:val="auto"/>
          <w:sz w:val="32"/>
          <w:szCs w:val="32"/>
          <w:highlight w:val="none"/>
        </w:rPr>
        <w:t>企业声明函（服务）</w:t>
      </w:r>
    </w:p>
    <w:p w14:paraId="6F0EC909">
      <w:pPr>
        <w:spacing w:line="560" w:lineRule="exact"/>
        <w:jc w:val="center"/>
        <w:rPr>
          <w:rFonts w:hint="eastAsia" w:asciiTheme="minorEastAsia" w:hAnsiTheme="minorEastAsia" w:eastAsiaTheme="minorEastAsia" w:cstheme="minorEastAsia"/>
          <w:b/>
          <w:bCs/>
          <w:color w:val="auto"/>
          <w:sz w:val="32"/>
          <w:szCs w:val="32"/>
          <w:highlight w:val="none"/>
        </w:rPr>
      </w:pPr>
    </w:p>
    <w:p w14:paraId="774CC392">
      <w:pPr>
        <w:pStyle w:val="44"/>
        <w:spacing w:beforeAutospacing="0" w:afterAutospacing="0" w:line="0" w:lineRule="atLeast"/>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财库</w:t>
      </w:r>
      <w:r>
        <w:rPr>
          <w:rFonts w:hint="eastAsia" w:asciiTheme="minorEastAsia" w:hAnsiTheme="minorEastAsia" w:eastAsiaTheme="minorEastAsia" w:cstheme="minorEastAsia"/>
          <w:color w:val="auto"/>
          <w:highlight w:val="none"/>
          <w:lang w:eastAsia="zh-CN"/>
        </w:rPr>
        <w:t>〔2020〕46号）</w:t>
      </w:r>
      <w:r>
        <w:rPr>
          <w:rFonts w:hint="eastAsia" w:asciiTheme="minorEastAsia" w:hAnsiTheme="minorEastAsia" w:eastAsiaTheme="minorEastAsia" w:cstheme="minorEastAsia"/>
          <w:color w:val="auto"/>
          <w:highlight w:val="none"/>
        </w:rPr>
        <w:t>的规定，本公司（联合体）参加招标人组织的</w:t>
      </w:r>
      <w:r>
        <w:rPr>
          <w:rFonts w:hint="eastAsia" w:asciiTheme="minorEastAsia" w:hAnsiTheme="minorEastAsia" w:eastAsiaTheme="minorEastAsia" w:cstheme="minorEastAsia"/>
          <w:color w:val="auto"/>
          <w:highlight w:val="none"/>
          <w:u w:val="single"/>
        </w:rPr>
        <w:t>盐城市港航事业发展中心</w:t>
      </w:r>
      <w:r>
        <w:rPr>
          <w:rFonts w:hint="eastAsia" w:asciiTheme="minorEastAsia" w:hAnsiTheme="minorEastAsia" w:eastAsiaTheme="minorEastAsia" w:cstheme="minorEastAsia"/>
          <w:color w:val="auto"/>
          <w:highlight w:val="none"/>
        </w:rPr>
        <w:t>采购编号为</w:t>
      </w:r>
      <w:r>
        <w:rPr>
          <w:rFonts w:hint="eastAsia" w:asciiTheme="minorEastAsia" w:hAnsiTheme="minorEastAsia" w:eastAsiaTheme="minorEastAsia" w:cstheme="minorEastAsia"/>
          <w:color w:val="auto"/>
          <w:highlight w:val="none"/>
          <w:u w:val="single"/>
        </w:rPr>
        <w:t>JSZC-320900-RHHH-G2026-0018</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u w:val="single"/>
        </w:rPr>
        <w:t>滨海港直连工程规划研究项目</w:t>
      </w:r>
      <w:r>
        <w:rPr>
          <w:rFonts w:hint="eastAsia" w:asciiTheme="minorEastAsia" w:hAnsiTheme="minorEastAsia" w:eastAsiaTheme="minorEastAsia" w:cstheme="minorEastAsia"/>
          <w:color w:val="auto"/>
          <w:highlight w:val="none"/>
        </w:rPr>
        <w:t>的采购活动，服务全部由符合政策的小微企业承接。根据《工业和信息化部、国家统计局、国家发展和改革委员会、财政部关于印发中小企业划型标准规定的通知》</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工信部联企业</w:t>
      </w:r>
      <w:r>
        <w:rPr>
          <w:rFonts w:hint="eastAsia" w:asciiTheme="minorEastAsia" w:hAnsiTheme="minorEastAsia" w:eastAsiaTheme="minorEastAsia" w:cstheme="minorEastAsia"/>
          <w:color w:val="auto"/>
          <w:highlight w:val="none"/>
          <w:lang w:eastAsia="zh-CN"/>
        </w:rPr>
        <w:t>〔2011〕300号）</w:t>
      </w:r>
      <w:r>
        <w:rPr>
          <w:rFonts w:hint="eastAsia" w:asciiTheme="minorEastAsia" w:hAnsiTheme="minorEastAsia" w:eastAsiaTheme="minorEastAsia" w:cstheme="minorEastAsia"/>
          <w:color w:val="auto"/>
          <w:highlight w:val="none"/>
        </w:rPr>
        <w:t>的规定，相关企业（含联合体中的小微企业、签订分包意向协议的小微企业）的具体情况如下：</w:t>
      </w:r>
    </w:p>
    <w:p w14:paraId="56915BDC">
      <w:pPr>
        <w:pStyle w:val="44"/>
        <w:spacing w:beforeAutospacing="0" w:afterAutospacing="0" w:line="0" w:lineRule="atLeast"/>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行业；承接企业为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highlight w:val="none"/>
          <w:vertAlign w:val="superscript"/>
        </w:rPr>
        <w:t>1</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（小型企业、微型企业）；</w:t>
      </w:r>
    </w:p>
    <w:p w14:paraId="5F731BD8">
      <w:pPr>
        <w:pStyle w:val="44"/>
        <w:spacing w:beforeAutospacing="0" w:afterAutospacing="0" w:line="0" w:lineRule="atLeast"/>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行业；承接企业为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highlight w:val="none"/>
          <w:vertAlign w:val="superscript"/>
        </w:rPr>
        <w:t>1</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（小型企业、微型企业）；</w:t>
      </w:r>
    </w:p>
    <w:p w14:paraId="2F5E2561">
      <w:pPr>
        <w:pStyle w:val="44"/>
        <w:spacing w:beforeAutospacing="0" w:afterAutospacing="0" w:line="0" w:lineRule="atLeast"/>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088FC1DA">
      <w:pPr>
        <w:pStyle w:val="44"/>
        <w:spacing w:beforeAutospacing="0" w:afterAutospacing="0" w:line="0" w:lineRule="atLeast"/>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45863B67">
      <w:pPr>
        <w:pStyle w:val="44"/>
        <w:spacing w:beforeAutospacing="0" w:afterAutospacing="0" w:line="0" w:lineRule="atLeast"/>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3C9FED31">
      <w:pPr>
        <w:pStyle w:val="44"/>
        <w:spacing w:beforeAutospacing="0" w:afterAutospacing="0" w:line="0" w:lineRule="atLeast"/>
        <w:ind w:right="7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9D5745D">
      <w:pPr>
        <w:pStyle w:val="44"/>
        <w:spacing w:beforeAutospacing="0" w:afterAutospacing="0" w:line="0" w:lineRule="atLeast"/>
        <w:ind w:right="180" w:firstLine="3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企业名称（加盖CA电子公章）：</w:t>
      </w:r>
    </w:p>
    <w:p w14:paraId="125BBDEC">
      <w:pPr>
        <w:pStyle w:val="44"/>
        <w:spacing w:beforeAutospacing="0" w:afterAutospacing="0" w:line="0" w:lineRule="atLeast"/>
        <w:ind w:right="480" w:firstLine="60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06559691">
      <w:pPr>
        <w:pStyle w:val="44"/>
        <w:spacing w:beforeAutospacing="0" w:afterAutospacing="0" w:line="0" w:lineRule="atLeast"/>
        <w:ind w:firstLine="24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5471206">
      <w:pPr>
        <w:pStyle w:val="44"/>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备注1：从业人员、营业收入、资产总额填报上一年度数据，无上一年度数据的新成立企业可不填报。</w:t>
      </w:r>
    </w:p>
    <w:p w14:paraId="7E64687C">
      <w:pPr>
        <w:pStyle w:val="44"/>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备注2：投标人如不提供此声明函，价格将不做相应扣除（如项目全面面向中小企业，则资格审查不通过）。</w:t>
      </w:r>
    </w:p>
    <w:p w14:paraId="70544C4D">
      <w:pPr>
        <w:pStyle w:val="48"/>
        <w:ind w:firstLine="0"/>
        <w:rPr>
          <w:rFonts w:hint="eastAsia" w:asciiTheme="minorEastAsia" w:hAnsiTheme="minorEastAsia" w:eastAsiaTheme="minorEastAsia" w:cstheme="minorEastAsia"/>
          <w:color w:val="auto"/>
          <w:highlight w:val="none"/>
        </w:rPr>
      </w:pPr>
    </w:p>
    <w:p w14:paraId="53926184">
      <w:pPr>
        <w:pStyle w:val="36"/>
        <w:rPr>
          <w:rFonts w:hint="eastAsia" w:asciiTheme="minorEastAsia" w:hAnsiTheme="minorEastAsia" w:eastAsiaTheme="minorEastAsia" w:cstheme="minorEastAsia"/>
          <w:color w:val="auto"/>
          <w:highlight w:val="none"/>
        </w:rPr>
      </w:pPr>
    </w:p>
    <w:p w14:paraId="3DB85052">
      <w:pPr>
        <w:rPr>
          <w:rFonts w:hint="eastAsia" w:asciiTheme="minorEastAsia" w:hAnsiTheme="minorEastAsia" w:eastAsiaTheme="minorEastAsia" w:cstheme="minorEastAsia"/>
          <w:color w:val="auto"/>
          <w:highlight w:val="none"/>
        </w:rPr>
      </w:pPr>
    </w:p>
    <w:p w14:paraId="4C7F0B35">
      <w:pPr>
        <w:pStyle w:val="278"/>
        <w:rPr>
          <w:rFonts w:hint="eastAsia" w:asciiTheme="minorEastAsia" w:hAnsiTheme="minorEastAsia" w:eastAsiaTheme="minorEastAsia" w:cstheme="minorEastAsia"/>
          <w:color w:val="auto"/>
          <w:highlight w:val="none"/>
        </w:rPr>
      </w:pPr>
    </w:p>
    <w:p w14:paraId="2B98E41E">
      <w:pPr>
        <w:rPr>
          <w:rFonts w:hint="eastAsia" w:asciiTheme="minorEastAsia" w:hAnsiTheme="minorEastAsia" w:eastAsiaTheme="minorEastAsia" w:cstheme="minorEastAsia"/>
          <w:color w:val="auto"/>
          <w:highlight w:val="none"/>
        </w:rPr>
      </w:pPr>
    </w:p>
    <w:p w14:paraId="18FD904D">
      <w:pPr>
        <w:pStyle w:val="278"/>
        <w:rPr>
          <w:rFonts w:hint="eastAsia" w:asciiTheme="minorEastAsia" w:hAnsiTheme="minorEastAsia" w:eastAsiaTheme="minorEastAsia" w:cstheme="minorEastAsia"/>
          <w:color w:val="auto"/>
          <w:highlight w:val="none"/>
        </w:rPr>
      </w:pPr>
    </w:p>
    <w:p w14:paraId="3E4593CE">
      <w:pPr>
        <w:rPr>
          <w:rFonts w:hint="eastAsia" w:asciiTheme="minorEastAsia" w:hAnsiTheme="minorEastAsia" w:eastAsiaTheme="minorEastAsia" w:cstheme="minorEastAsia"/>
          <w:color w:val="auto"/>
          <w:highlight w:val="none"/>
        </w:rPr>
      </w:pPr>
    </w:p>
    <w:p w14:paraId="07DA3CC3">
      <w:pPr>
        <w:pStyle w:val="278"/>
        <w:rPr>
          <w:rFonts w:hint="eastAsia" w:asciiTheme="minorEastAsia" w:hAnsiTheme="minorEastAsia" w:eastAsiaTheme="minorEastAsia" w:cstheme="minorEastAsia"/>
          <w:color w:val="auto"/>
          <w:highlight w:val="none"/>
        </w:rPr>
      </w:pPr>
    </w:p>
    <w:p w14:paraId="4F3CABAA">
      <w:pPr>
        <w:rPr>
          <w:rFonts w:hint="eastAsia" w:asciiTheme="minorEastAsia" w:hAnsiTheme="minorEastAsia" w:eastAsiaTheme="minorEastAsia" w:cstheme="minorEastAsia"/>
          <w:color w:val="auto"/>
          <w:highlight w:val="none"/>
        </w:rPr>
      </w:pPr>
    </w:p>
    <w:p w14:paraId="650FBFCE">
      <w:pPr>
        <w:pStyle w:val="278"/>
        <w:rPr>
          <w:rFonts w:hint="eastAsia" w:asciiTheme="minorEastAsia" w:hAnsiTheme="minorEastAsia" w:eastAsiaTheme="minorEastAsia" w:cstheme="minorEastAsia"/>
          <w:color w:val="auto"/>
          <w:highlight w:val="none"/>
        </w:rPr>
      </w:pPr>
    </w:p>
    <w:p w14:paraId="36A3D4CC">
      <w:pPr>
        <w:rPr>
          <w:rFonts w:hint="eastAsia" w:asciiTheme="minorEastAsia" w:hAnsiTheme="minorEastAsia" w:eastAsiaTheme="minorEastAsia" w:cstheme="minorEastAsia"/>
          <w:color w:val="auto"/>
          <w:highlight w:val="none"/>
        </w:rPr>
      </w:pPr>
    </w:p>
    <w:p w14:paraId="7D0DF1A6">
      <w:pPr>
        <w:spacing w:line="560" w:lineRule="exact"/>
        <w:jc w:val="both"/>
        <w:rPr>
          <w:rFonts w:hint="eastAsia" w:asciiTheme="minorEastAsia" w:hAnsiTheme="minorEastAsia" w:eastAsiaTheme="minorEastAsia" w:cstheme="minorEastAsia"/>
          <w:b/>
          <w:bCs/>
          <w:color w:val="auto"/>
          <w:sz w:val="32"/>
          <w:szCs w:val="32"/>
          <w:highlight w:val="none"/>
        </w:rPr>
      </w:pPr>
    </w:p>
    <w:p w14:paraId="5B058BA7">
      <w:pPr>
        <w:spacing w:line="560" w:lineRule="exact"/>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十、残疾人福利性单位声明函</w:t>
      </w:r>
    </w:p>
    <w:p w14:paraId="130D20E3">
      <w:pPr>
        <w:spacing w:line="360" w:lineRule="auto"/>
        <w:jc w:val="center"/>
        <w:rPr>
          <w:rFonts w:hint="eastAsia" w:asciiTheme="minorEastAsia" w:hAnsiTheme="minorEastAsia" w:eastAsiaTheme="minorEastAsia" w:cstheme="minorEastAsia"/>
          <w:b/>
          <w:color w:val="auto"/>
          <w:sz w:val="24"/>
          <w:highlight w:val="none"/>
        </w:rPr>
      </w:pPr>
    </w:p>
    <w:p w14:paraId="75B7B5D7">
      <w:pPr>
        <w:pStyle w:val="44"/>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项目采购活动由本单位提供服务。</w:t>
      </w:r>
    </w:p>
    <w:p w14:paraId="1643C395">
      <w:pPr>
        <w:pStyle w:val="44"/>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本单位对上述声明的真实性负责。如有虚假，将依法承担相应责任。</w:t>
      </w:r>
    </w:p>
    <w:p w14:paraId="3C1995C0">
      <w:pPr>
        <w:pStyle w:val="44"/>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D76BF7F">
      <w:pPr>
        <w:pStyle w:val="44"/>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备注：1、投标人如不提供此声明函，价格将不做相应扣除（如项目全面面向中小企业，则资格审查不通过）。</w:t>
      </w:r>
    </w:p>
    <w:p w14:paraId="78876162">
      <w:pPr>
        <w:pStyle w:val="44"/>
        <w:numPr>
          <w:ilvl w:val="0"/>
          <w:numId w:val="5"/>
        </w:numPr>
        <w:spacing w:beforeAutospacing="0" w:afterAutospacing="0" w:line="0" w:lineRule="atLeast"/>
        <w:ind w:firstLine="62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中标人为残疾人福利单位的，此声明函将随中标结果同时公告，接受社会监督。</w:t>
      </w:r>
    </w:p>
    <w:p w14:paraId="1DCE1FE9">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D511735">
      <w:pPr>
        <w:pStyle w:val="44"/>
        <w:tabs>
          <w:tab w:val="left" w:pos="4864"/>
        </w:tabs>
        <w:spacing w:beforeAutospacing="0" w:afterAutospacing="0" w:line="0" w:lineRule="atLeast"/>
        <w:ind w:right="1560" w:firstLine="62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w:t>
      </w:r>
      <w:r>
        <w:rPr>
          <w:rFonts w:hint="eastAsia" w:asciiTheme="minorEastAsia" w:hAnsiTheme="minorEastAsia" w:eastAsiaTheme="minorEastAsia" w:cstheme="minorEastAsia"/>
          <w:color w:val="auto"/>
          <w:highlight w:val="none"/>
        </w:rPr>
        <w:t>投标人全称（加盖CA电子公章）：</w:t>
      </w:r>
    </w:p>
    <w:p w14:paraId="0817AA2B">
      <w:pPr>
        <w:pStyle w:val="44"/>
        <w:tabs>
          <w:tab w:val="left" w:pos="4864"/>
        </w:tabs>
        <w:spacing w:beforeAutospacing="0" w:afterAutospacing="0" w:line="0" w:lineRule="atLeast"/>
        <w:ind w:right="1560"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日  期：</w:t>
      </w:r>
    </w:p>
    <w:p w14:paraId="1B76032D">
      <w:pPr>
        <w:spacing w:line="360" w:lineRule="auto"/>
        <w:rPr>
          <w:rFonts w:hint="eastAsia" w:asciiTheme="minorEastAsia" w:hAnsiTheme="minorEastAsia" w:eastAsiaTheme="minorEastAsia" w:cstheme="minorEastAsia"/>
          <w:color w:val="auto"/>
          <w:highlight w:val="none"/>
        </w:rPr>
      </w:pPr>
    </w:p>
    <w:p w14:paraId="0F01423F">
      <w:pPr>
        <w:spacing w:line="360" w:lineRule="auto"/>
        <w:rPr>
          <w:rFonts w:hint="eastAsia" w:asciiTheme="minorEastAsia" w:hAnsiTheme="minorEastAsia" w:eastAsiaTheme="minorEastAsia" w:cstheme="minorEastAsia"/>
          <w:b/>
          <w:color w:val="auto"/>
          <w:highlight w:val="none"/>
        </w:rPr>
      </w:pPr>
    </w:p>
    <w:p w14:paraId="16D2F254">
      <w:pPr>
        <w:spacing w:line="360" w:lineRule="auto"/>
        <w:rPr>
          <w:rFonts w:hint="eastAsia" w:asciiTheme="minorEastAsia" w:hAnsiTheme="minorEastAsia" w:eastAsiaTheme="minorEastAsia" w:cstheme="minorEastAsia"/>
          <w:b/>
          <w:color w:val="auto"/>
          <w:highlight w:val="none"/>
        </w:rPr>
      </w:pPr>
    </w:p>
    <w:p w14:paraId="7866389D">
      <w:pPr>
        <w:spacing w:line="360" w:lineRule="auto"/>
        <w:rPr>
          <w:rFonts w:hint="eastAsia" w:asciiTheme="minorEastAsia" w:hAnsiTheme="minorEastAsia" w:eastAsiaTheme="minorEastAsia" w:cstheme="minorEastAsia"/>
          <w:b/>
          <w:color w:val="auto"/>
          <w:highlight w:val="none"/>
        </w:rPr>
      </w:pPr>
    </w:p>
    <w:p w14:paraId="11BC998B">
      <w:pPr>
        <w:pStyle w:val="3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br w:type="page" w:clear="all"/>
      </w:r>
    </w:p>
    <w:p w14:paraId="3D350BA0">
      <w:pPr>
        <w:pStyle w:val="12"/>
        <w:spacing w:line="500" w:lineRule="exact"/>
        <w:ind w:firstLine="643"/>
        <w:jc w:val="center"/>
        <w:rPr>
          <w:rFonts w:hint="eastAsia" w:asciiTheme="minorEastAsia" w:hAnsiTheme="minorEastAsia" w:eastAsiaTheme="minorEastAsia" w:cstheme="minorEastAsia"/>
          <w:b/>
          <w:color w:val="auto"/>
          <w:sz w:val="36"/>
          <w:szCs w:val="36"/>
          <w:highlight w:val="none"/>
        </w:rPr>
        <w:sectPr>
          <w:footerReference r:id="rId13" w:type="first"/>
          <w:footerReference r:id="rId12" w:type="default"/>
          <w:pgSz w:w="11906" w:h="16838"/>
          <w:pgMar w:top="1417" w:right="1417" w:bottom="1417" w:left="1417" w:header="851" w:footer="907" w:gutter="0"/>
          <w:cols w:space="720" w:num="1"/>
          <w:titlePg/>
          <w:docGrid w:linePitch="360" w:charSpace="0"/>
        </w:sectPr>
      </w:pPr>
    </w:p>
    <w:p w14:paraId="5626FFB6">
      <w:pPr>
        <w:spacing w:line="560" w:lineRule="exact"/>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十一、联合体协议（参考格式）</w:t>
      </w:r>
    </w:p>
    <w:p w14:paraId="0094AEF7">
      <w:pPr>
        <w:widowControl/>
        <w:spacing w:before="100" w:after="100" w:line="0" w:lineRule="atLeas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（联合体中各投标人全称）在此达成以下协议：</w:t>
      </w:r>
    </w:p>
    <w:p w14:paraId="315A26F9">
      <w:pPr>
        <w:widowControl/>
        <w:spacing w:before="100" w:after="100" w:line="0" w:lineRule="atLeast"/>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1、我们</w:t>
      </w:r>
      <w:r>
        <w:rPr>
          <w:rFonts w:hint="eastAsia" w:asciiTheme="minorEastAsia" w:hAnsiTheme="minorEastAsia" w:eastAsiaTheme="minorEastAsia" w:cstheme="minorEastAsia"/>
          <w:color w:val="auto"/>
          <w:sz w:val="24"/>
          <w:highlight w:val="none"/>
          <w:u w:val="single"/>
        </w:rPr>
        <w:t xml:space="preserve"> （投标人1），（投标人2） ，……</w:t>
      </w:r>
      <w:r>
        <w:rPr>
          <w:rFonts w:hint="eastAsia" w:asciiTheme="minorEastAsia" w:hAnsiTheme="minorEastAsia" w:eastAsiaTheme="minorEastAsia" w:cstheme="minorEastAsia"/>
          <w:color w:val="auto"/>
          <w:sz w:val="24"/>
          <w:highlight w:val="none"/>
        </w:rPr>
        <w:t>自愿组成联合体，参加采购编号为</w:t>
      </w:r>
      <w:r>
        <w:rPr>
          <w:rFonts w:hint="eastAsia" w:asciiTheme="minorEastAsia" w:hAnsiTheme="minorEastAsia" w:eastAsiaTheme="minorEastAsia" w:cstheme="minorEastAsia"/>
          <w:color w:val="auto"/>
          <w:sz w:val="24"/>
          <w:highlight w:val="none"/>
          <w:u w:val="single"/>
        </w:rPr>
        <w:t>（编号全称），（项目全称）</w:t>
      </w:r>
      <w:r>
        <w:rPr>
          <w:rFonts w:hint="eastAsia" w:asciiTheme="minorEastAsia" w:hAnsiTheme="minorEastAsia" w:eastAsiaTheme="minorEastAsia" w:cstheme="minorEastAsia"/>
          <w:color w:val="auto"/>
          <w:sz w:val="24"/>
          <w:highlight w:val="none"/>
        </w:rPr>
        <w:t>项目的政府采购活动，我联合体指定</w:t>
      </w:r>
      <w:r>
        <w:rPr>
          <w:rFonts w:hint="eastAsia" w:asciiTheme="minorEastAsia" w:hAnsiTheme="minorEastAsia" w:eastAsiaTheme="minorEastAsia" w:cstheme="minorEastAsia"/>
          <w:color w:val="auto"/>
          <w:sz w:val="24"/>
          <w:highlight w:val="none"/>
          <w:u w:val="single"/>
        </w:rPr>
        <w:t>（投标人*）</w:t>
      </w:r>
      <w:r>
        <w:rPr>
          <w:rFonts w:hint="eastAsia" w:asciiTheme="minorEastAsia" w:hAnsiTheme="minorEastAsia" w:eastAsiaTheme="minorEastAsia" w:cstheme="minorEastAsia"/>
          <w:color w:val="auto"/>
          <w:sz w:val="24"/>
          <w:highlight w:val="none"/>
        </w:rPr>
        <w:t>为牵头单位（牵头单位必须为联合体成员）。</w:t>
      </w:r>
    </w:p>
    <w:p w14:paraId="366CF061">
      <w:pPr>
        <w:widowControl/>
        <w:spacing w:before="100" w:after="100" w:line="0" w:lineRule="atLeast"/>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若我们联合成交，（投标人单位1全称）实施项目中（工作内容）部分工作，并承担相应的责任。（投标人单位2全称）实施项目中（工作内容）部分工作，并承担相应的责任……。（注：联合体中各投标人都应明示所承担的工作和相应的责任）。</w:t>
      </w:r>
    </w:p>
    <w:p w14:paraId="5FF9C21D">
      <w:pPr>
        <w:widowControl/>
        <w:spacing w:before="100" w:after="100" w:line="0" w:lineRule="atLeast"/>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3、其中</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（小型、微型企业/残疾人福利性单位/监狱企业全称）为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（小型、微型企业/残疾人福利性单位/监狱企业）企业，且我们约定该公司/单位所承担的合同金额将占本项目合同总金额的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14:paraId="6F1E3A90">
      <w:pPr>
        <w:widowControl/>
        <w:spacing w:before="100" w:after="100" w:line="0" w:lineRule="atLeast"/>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4228A688">
      <w:pPr>
        <w:widowControl/>
        <w:spacing w:before="100" w:after="100" w:line="0" w:lineRule="atLeast"/>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备注：本招标文件中要求加盖CA电子公章的地方，仅需加盖牵头单位的CA电子公章。</w:t>
      </w:r>
    </w:p>
    <w:p w14:paraId="33255AED">
      <w:pPr>
        <w:widowControl/>
        <w:spacing w:before="100" w:after="100" w:line="0" w:lineRule="atLeast"/>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14:paraId="11C11FEF">
      <w:pPr>
        <w:widowControl/>
        <w:spacing w:before="100" w:after="100" w:line="0" w:lineRule="atLeast"/>
        <w:ind w:firstLine="645"/>
        <w:jc w:val="righ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联合体中各投标人全称（公章）：     </w:t>
      </w:r>
    </w:p>
    <w:p w14:paraId="60F83EBC">
      <w:pPr>
        <w:widowControl/>
        <w:spacing w:before="100" w:after="100" w:line="0" w:lineRule="atLeast"/>
        <w:ind w:firstLine="645"/>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日期：</w:t>
      </w:r>
    </w:p>
    <w:p w14:paraId="1CA8FE92">
      <w:pPr>
        <w:pStyle w:val="12"/>
        <w:spacing w:line="500" w:lineRule="exact"/>
        <w:ind w:firstLine="643"/>
        <w:jc w:val="center"/>
        <w:rPr>
          <w:rFonts w:hint="eastAsia" w:asciiTheme="minorEastAsia" w:hAnsiTheme="minorEastAsia" w:eastAsiaTheme="minorEastAsia" w:cstheme="minorEastAsia"/>
          <w:b/>
          <w:color w:val="auto"/>
          <w:sz w:val="36"/>
          <w:szCs w:val="36"/>
          <w:highlight w:val="none"/>
        </w:rPr>
        <w:sectPr>
          <w:pgSz w:w="11906" w:h="16838"/>
          <w:pgMar w:top="1015" w:right="1196" w:bottom="868" w:left="1259" w:header="851" w:footer="907" w:gutter="0"/>
          <w:cols w:space="720" w:num="1"/>
          <w:titlePg/>
          <w:docGrid w:linePitch="360" w:charSpace="0"/>
        </w:sectPr>
      </w:pPr>
    </w:p>
    <w:p w14:paraId="22F4A0AE">
      <w:pPr>
        <w:pStyle w:val="12"/>
        <w:spacing w:line="500" w:lineRule="exact"/>
        <w:ind w:firstLine="643"/>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36"/>
          <w:szCs w:val="36"/>
          <w:highlight w:val="none"/>
        </w:rPr>
        <w:t>十二、投标分项报价表（格式）</w:t>
      </w:r>
    </w:p>
    <w:p w14:paraId="4330DB38">
      <w:pPr>
        <w:spacing w:line="500" w:lineRule="exact"/>
        <w:ind w:firstLine="12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6" name="自选图形 2"/>
                <wp:cNvGraphicFramePr/>
                <a:graphic xmlns:a="http://schemas.openxmlformats.org/drawingml/2006/main">
                  <a:graphicData uri="http://schemas.microsoft.com/office/word/2010/wordprocessingShape">
                    <wps:wsp>
                      <wps:cNvCn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自选图形 2" o:spid="_x0000_s1026" o:spt="32" type="#_x0000_t32" style="position:absolute;left:0pt;margin-left:68.25pt;margin-top:22.65pt;height:0pt;width:135pt;z-index:251662336;mso-width-relative:page;mso-height-relative:page;" filled="f" stroked="t" coordsize="21600,21600" o:gfxdata="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pg3XhdYAAAAJAQAADwAAAAAA&#10;AAABACAAAAAiAAAAZHJzL2Rvd25yZXYueG1sUEsBAhQAFAAAAAgAh07iQMVF5ugVAgAAIQQAAA4A&#10;AAAAAAAAAQAgAAAAJQEAAGRycy9lMm9Eb2MueG1sUEsFBgAAAAAGAAYAWQEAAKwFAAAAAA==&#10;">
                <v:fill on="f" focussize="0,0"/>
                <v:stroke color="#000000" joinstyle="round"/>
                <v:imagedata o:title=""/>
                <o:lock v:ext="edit" aspectratio="f"/>
              </v:shape>
            </w:pict>
          </mc:Fallback>
        </mc:AlternateContent>
      </w:r>
      <w:r>
        <w:rPr>
          <w:rFonts w:hint="eastAsia" w:asciiTheme="minorEastAsia" w:hAnsiTheme="minorEastAsia" w:eastAsiaTheme="minorEastAsia" w:cstheme="minorEastAsia"/>
          <w:color w:val="auto"/>
          <w:sz w:val="24"/>
          <w:highlight w:val="none"/>
        </w:rPr>
        <w:t>投标人全称：                     （加盖公章）</w:t>
      </w:r>
    </w:p>
    <w:tbl>
      <w:tblPr>
        <w:tblStyle w:val="50"/>
        <w:tblW w:w="9437" w:type="dxa"/>
        <w:tblCellSpacing w:w="0" w:type="dxa"/>
        <w:tblInd w:w="0" w:type="dxa"/>
        <w:tblLayout w:type="fixed"/>
        <w:tblCellMar>
          <w:top w:w="0" w:type="dxa"/>
          <w:left w:w="108" w:type="dxa"/>
          <w:bottom w:w="0" w:type="dxa"/>
          <w:right w:w="108" w:type="dxa"/>
        </w:tblCellMar>
      </w:tblPr>
      <w:tblGrid>
        <w:gridCol w:w="1024"/>
        <w:gridCol w:w="1349"/>
        <w:gridCol w:w="1334"/>
        <w:gridCol w:w="972"/>
        <w:gridCol w:w="1249"/>
        <w:gridCol w:w="1667"/>
        <w:gridCol w:w="1842"/>
      </w:tblGrid>
      <w:tr w14:paraId="70ED5BC2">
        <w:tblPrEx>
          <w:tblCellMar>
            <w:top w:w="0" w:type="dxa"/>
            <w:left w:w="108" w:type="dxa"/>
            <w:bottom w:w="0" w:type="dxa"/>
            <w:right w:w="108" w:type="dxa"/>
          </w:tblCellMar>
        </w:tblPrEx>
        <w:trPr>
          <w:trHeight w:val="544" w:hRule="atLeast"/>
          <w:tblCellSpacing w:w="0" w:type="dxa"/>
        </w:trPr>
        <w:tc>
          <w:tcPr>
            <w:tcW w:w="1024" w:type="dxa"/>
            <w:vMerge w:val="restart"/>
            <w:tcBorders>
              <w:top w:val="single" w:color="000000" w:sz="4" w:space="0"/>
              <w:left w:val="single" w:color="000000" w:sz="4" w:space="0"/>
              <w:bottom w:val="single" w:color="000000" w:sz="4" w:space="0"/>
              <w:right w:val="single" w:color="000000" w:sz="4" w:space="0"/>
            </w:tcBorders>
            <w:noWrap/>
            <w:vAlign w:val="center"/>
          </w:tcPr>
          <w:p w14:paraId="078BE3BB">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5E386D4">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D7E60A5">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25B1095">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357789D0">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0584BFBD">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23E2EE9D">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w:t>
            </w:r>
          </w:p>
        </w:tc>
      </w:tr>
      <w:tr w14:paraId="738C74E6">
        <w:tblPrEx>
          <w:tblCellMar>
            <w:top w:w="0" w:type="dxa"/>
            <w:left w:w="108" w:type="dxa"/>
            <w:bottom w:w="0" w:type="dxa"/>
            <w:right w:w="108" w:type="dxa"/>
          </w:tblCellMar>
        </w:tblPrEx>
        <w:trPr>
          <w:trHeight w:val="294" w:hRule="atLeast"/>
          <w:tblCellSpacing w:w="0" w:type="dxa"/>
        </w:trPr>
        <w:tc>
          <w:tcPr>
            <w:tcW w:w="1024" w:type="dxa"/>
            <w:vMerge w:val="continue"/>
            <w:tcBorders>
              <w:top w:val="single" w:color="000000" w:sz="4" w:space="0"/>
              <w:left w:val="single" w:color="000000" w:sz="4" w:space="0"/>
              <w:bottom w:val="single" w:color="000000" w:sz="4" w:space="0"/>
              <w:right w:val="single" w:color="000000" w:sz="4" w:space="0"/>
            </w:tcBorders>
            <w:noWrap/>
            <w:vAlign w:val="center"/>
          </w:tcPr>
          <w:p w14:paraId="2EB408B7">
            <w:pPr>
              <w:rPr>
                <w:rFonts w:hint="eastAsia" w:asciiTheme="minorEastAsia" w:hAnsiTheme="minorEastAsia" w:eastAsiaTheme="minorEastAsia" w:cstheme="minorEastAsia"/>
                <w:color w:val="auto"/>
                <w:sz w:val="24"/>
                <w:highlight w:val="none"/>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608456D9">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分项服务名称</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33D2F9F">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交付期</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312F873">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分项单位</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742117D3">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3C9383EB">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w:t>
            </w:r>
          </w:p>
          <w:p w14:paraId="53846EB9">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单价</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7939797B">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w:t>
            </w:r>
          </w:p>
          <w:p w14:paraId="4C4F96B4">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w:t>
            </w:r>
          </w:p>
        </w:tc>
      </w:tr>
      <w:tr w14:paraId="1C327BE3">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0E9EE93B">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40250320">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2FEB8A2">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A0FADA3">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1942BBD7">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092871C0">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0026B72E">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FE0BEF2">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056F7BFC">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65B219B">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70048800">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30EA8ED">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43EC4A8B">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3772F1B4">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5F228C2F">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DCCC86E">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5CF18362">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488FC9A">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874609D">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7AF510A">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0F74B15F">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13C82DD6">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7785306A">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82060A8">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354B9989">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06B714A8">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3DD7E3CA">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D4CE148">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44D7F3CD">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566CE730">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521C64AC">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3DCEFB3">
        <w:tblPrEx>
          <w:tblCellMar>
            <w:top w:w="0" w:type="dxa"/>
            <w:left w:w="108" w:type="dxa"/>
            <w:bottom w:w="0" w:type="dxa"/>
            <w:right w:w="108" w:type="dxa"/>
          </w:tblCellMar>
        </w:tblPrEx>
        <w:trPr>
          <w:trHeight w:val="991" w:hRule="atLeast"/>
          <w:tblCellSpacing w:w="0" w:type="dxa"/>
        </w:trPr>
        <w:tc>
          <w:tcPr>
            <w:tcW w:w="7595" w:type="dxa"/>
            <w:gridSpan w:val="6"/>
            <w:tcBorders>
              <w:top w:val="single" w:color="000000" w:sz="4" w:space="0"/>
              <w:left w:val="single" w:color="000000" w:sz="4" w:space="0"/>
              <w:bottom w:val="single" w:color="000000" w:sz="4" w:space="0"/>
              <w:right w:val="single" w:color="000000" w:sz="4" w:space="0"/>
            </w:tcBorders>
            <w:noWrap/>
            <w:vAlign w:val="center"/>
          </w:tcPr>
          <w:p w14:paraId="7E5D7BD3">
            <w:pPr>
              <w:pStyle w:val="44"/>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投标总报价（人民币：元）</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4019517E">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1793C019">
      <w:pPr>
        <w:pStyle w:val="44"/>
        <w:spacing w:beforeAutospacing="0" w:afterAutospacing="0" w:line="0" w:lineRule="atLeast"/>
        <w:ind w:right="180" w:firstLine="360"/>
        <w:jc w:val="right"/>
        <w:rPr>
          <w:rFonts w:hint="eastAsia" w:asciiTheme="minorEastAsia" w:hAnsiTheme="minorEastAsia" w:eastAsiaTheme="minorEastAsia" w:cstheme="minorEastAsia"/>
          <w:color w:val="auto"/>
          <w:highlight w:val="none"/>
          <w:lang w:val="en-US" w:eastAsia="zh-CN"/>
        </w:rPr>
      </w:pPr>
    </w:p>
    <w:p w14:paraId="2B0AD10F">
      <w:pPr>
        <w:pStyle w:val="44"/>
        <w:spacing w:beforeAutospacing="0" w:afterAutospacing="0" w:line="0" w:lineRule="atLeast"/>
        <w:ind w:right="180" w:firstLine="3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企业名称（加盖CA电子公章）：</w:t>
      </w:r>
    </w:p>
    <w:p w14:paraId="1DAA80CB">
      <w:pPr>
        <w:pStyle w:val="44"/>
        <w:spacing w:beforeAutospacing="0" w:afterAutospacing="0" w:line="0" w:lineRule="atLeast"/>
        <w:ind w:right="480" w:firstLine="60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325FCE23">
      <w:pPr>
        <w:spacing w:line="500" w:lineRule="exact"/>
        <w:rPr>
          <w:rFonts w:hint="eastAsia" w:asciiTheme="minorEastAsia" w:hAnsiTheme="minorEastAsia" w:eastAsiaTheme="minorEastAsia" w:cstheme="minorEastAsia"/>
          <w:b/>
          <w:color w:val="auto"/>
          <w:sz w:val="36"/>
          <w:szCs w:val="36"/>
          <w:highlight w:val="none"/>
        </w:rPr>
      </w:pPr>
    </w:p>
    <w:p w14:paraId="2EB6837C">
      <w:pPr>
        <w:spacing w:line="500" w:lineRule="exact"/>
        <w:rPr>
          <w:rFonts w:hint="eastAsia" w:asciiTheme="minorEastAsia" w:hAnsiTheme="minorEastAsia" w:eastAsiaTheme="minorEastAsia" w:cstheme="minorEastAsia"/>
          <w:b/>
          <w:color w:val="auto"/>
          <w:sz w:val="36"/>
          <w:szCs w:val="36"/>
          <w:highlight w:val="none"/>
        </w:rPr>
      </w:pPr>
    </w:p>
    <w:p w14:paraId="28553777">
      <w:pPr>
        <w:spacing w:line="500" w:lineRule="exact"/>
        <w:rPr>
          <w:rFonts w:hint="eastAsia" w:asciiTheme="minorEastAsia" w:hAnsiTheme="minorEastAsia" w:eastAsiaTheme="minorEastAsia" w:cstheme="minorEastAsia"/>
          <w:b/>
          <w:color w:val="auto"/>
          <w:sz w:val="36"/>
          <w:szCs w:val="36"/>
          <w:highlight w:val="none"/>
        </w:rPr>
      </w:pPr>
    </w:p>
    <w:p w14:paraId="7BC26DDF">
      <w:pPr>
        <w:spacing w:line="500" w:lineRule="exact"/>
        <w:rPr>
          <w:rFonts w:hint="eastAsia" w:asciiTheme="minorEastAsia" w:hAnsiTheme="minorEastAsia" w:eastAsiaTheme="minorEastAsia" w:cstheme="minorEastAsia"/>
          <w:b/>
          <w:color w:val="auto"/>
          <w:sz w:val="36"/>
          <w:szCs w:val="36"/>
          <w:highlight w:val="none"/>
        </w:rPr>
      </w:pPr>
    </w:p>
    <w:p w14:paraId="560A6177">
      <w:pPr>
        <w:spacing w:line="500" w:lineRule="exact"/>
        <w:rPr>
          <w:rFonts w:hint="eastAsia" w:asciiTheme="minorEastAsia" w:hAnsiTheme="minorEastAsia" w:eastAsiaTheme="minorEastAsia" w:cstheme="minorEastAsia"/>
          <w:b/>
          <w:color w:val="auto"/>
          <w:sz w:val="36"/>
          <w:szCs w:val="36"/>
          <w:highlight w:val="none"/>
        </w:rPr>
      </w:pPr>
    </w:p>
    <w:p w14:paraId="39D63907">
      <w:pPr>
        <w:spacing w:line="500" w:lineRule="exact"/>
        <w:rPr>
          <w:rFonts w:hint="eastAsia" w:asciiTheme="minorEastAsia" w:hAnsiTheme="minorEastAsia" w:eastAsiaTheme="minorEastAsia" w:cstheme="minorEastAsia"/>
          <w:b/>
          <w:color w:val="auto"/>
          <w:sz w:val="36"/>
          <w:szCs w:val="36"/>
          <w:highlight w:val="none"/>
        </w:rPr>
      </w:pPr>
    </w:p>
    <w:p w14:paraId="56434331">
      <w:pPr>
        <w:pStyle w:val="49"/>
        <w:rPr>
          <w:rFonts w:hint="eastAsia" w:asciiTheme="minorEastAsia" w:hAnsiTheme="minorEastAsia" w:eastAsiaTheme="minorEastAsia" w:cstheme="minorEastAsia"/>
          <w:b/>
          <w:color w:val="auto"/>
          <w:sz w:val="36"/>
          <w:szCs w:val="36"/>
          <w:highlight w:val="none"/>
        </w:rPr>
      </w:pPr>
    </w:p>
    <w:p w14:paraId="311A0C99">
      <w:pPr>
        <w:pStyle w:val="12"/>
        <w:rPr>
          <w:rFonts w:hint="eastAsia" w:asciiTheme="minorEastAsia" w:hAnsiTheme="minorEastAsia" w:eastAsiaTheme="minorEastAsia" w:cstheme="minorEastAsia"/>
          <w:b/>
          <w:color w:val="auto"/>
          <w:sz w:val="36"/>
          <w:szCs w:val="36"/>
          <w:highlight w:val="none"/>
        </w:rPr>
      </w:pPr>
    </w:p>
    <w:p w14:paraId="2E5896DB">
      <w:pPr>
        <w:pStyle w:val="12"/>
        <w:rPr>
          <w:rFonts w:hint="eastAsia" w:asciiTheme="minorEastAsia" w:hAnsiTheme="minorEastAsia" w:eastAsiaTheme="minorEastAsia" w:cstheme="minorEastAsia"/>
          <w:b/>
          <w:color w:val="auto"/>
          <w:sz w:val="36"/>
          <w:szCs w:val="36"/>
          <w:highlight w:val="none"/>
        </w:rPr>
      </w:pPr>
    </w:p>
    <w:p w14:paraId="46D6F6E4">
      <w:pPr>
        <w:pStyle w:val="12"/>
        <w:rPr>
          <w:rFonts w:hint="eastAsia" w:asciiTheme="minorEastAsia" w:hAnsiTheme="minorEastAsia" w:eastAsiaTheme="minorEastAsia" w:cstheme="minorEastAsia"/>
          <w:b/>
          <w:color w:val="auto"/>
          <w:sz w:val="36"/>
          <w:szCs w:val="36"/>
          <w:highlight w:val="none"/>
        </w:rPr>
      </w:pPr>
    </w:p>
    <w:p w14:paraId="6C9C8AF0">
      <w:pPr>
        <w:rPr>
          <w:rFonts w:hint="eastAsia" w:asciiTheme="minorEastAsia" w:hAnsiTheme="minorEastAsia" w:eastAsiaTheme="minorEastAsia" w:cstheme="minorEastAsia"/>
          <w:b/>
          <w:color w:val="auto"/>
          <w:sz w:val="36"/>
          <w:szCs w:val="36"/>
          <w:highlight w:val="none"/>
        </w:rPr>
      </w:pPr>
      <w:bookmarkStart w:id="155" w:name="_Toc462564146"/>
      <w:r>
        <w:rPr>
          <w:rFonts w:hint="eastAsia" w:asciiTheme="minorEastAsia" w:hAnsiTheme="minorEastAsia" w:eastAsiaTheme="minorEastAsia" w:cstheme="minorEastAsia"/>
          <w:b/>
          <w:color w:val="auto"/>
          <w:sz w:val="36"/>
          <w:szCs w:val="36"/>
          <w:highlight w:val="none"/>
        </w:rPr>
        <w:br w:type="page"/>
      </w:r>
    </w:p>
    <w:p w14:paraId="2F2C4B03">
      <w:pPr>
        <w:spacing w:before="50" w:after="50"/>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6"/>
          <w:szCs w:val="36"/>
          <w:highlight w:val="none"/>
        </w:rPr>
        <w:t>十三、技术参数响应及偏离表</w:t>
      </w:r>
    </w:p>
    <w:p w14:paraId="4469E117">
      <w:pPr>
        <w:jc w:val="center"/>
        <w:rPr>
          <w:rFonts w:hint="eastAsia" w:asciiTheme="minorEastAsia" w:hAnsiTheme="minorEastAsia" w:eastAsiaTheme="minorEastAsia" w:cstheme="minorEastAsia"/>
          <w:color w:val="auto"/>
          <w:sz w:val="24"/>
          <w:highlight w:val="none"/>
        </w:rPr>
      </w:pPr>
    </w:p>
    <w:tbl>
      <w:tblPr>
        <w:tblStyle w:val="50"/>
        <w:tblW w:w="4998" w:type="pct"/>
        <w:tblCellSpacing w:w="0" w:type="dxa"/>
        <w:tblInd w:w="0" w:type="dxa"/>
        <w:tblLayout w:type="autofit"/>
        <w:tblCellMar>
          <w:top w:w="0" w:type="dxa"/>
          <w:left w:w="108" w:type="dxa"/>
          <w:bottom w:w="0" w:type="dxa"/>
          <w:right w:w="108" w:type="dxa"/>
        </w:tblCellMar>
      </w:tblPr>
      <w:tblGrid>
        <w:gridCol w:w="716"/>
        <w:gridCol w:w="2998"/>
        <w:gridCol w:w="2541"/>
        <w:gridCol w:w="2156"/>
        <w:gridCol w:w="893"/>
      </w:tblGrid>
      <w:tr w14:paraId="0F064CBC">
        <w:tblPrEx>
          <w:tblCellMar>
            <w:top w:w="0" w:type="dxa"/>
            <w:left w:w="108" w:type="dxa"/>
            <w:bottom w:w="0" w:type="dxa"/>
            <w:right w:w="108" w:type="dxa"/>
          </w:tblCellMar>
        </w:tblPrEx>
        <w:trPr>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DE20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919E">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57A6">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9A03B">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0BC8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57D38651">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44FECF73">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39FD6">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E290">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E5CE0">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062F0">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73E5">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6A1EC51A">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3A380">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8A186">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6BD1">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9FC1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D0C5">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235E138">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0EE2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FAB91">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1FD6">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F7C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ED8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53ED651">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FB418">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3CE8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89408">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9784F">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B56E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2A70533">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CEFF">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6617">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5C60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566E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A497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69483277">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66D7">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3A78D">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137D">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CE24D">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F8EEC">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F67478C">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889EE">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722D7">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8F0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2167">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7A53C">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EDB02A3">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3109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AF79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5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E1D3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D561E">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66F4F">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646F272C">
      <w:pPr>
        <w:pStyle w:val="44"/>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54B1E4BB">
      <w:pPr>
        <w:spacing w:line="360" w:lineRule="auto"/>
        <w:ind w:left="480"/>
        <w:rPr>
          <w:rFonts w:hint="eastAsia" w:asciiTheme="minorEastAsia" w:hAnsiTheme="minorEastAsia" w:eastAsiaTheme="minorEastAsia" w:cstheme="minorEastAsia"/>
          <w:bCs/>
          <w:color w:val="auto"/>
          <w:sz w:val="24"/>
          <w:highlight w:val="none"/>
        </w:rPr>
      </w:pPr>
    </w:p>
    <w:p w14:paraId="7A1275A7">
      <w:pPr>
        <w:spacing w:before="50" w:after="50"/>
        <w:rPr>
          <w:rFonts w:hint="eastAsia" w:asciiTheme="minorEastAsia" w:hAnsiTheme="minorEastAsia" w:eastAsiaTheme="minorEastAsia" w:cstheme="minorEastAsia"/>
          <w:color w:val="auto"/>
          <w:sz w:val="32"/>
          <w:szCs w:val="32"/>
          <w:highlight w:val="none"/>
        </w:rPr>
      </w:pPr>
    </w:p>
    <w:p w14:paraId="0EF111D1">
      <w:pPr>
        <w:pStyle w:val="48"/>
        <w:ind w:firstLine="640"/>
        <w:rPr>
          <w:rFonts w:hint="eastAsia" w:asciiTheme="minorEastAsia" w:hAnsiTheme="minorEastAsia" w:eastAsiaTheme="minorEastAsia" w:cstheme="minorEastAsia"/>
          <w:color w:val="auto"/>
          <w:sz w:val="32"/>
          <w:szCs w:val="32"/>
          <w:highlight w:val="none"/>
        </w:rPr>
      </w:pPr>
    </w:p>
    <w:p w14:paraId="3FFDD358">
      <w:pPr>
        <w:pStyle w:val="36"/>
        <w:rPr>
          <w:rFonts w:hint="eastAsia" w:asciiTheme="minorEastAsia" w:hAnsiTheme="minorEastAsia" w:eastAsiaTheme="minorEastAsia" w:cstheme="minorEastAsia"/>
          <w:color w:val="auto"/>
          <w:highlight w:val="none"/>
        </w:rPr>
      </w:pPr>
    </w:p>
    <w:p w14:paraId="0594B403">
      <w:pPr>
        <w:rPr>
          <w:rFonts w:hint="eastAsia" w:asciiTheme="minorEastAsia" w:hAnsiTheme="minorEastAsia" w:eastAsiaTheme="minorEastAsia" w:cstheme="minorEastAsia"/>
          <w:color w:val="auto"/>
          <w:highlight w:val="none"/>
        </w:rPr>
      </w:pPr>
    </w:p>
    <w:p w14:paraId="402A8AEF">
      <w:pPr>
        <w:rPr>
          <w:rFonts w:hint="eastAsia" w:asciiTheme="minorEastAsia" w:hAnsiTheme="minorEastAsia" w:eastAsiaTheme="minorEastAsia" w:cstheme="minorEastAsia"/>
          <w:color w:val="auto"/>
          <w:highlight w:val="none"/>
        </w:rPr>
      </w:pPr>
    </w:p>
    <w:p w14:paraId="6B06BBE2">
      <w:pPr>
        <w:rPr>
          <w:rFonts w:hint="eastAsia" w:asciiTheme="minorEastAsia" w:hAnsiTheme="minorEastAsia" w:eastAsiaTheme="minorEastAsia" w:cstheme="minorEastAsia"/>
          <w:color w:val="auto"/>
          <w:highlight w:val="none"/>
        </w:rPr>
      </w:pPr>
    </w:p>
    <w:p w14:paraId="30FEB50B">
      <w:pPr>
        <w:rPr>
          <w:rFonts w:hint="eastAsia" w:asciiTheme="minorEastAsia" w:hAnsiTheme="minorEastAsia" w:eastAsiaTheme="minorEastAsia" w:cstheme="minorEastAsia"/>
          <w:color w:val="auto"/>
          <w:highlight w:val="none"/>
        </w:rPr>
      </w:pPr>
    </w:p>
    <w:p w14:paraId="00A844AA">
      <w:pPr>
        <w:rPr>
          <w:rFonts w:hint="eastAsia" w:asciiTheme="minorEastAsia" w:hAnsiTheme="minorEastAsia" w:eastAsiaTheme="minorEastAsia" w:cstheme="minorEastAsia"/>
          <w:color w:val="auto"/>
          <w:highlight w:val="none"/>
        </w:rPr>
      </w:pPr>
    </w:p>
    <w:p w14:paraId="203A47A0">
      <w:pPr>
        <w:rPr>
          <w:rFonts w:hint="eastAsia" w:asciiTheme="minorEastAsia" w:hAnsiTheme="minorEastAsia" w:eastAsiaTheme="minorEastAsia" w:cstheme="minorEastAsia"/>
          <w:color w:val="auto"/>
          <w:highlight w:val="none"/>
        </w:rPr>
      </w:pPr>
    </w:p>
    <w:p w14:paraId="73539B73">
      <w:pPr>
        <w:rPr>
          <w:rFonts w:hint="eastAsia" w:asciiTheme="minorEastAsia" w:hAnsiTheme="minorEastAsia" w:eastAsiaTheme="minorEastAsia" w:cstheme="minorEastAsia"/>
          <w:color w:val="auto"/>
          <w:highlight w:val="none"/>
        </w:rPr>
      </w:pPr>
    </w:p>
    <w:p w14:paraId="0AA01C71">
      <w:pPr>
        <w:rPr>
          <w:rFonts w:hint="eastAsia" w:asciiTheme="minorEastAsia" w:hAnsiTheme="minorEastAsia" w:eastAsiaTheme="minorEastAsia" w:cstheme="minorEastAsia"/>
          <w:color w:val="auto"/>
          <w:highlight w:val="none"/>
        </w:rPr>
      </w:pPr>
    </w:p>
    <w:p w14:paraId="252B2A0C">
      <w:pPr>
        <w:rPr>
          <w:rFonts w:hint="eastAsia" w:asciiTheme="minorEastAsia" w:hAnsiTheme="minorEastAsia" w:eastAsiaTheme="minorEastAsia" w:cstheme="minorEastAsia"/>
          <w:color w:val="auto"/>
          <w:highlight w:val="none"/>
        </w:rPr>
      </w:pPr>
    </w:p>
    <w:p w14:paraId="003BB2F8">
      <w:pPr>
        <w:rPr>
          <w:rFonts w:hint="eastAsia" w:asciiTheme="minorEastAsia" w:hAnsiTheme="minorEastAsia" w:eastAsiaTheme="minorEastAsia" w:cstheme="minorEastAsia"/>
          <w:color w:val="auto"/>
          <w:highlight w:val="none"/>
        </w:rPr>
      </w:pPr>
    </w:p>
    <w:p w14:paraId="6660974A">
      <w:pPr>
        <w:rPr>
          <w:rFonts w:hint="eastAsia" w:asciiTheme="minorEastAsia" w:hAnsiTheme="minorEastAsia" w:eastAsiaTheme="minorEastAsia" w:cstheme="minorEastAsia"/>
          <w:color w:val="auto"/>
          <w:highlight w:val="none"/>
        </w:rPr>
      </w:pPr>
    </w:p>
    <w:p w14:paraId="7A41B64B">
      <w:pPr>
        <w:rPr>
          <w:rFonts w:hint="eastAsia" w:asciiTheme="minorEastAsia" w:hAnsiTheme="minorEastAsia" w:eastAsiaTheme="minorEastAsia" w:cstheme="minorEastAsia"/>
          <w:color w:val="auto"/>
          <w:highlight w:val="none"/>
        </w:rPr>
      </w:pPr>
    </w:p>
    <w:p w14:paraId="74E0A4E9">
      <w:pPr>
        <w:rPr>
          <w:rFonts w:hint="eastAsia" w:asciiTheme="minorEastAsia" w:hAnsiTheme="minorEastAsia" w:eastAsiaTheme="minorEastAsia" w:cstheme="minorEastAsia"/>
          <w:color w:val="auto"/>
          <w:highlight w:val="none"/>
        </w:rPr>
      </w:pPr>
    </w:p>
    <w:p w14:paraId="35B0F82C">
      <w:pPr>
        <w:rPr>
          <w:rFonts w:hint="eastAsia" w:asciiTheme="minorEastAsia" w:hAnsiTheme="minorEastAsia" w:eastAsiaTheme="minorEastAsia" w:cstheme="minorEastAsia"/>
          <w:color w:val="auto"/>
          <w:highlight w:val="none"/>
        </w:rPr>
      </w:pPr>
    </w:p>
    <w:p w14:paraId="75B179A5">
      <w:pPr>
        <w:rPr>
          <w:rFonts w:hint="eastAsia" w:asciiTheme="minorEastAsia" w:hAnsiTheme="minorEastAsia" w:eastAsiaTheme="minorEastAsia" w:cstheme="minorEastAsia"/>
          <w:color w:val="auto"/>
          <w:highlight w:val="none"/>
        </w:rPr>
      </w:pPr>
    </w:p>
    <w:p w14:paraId="1641DD87">
      <w:pPr>
        <w:rPr>
          <w:rFonts w:hint="eastAsia" w:asciiTheme="minorEastAsia" w:hAnsiTheme="minorEastAsia" w:eastAsiaTheme="minorEastAsia" w:cstheme="minorEastAsia"/>
          <w:color w:val="auto"/>
          <w:highlight w:val="none"/>
        </w:rPr>
      </w:pPr>
    </w:p>
    <w:p w14:paraId="55AB2E14">
      <w:pPr>
        <w:spacing w:before="50" w:after="50"/>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十四、商务要求响应及偏离表  </w:t>
      </w:r>
    </w:p>
    <w:p w14:paraId="27C1348F">
      <w:pPr>
        <w:spacing w:before="50" w:after="5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36"/>
          <w:szCs w:val="36"/>
          <w:highlight w:val="none"/>
        </w:rPr>
        <w:t xml:space="preserve"> </w:t>
      </w:r>
    </w:p>
    <w:tbl>
      <w:tblPr>
        <w:tblStyle w:val="50"/>
        <w:tblW w:w="4998" w:type="pct"/>
        <w:tblCellSpacing w:w="0" w:type="dxa"/>
        <w:tblInd w:w="0" w:type="dxa"/>
        <w:tblLayout w:type="autofit"/>
        <w:tblCellMar>
          <w:top w:w="0" w:type="dxa"/>
          <w:left w:w="108" w:type="dxa"/>
          <w:bottom w:w="0" w:type="dxa"/>
          <w:right w:w="108" w:type="dxa"/>
        </w:tblCellMar>
      </w:tblPr>
      <w:tblGrid>
        <w:gridCol w:w="716"/>
        <w:gridCol w:w="2303"/>
        <w:gridCol w:w="2690"/>
        <w:gridCol w:w="2156"/>
        <w:gridCol w:w="1439"/>
      </w:tblGrid>
      <w:tr w14:paraId="17D3DD90">
        <w:tblPrEx>
          <w:tblCellMar>
            <w:top w:w="0" w:type="dxa"/>
            <w:left w:w="108" w:type="dxa"/>
            <w:bottom w:w="0" w:type="dxa"/>
            <w:right w:w="108" w:type="dxa"/>
          </w:tblCellMar>
        </w:tblPrEx>
        <w:trPr>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C06D">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BCFA">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BB65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8C3A">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1FE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1BCC4C65">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51EDDA95">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181E8">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BEB37">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DC87C">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66946">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64CC">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BB3687D">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547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CF5CE">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64511">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D7678">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B204">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0EF25616">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C5995">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24E1">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8AFA3">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CEB0">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DCD8">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41FEB24">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691A7">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8B3A">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ABAB">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7EEA">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0ED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D97036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2D036">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47AB8">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1DB00">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FE5DB">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DDB3B">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7F3018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F8405">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FB7E5">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7596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A12A">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996BE">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DF266AD">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A9DB">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77EC">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84AEC">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DD23D">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A7C86">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EE8EB79">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E030">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56F5">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AD7C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B53A">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C1129">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5E206C33">
      <w:pPr>
        <w:pStyle w:val="44"/>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3E1645E4">
      <w:pPr>
        <w:spacing w:line="500" w:lineRule="exact"/>
        <w:ind w:firstLine="723"/>
        <w:jc w:val="center"/>
        <w:rPr>
          <w:rFonts w:hint="eastAsia" w:asciiTheme="minorEastAsia" w:hAnsiTheme="minorEastAsia" w:eastAsiaTheme="minorEastAsia" w:cstheme="minorEastAsia"/>
          <w:b/>
          <w:color w:val="auto"/>
          <w:sz w:val="36"/>
          <w:szCs w:val="36"/>
          <w:highlight w:val="none"/>
        </w:rPr>
      </w:pPr>
    </w:p>
    <w:p w14:paraId="5ED1A7B8">
      <w:pPr>
        <w:spacing w:line="500" w:lineRule="exact"/>
        <w:ind w:firstLine="723"/>
        <w:jc w:val="center"/>
        <w:rPr>
          <w:rFonts w:hint="eastAsia" w:asciiTheme="minorEastAsia" w:hAnsiTheme="minorEastAsia" w:eastAsiaTheme="minorEastAsia" w:cstheme="minorEastAsia"/>
          <w:b/>
          <w:color w:val="auto"/>
          <w:sz w:val="36"/>
          <w:szCs w:val="36"/>
          <w:highlight w:val="none"/>
        </w:rPr>
      </w:pPr>
    </w:p>
    <w:p w14:paraId="2BA21EAA">
      <w:pPr>
        <w:pStyle w:val="48"/>
        <w:ind w:firstLine="723"/>
        <w:rPr>
          <w:rFonts w:hint="eastAsia" w:asciiTheme="minorEastAsia" w:hAnsiTheme="minorEastAsia" w:eastAsiaTheme="minorEastAsia" w:cstheme="minorEastAsia"/>
          <w:b/>
          <w:color w:val="auto"/>
          <w:sz w:val="36"/>
          <w:szCs w:val="36"/>
          <w:highlight w:val="none"/>
        </w:rPr>
      </w:pPr>
    </w:p>
    <w:p w14:paraId="5891E5E7">
      <w:pPr>
        <w:pStyle w:val="36"/>
        <w:rPr>
          <w:rFonts w:hint="eastAsia" w:asciiTheme="minorEastAsia" w:hAnsiTheme="minorEastAsia" w:eastAsiaTheme="minorEastAsia" w:cstheme="minorEastAsia"/>
          <w:b/>
          <w:color w:val="auto"/>
          <w:sz w:val="36"/>
          <w:szCs w:val="36"/>
          <w:highlight w:val="none"/>
        </w:rPr>
      </w:pPr>
    </w:p>
    <w:p w14:paraId="42A451AF">
      <w:pPr>
        <w:rPr>
          <w:rFonts w:hint="eastAsia" w:asciiTheme="minorEastAsia" w:hAnsiTheme="minorEastAsia" w:eastAsiaTheme="minorEastAsia" w:cstheme="minorEastAsia"/>
          <w:b/>
          <w:color w:val="auto"/>
          <w:sz w:val="36"/>
          <w:szCs w:val="36"/>
          <w:highlight w:val="none"/>
        </w:rPr>
      </w:pPr>
    </w:p>
    <w:p w14:paraId="4C80A417">
      <w:pPr>
        <w:pStyle w:val="48"/>
        <w:ind w:firstLine="723"/>
        <w:rPr>
          <w:rFonts w:hint="eastAsia" w:asciiTheme="minorEastAsia" w:hAnsiTheme="minorEastAsia" w:eastAsiaTheme="minorEastAsia" w:cstheme="minorEastAsia"/>
          <w:b/>
          <w:color w:val="auto"/>
          <w:sz w:val="36"/>
          <w:szCs w:val="36"/>
          <w:highlight w:val="none"/>
        </w:rPr>
      </w:pPr>
    </w:p>
    <w:p w14:paraId="47A9F660">
      <w:pPr>
        <w:pStyle w:val="36"/>
        <w:rPr>
          <w:rFonts w:hint="eastAsia" w:asciiTheme="minorEastAsia" w:hAnsiTheme="minorEastAsia" w:eastAsiaTheme="minorEastAsia" w:cstheme="minorEastAsia"/>
          <w:b/>
          <w:color w:val="auto"/>
          <w:sz w:val="36"/>
          <w:szCs w:val="36"/>
          <w:highlight w:val="none"/>
        </w:rPr>
      </w:pPr>
    </w:p>
    <w:p w14:paraId="25A6AA2F">
      <w:pPr>
        <w:rPr>
          <w:rFonts w:hint="eastAsia" w:asciiTheme="minorEastAsia" w:hAnsiTheme="minorEastAsia" w:eastAsiaTheme="minorEastAsia" w:cstheme="minorEastAsia"/>
          <w:b/>
          <w:color w:val="auto"/>
          <w:sz w:val="36"/>
          <w:szCs w:val="36"/>
          <w:highlight w:val="none"/>
        </w:rPr>
      </w:pPr>
    </w:p>
    <w:p w14:paraId="09E76187">
      <w:pPr>
        <w:rPr>
          <w:rFonts w:hint="eastAsia" w:asciiTheme="minorEastAsia" w:hAnsiTheme="minorEastAsia" w:eastAsiaTheme="minorEastAsia" w:cstheme="minorEastAsia"/>
          <w:b/>
          <w:color w:val="auto"/>
          <w:sz w:val="36"/>
          <w:szCs w:val="36"/>
          <w:highlight w:val="none"/>
        </w:rPr>
      </w:pPr>
    </w:p>
    <w:p w14:paraId="1C395112">
      <w:pPr>
        <w:rPr>
          <w:rFonts w:hint="eastAsia" w:asciiTheme="minorEastAsia" w:hAnsiTheme="minorEastAsia" w:eastAsiaTheme="minorEastAsia" w:cstheme="minorEastAsia"/>
          <w:b/>
          <w:bCs/>
          <w:color w:val="auto"/>
          <w:sz w:val="36"/>
          <w:szCs w:val="36"/>
          <w:highlight w:val="none"/>
        </w:rPr>
      </w:pPr>
    </w:p>
    <w:p w14:paraId="7A198B72">
      <w:pPr>
        <w:rPr>
          <w:rFonts w:hint="eastAsia" w:asciiTheme="minorEastAsia" w:hAnsiTheme="minorEastAsia" w:eastAsiaTheme="minorEastAsia" w:cstheme="minorEastAsia"/>
          <w:b/>
          <w:bCs/>
          <w:color w:val="auto"/>
          <w:sz w:val="36"/>
          <w:szCs w:val="36"/>
          <w:highlight w:val="none"/>
        </w:rPr>
      </w:pPr>
    </w:p>
    <w:p w14:paraId="2C59A505">
      <w:pPr>
        <w:rPr>
          <w:rFonts w:hint="eastAsia" w:asciiTheme="minorEastAsia" w:hAnsiTheme="minorEastAsia" w:eastAsiaTheme="minorEastAsia" w:cstheme="minorEastAsia"/>
          <w:b/>
          <w:bCs/>
          <w:color w:val="auto"/>
          <w:sz w:val="36"/>
          <w:szCs w:val="36"/>
          <w:highlight w:val="none"/>
        </w:rPr>
      </w:pPr>
    </w:p>
    <w:bookmarkEnd w:id="38"/>
    <w:bookmarkEnd w:id="39"/>
    <w:bookmarkEnd w:id="40"/>
    <w:bookmarkEnd w:id="147"/>
    <w:bookmarkEnd w:id="148"/>
    <w:bookmarkEnd w:id="149"/>
    <w:bookmarkEnd w:id="150"/>
    <w:bookmarkEnd w:id="151"/>
    <w:bookmarkEnd w:id="152"/>
    <w:bookmarkEnd w:id="153"/>
    <w:bookmarkEnd w:id="154"/>
    <w:bookmarkEnd w:id="155"/>
    <w:p w14:paraId="6848F6EA">
      <w:pPr>
        <w:rPr>
          <w:rFonts w:hint="eastAsia" w:asciiTheme="minorEastAsia" w:hAnsiTheme="minorEastAsia" w:eastAsiaTheme="minorEastAsia" w:cstheme="minorEastAsia"/>
          <w:b/>
          <w:bCs/>
          <w:color w:val="auto"/>
          <w:sz w:val="36"/>
          <w:szCs w:val="36"/>
          <w:highlight w:val="none"/>
        </w:rPr>
      </w:pPr>
    </w:p>
    <w:p w14:paraId="71345723">
      <w:pPr>
        <w:pStyle w:val="3"/>
        <w:keepNext w:val="0"/>
        <w:widowControl/>
        <w:jc w:val="center"/>
        <w:rPr>
          <w:rFonts w:hint="eastAsia" w:asciiTheme="minorEastAsia" w:hAnsiTheme="minorEastAsia" w:eastAsiaTheme="minorEastAsia" w:cstheme="minorEastAsia"/>
          <w:b/>
          <w:bCs/>
          <w:iCs/>
          <w:color w:val="auto"/>
          <w:sz w:val="32"/>
          <w:szCs w:val="32"/>
          <w:highlight w:val="none"/>
        </w:rPr>
      </w:pPr>
      <w:bookmarkStart w:id="156" w:name="_Toc2880"/>
      <w:r>
        <w:rPr>
          <w:rFonts w:hint="eastAsia" w:asciiTheme="minorEastAsia" w:hAnsiTheme="minorEastAsia" w:eastAsiaTheme="minorEastAsia" w:cstheme="minorEastAsia"/>
          <w:b/>
          <w:bCs/>
          <w:iCs/>
          <w:color w:val="auto"/>
          <w:sz w:val="32"/>
          <w:szCs w:val="32"/>
          <w:highlight w:val="none"/>
        </w:rPr>
        <w:t>十五、开标一览表</w:t>
      </w:r>
      <w:bookmarkEnd w:id="156"/>
    </w:p>
    <w:p w14:paraId="2DCA52BE">
      <w:pPr>
        <w:pStyle w:val="4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项目编号：JSZC-320900-RHHH-G2026-0018</w:t>
      </w:r>
    </w:p>
    <w:p w14:paraId="43C5E98C">
      <w:pPr>
        <w:pStyle w:val="4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货币单位：人民币元</w:t>
      </w:r>
    </w:p>
    <w:tbl>
      <w:tblPr>
        <w:tblStyle w:val="50"/>
        <w:tblW w:w="918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2362"/>
        <w:gridCol w:w="2219"/>
        <w:gridCol w:w="4600"/>
      </w:tblGrid>
      <w:tr w14:paraId="4D87C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62" w:hRule="atLeast"/>
          <w:tblCellSpacing w:w="15" w:type="dxa"/>
        </w:trPr>
        <w:tc>
          <w:tcPr>
            <w:tcW w:w="2317" w:type="dxa"/>
            <w:shd w:val="clear" w:color="auto" w:fill="auto"/>
            <w:noWrap w:val="0"/>
            <w:vAlign w:val="center"/>
          </w:tcPr>
          <w:p w14:paraId="5FACB367">
            <w:pPr>
              <w:pStyle w:val="4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w:t>
            </w:r>
          </w:p>
        </w:tc>
        <w:tc>
          <w:tcPr>
            <w:tcW w:w="2189" w:type="dxa"/>
            <w:shd w:val="clear" w:color="auto" w:fill="auto"/>
            <w:noWrap w:val="0"/>
            <w:vAlign w:val="center"/>
          </w:tcPr>
          <w:p w14:paraId="0334FF6A">
            <w:pPr>
              <w:pStyle w:val="4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项目内容</w:t>
            </w:r>
          </w:p>
        </w:tc>
        <w:tc>
          <w:tcPr>
            <w:tcW w:w="4555" w:type="dxa"/>
            <w:shd w:val="clear" w:color="auto" w:fill="auto"/>
            <w:noWrap w:val="0"/>
            <w:vAlign w:val="center"/>
          </w:tcPr>
          <w:p w14:paraId="6A37523B">
            <w:pPr>
              <w:pStyle w:val="4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总价（小写）</w:t>
            </w:r>
          </w:p>
        </w:tc>
      </w:tr>
      <w:tr w14:paraId="2E90F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62" w:hRule="atLeast"/>
          <w:tblCellSpacing w:w="15" w:type="dxa"/>
        </w:trPr>
        <w:tc>
          <w:tcPr>
            <w:tcW w:w="2317" w:type="dxa"/>
            <w:shd w:val="clear" w:color="auto" w:fill="auto"/>
            <w:noWrap w:val="0"/>
            <w:vAlign w:val="center"/>
          </w:tcPr>
          <w:p w14:paraId="2F0B1E81">
            <w:pPr>
              <w:pStyle w:val="44"/>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滨海港直连工程规划研究项目</w:t>
            </w:r>
          </w:p>
        </w:tc>
        <w:tc>
          <w:tcPr>
            <w:tcW w:w="2189" w:type="dxa"/>
            <w:shd w:val="clear" w:color="auto" w:fill="auto"/>
            <w:noWrap w:val="0"/>
            <w:vAlign w:val="center"/>
          </w:tcPr>
          <w:p w14:paraId="739F5704">
            <w:pPr>
              <w:pStyle w:val="4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详见投标文件</w:t>
            </w:r>
          </w:p>
        </w:tc>
        <w:tc>
          <w:tcPr>
            <w:tcW w:w="4555" w:type="dxa"/>
            <w:shd w:val="clear" w:color="auto" w:fill="auto"/>
            <w:noWrap w:val="0"/>
            <w:vAlign w:val="center"/>
          </w:tcPr>
          <w:p w14:paraId="2301F900">
            <w:pPr>
              <w:pStyle w:val="4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s">
                  <w:drawing>
                    <wp:inline distT="0" distB="0" distL="0" distR="0">
                      <wp:extent cx="635" cy="0"/>
                      <wp:effectExtent l="0" t="4445" r="0" b="5080"/>
                      <wp:docPr id="7"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1"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ZTkKnOAAAA/wAAAA8AAAAAAAAA&#10;AQAgAAAAIgAAAGRycy9kb3ducmV2LnhtbFBLAQIUABQAAAAIAIdO4kAwGyupGwIAAEoEAAAOAAAA&#10;AAAAAAEAIAAAAB0BAABkcnMvZTJvRG9jLnhtbFBLBQYAAAAABgAGAFkBAACqBQAAAAA=&#10;">
                      <v:fill on="f" focussize="0,0"/>
                      <v:stroke color="#000000" joinstyle="miter"/>
                      <v:imagedata o:title=""/>
                      <o:lock v:ext="edit" aspectratio="t"/>
                      <w10:wrap type="none"/>
                      <w10:anchorlock/>
                    </v:rect>
                  </w:pict>
                </mc:Fallback>
              </mc:AlternateContent>
            </w:r>
            <w:r>
              <w:rPr>
                <w:rFonts w:hint="eastAsia" w:asciiTheme="minorEastAsia" w:hAnsiTheme="minorEastAsia" w:eastAsiaTheme="minorEastAsia" w:cstheme="minorEastAsia"/>
                <w:color w:val="auto"/>
                <w:highlight w:val="none"/>
              </w:rPr>
              <w:t>  元</w:t>
            </w:r>
          </w:p>
        </w:tc>
      </w:tr>
      <w:tr w14:paraId="14F65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62" w:hRule="atLeast"/>
          <w:tblCellSpacing w:w="15" w:type="dxa"/>
        </w:trPr>
        <w:tc>
          <w:tcPr>
            <w:tcW w:w="2317" w:type="dxa"/>
            <w:shd w:val="clear" w:color="auto" w:fill="auto"/>
            <w:noWrap w:val="0"/>
            <w:vAlign w:val="center"/>
          </w:tcPr>
          <w:p w14:paraId="545BDF34">
            <w:pPr>
              <w:pStyle w:val="4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总价（大写）：</w:t>
            </w:r>
          </w:p>
        </w:tc>
        <w:tc>
          <w:tcPr>
            <w:tcW w:w="6774" w:type="dxa"/>
            <w:gridSpan w:val="2"/>
            <w:shd w:val="clear" w:color="auto" w:fill="auto"/>
            <w:noWrap w:val="0"/>
            <w:vAlign w:val="center"/>
          </w:tcPr>
          <w:p w14:paraId="7356AA12">
            <w:pPr>
              <w:pStyle w:val="4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金额大写</w:t>
            </w:r>
          </w:p>
        </w:tc>
      </w:tr>
    </w:tbl>
    <w:p w14:paraId="2CB62602">
      <w:pPr>
        <w:pStyle w:val="4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投标人公章：                               （电子签章）</w:t>
      </w:r>
    </w:p>
    <w:p w14:paraId="3297EBE6">
      <w:pPr>
        <w:pBdr>
          <w:top w:val="none" w:color="000000" w:sz="0" w:space="0"/>
          <w:left w:val="none" w:color="000000" w:sz="0" w:space="0"/>
          <w:bottom w:val="none" w:color="000000" w:sz="0" w:space="0"/>
          <w:right w:val="none" w:color="000000" w:sz="0" w:space="0"/>
        </w:pBdr>
        <w:spacing w:before="240" w:after="240"/>
        <w:ind w:firstLine="643"/>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t> </w:t>
      </w:r>
    </w:p>
    <w:p w14:paraId="03C0ACF2">
      <w:pPr>
        <w:pStyle w:val="44"/>
        <w:rPr>
          <w:rFonts w:hint="eastAsia" w:asciiTheme="minorEastAsia" w:hAnsiTheme="minorEastAsia" w:eastAsiaTheme="minorEastAsia" w:cstheme="minorEastAsia"/>
          <w:color w:val="auto"/>
          <w:highlight w:val="none"/>
        </w:rPr>
      </w:pPr>
    </w:p>
    <w:p w14:paraId="72232B12">
      <w:pPr>
        <w:pStyle w:val="44"/>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A815A71">
      <w:pPr>
        <w:pStyle w:val="44"/>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highlight w:val="none"/>
        </w:rPr>
        <mc:AlternateContent>
          <mc:Choice Requires="wps">
            <w:drawing>
              <wp:inline distT="0" distB="0" distL="0" distR="0">
                <wp:extent cx="635" cy="0"/>
                <wp:effectExtent l="0" t="4445" r="0" b="5080"/>
                <wp:docPr id="8"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7"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ZTkKnOAAAA/wAAAA8AAAAAAAAA&#10;AQAgAAAAIgAAAGRycy9kb3ducmV2LnhtbFBLAQIUABQAAAAIAIdO4kDQwKQlGwIAAEoEAAAOAAAA&#10;AAAAAAEAIAAAAB0BAABkcnMvZTJvRG9jLnhtbFBLBQYAAAAABgAGAFkBAACqBQAAAAA=&#10;">
                <v:fill on="f" focussize="0,0"/>
                <v:stroke color="#000000" joinstyle="miter"/>
                <v:imagedata o:title=""/>
                <o:lock v:ext="edit" aspectratio="t"/>
                <w10:wrap type="none"/>
                <w10:anchorlock/>
              </v:rect>
            </w:pict>
          </mc:Fallback>
        </mc:AlternateContent>
      </w:r>
      <w:r>
        <w:rPr>
          <w:rFonts w:hint="eastAsia" w:asciiTheme="minorEastAsia" w:hAnsiTheme="minorEastAsia" w:eastAsiaTheme="minorEastAsia" w:cstheme="minorEastAsia"/>
          <w:color w:val="auto"/>
          <w:highlight w:val="none"/>
        </w:rPr>
        <w:t> 年</w:t>
      </w:r>
      <w:r>
        <w:rPr>
          <w:rFonts w:hint="eastAsia" w:asciiTheme="minorEastAsia" w:hAnsiTheme="minorEastAsia" w:eastAsiaTheme="minorEastAsia" w:cstheme="minorEastAsia"/>
          <w:color w:val="auto"/>
          <w:highlight w:val="none"/>
        </w:rPr>
        <mc:AlternateContent>
          <mc:Choice Requires="wps">
            <w:drawing>
              <wp:inline distT="0" distB="0" distL="0" distR="0">
                <wp:extent cx="635" cy="0"/>
                <wp:effectExtent l="0" t="4445" r="0" b="5080"/>
                <wp:docPr id="9"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8"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ZTkKnOAAAA/wAAAA8AAAAAAAAA&#10;AQAgAAAAIgAAAGRycy9kb3ducmV2LnhtbFBLAQIUABQAAAAIAIdO4kDyOwN1GwIAAEoEAAAOAAAA&#10;AAAAAAEAIAAAAB0BAABkcnMvZTJvRG9jLnhtbFBLBQYAAAAABgAGAFkBAACqBQAAAAA=&#10;">
                <v:fill on="f" focussize="0,0"/>
                <v:stroke color="#000000" joinstyle="miter"/>
                <v:imagedata o:title=""/>
                <o:lock v:ext="edit" aspectratio="t"/>
                <w10:wrap type="none"/>
                <w10:anchorlock/>
              </v:rect>
            </w:pict>
          </mc:Fallback>
        </mc:AlternateContent>
      </w:r>
      <w:r>
        <w:rPr>
          <w:rFonts w:hint="eastAsia" w:asciiTheme="minorEastAsia" w:hAnsiTheme="minorEastAsia" w:eastAsiaTheme="minorEastAsia" w:cstheme="minorEastAsia"/>
          <w:color w:val="auto"/>
          <w:highlight w:val="none"/>
        </w:rPr>
        <w:t> 月</w:t>
      </w:r>
      <w:r>
        <w:rPr>
          <w:rFonts w:hint="eastAsia" w:asciiTheme="minorEastAsia" w:hAnsiTheme="minorEastAsia" w:eastAsiaTheme="minorEastAsia" w:cstheme="minorEastAsia"/>
          <w:color w:val="auto"/>
          <w:highlight w:val="none"/>
        </w:rPr>
        <mc:AlternateContent>
          <mc:Choice Requires="wps">
            <w:drawing>
              <wp:inline distT="0" distB="0" distL="0" distR="0">
                <wp:extent cx="635" cy="0"/>
                <wp:effectExtent l="0" t="4445" r="0" b="5080"/>
                <wp:docPr id="10"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noAutofit/>
                      </wps:bodyPr>
                    </wps:wsp>
                  </a:graphicData>
                </a:graphic>
              </wp:inline>
            </w:drawing>
          </mc:Choice>
          <mc:Fallback>
            <w:pict>
              <v:rect id="矩形 9"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ZTkKnOAAAA/wAAAA8AAAAAAAAA&#10;AQAgAAAAIgAAAGRycy9kb3ducmV2LnhtbFBLAQIUABQAAAAIAIdO4kD2vRjxGwIAAEsEAAAOAAAA&#10;AAAAAAEAIAAAAB0BAABkcnMvZTJvRG9jLnhtbFBLBQYAAAAABgAGAFkBAACqBQAAAAA=&#10;">
                <v:fill on="f" focussize="0,0"/>
                <v:stroke color="#000000" joinstyle="miter"/>
                <v:imagedata o:title=""/>
                <o:lock v:ext="edit" aspectratio="t"/>
                <w10:wrap type="none"/>
                <w10:anchorlock/>
              </v:rect>
            </w:pict>
          </mc:Fallback>
        </mc:AlternateContent>
      </w:r>
      <w:r>
        <w:rPr>
          <w:rFonts w:hint="eastAsia" w:asciiTheme="minorEastAsia" w:hAnsiTheme="minorEastAsia" w:eastAsiaTheme="minorEastAsia" w:cstheme="minorEastAsia"/>
          <w:color w:val="auto"/>
          <w:highlight w:val="none"/>
        </w:rPr>
        <w:t> 日</w:t>
      </w:r>
    </w:p>
    <w:p w14:paraId="7056AB72">
      <w:pPr>
        <w:pStyle w:val="44"/>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C12FA23">
      <w:pPr>
        <w:pStyle w:val="44"/>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9ED2070">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0FE28D68">
      <w:pPr>
        <w:pStyle w:val="44"/>
        <w:spacing w:beforeAutospacing="0" w:afterAutospacing="0"/>
        <w:rPr>
          <w:rFonts w:hint="eastAsia" w:asciiTheme="minorEastAsia" w:hAnsiTheme="minorEastAsia" w:eastAsiaTheme="minorEastAsia" w:cstheme="minorEastAsia"/>
          <w:b/>
          <w:color w:val="auto"/>
          <w:sz w:val="32"/>
          <w:szCs w:val="32"/>
          <w:highlight w:val="none"/>
        </w:rPr>
      </w:pPr>
    </w:p>
    <w:p w14:paraId="1438BEDF">
      <w:pPr>
        <w:widowControl/>
        <w:spacing w:before="50" w:after="5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ab/>
      </w:r>
    </w:p>
    <w:p w14:paraId="478195AF">
      <w:pPr>
        <w:pStyle w:val="278"/>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p>
    <w:p w14:paraId="4D3E260F">
      <w:pPr>
        <w:spacing w:before="50" w:after="50"/>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十六、技术方案等</w:t>
      </w:r>
    </w:p>
    <w:p w14:paraId="1D120630">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320B4B99">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04D47FED">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3EC1EDAA">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3D5ED63">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079B56BE">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（详见评标办法部分的要求）</w:t>
      </w:r>
    </w:p>
    <w:p w14:paraId="24238FD4">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424DEBB">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03B1C368">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47E6BDDA">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2A30051">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676CED66">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593349F7">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40E3448F">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4E3F15E1">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68EE1D4C">
      <w:pPr>
        <w:pStyle w:val="44"/>
        <w:spacing w:beforeAutospacing="0" w:afterAutospacing="0"/>
        <w:jc w:val="center"/>
        <w:rPr>
          <w:rFonts w:hint="eastAsia" w:asciiTheme="minorEastAsia" w:hAnsiTheme="minorEastAsia" w:eastAsiaTheme="minorEastAsia" w:cstheme="minorEastAsia"/>
          <w:b/>
          <w:bCs/>
          <w:color w:val="auto"/>
          <w:sz w:val="32"/>
          <w:szCs w:val="32"/>
          <w:highlight w:val="none"/>
        </w:rPr>
      </w:pPr>
    </w:p>
    <w:p w14:paraId="5D2C76CE">
      <w:pPr>
        <w:pStyle w:val="44"/>
        <w:spacing w:beforeAutospacing="0" w:afterAutospacing="0"/>
        <w:jc w:val="center"/>
        <w:rPr>
          <w:rFonts w:hint="eastAsia" w:asciiTheme="minorEastAsia" w:hAnsiTheme="minorEastAsia" w:eastAsiaTheme="minorEastAsia" w:cstheme="minorEastAsia"/>
          <w:b/>
          <w:bCs/>
          <w:color w:val="auto"/>
          <w:sz w:val="32"/>
          <w:szCs w:val="32"/>
          <w:highlight w:val="none"/>
        </w:rPr>
      </w:pPr>
    </w:p>
    <w:p w14:paraId="73EEFDD8">
      <w:pPr>
        <w:pStyle w:val="44"/>
        <w:spacing w:beforeAutospacing="0" w:afterAutospacing="0"/>
        <w:jc w:val="center"/>
        <w:rPr>
          <w:rFonts w:hint="eastAsia" w:asciiTheme="minorEastAsia" w:hAnsiTheme="minorEastAsia" w:eastAsiaTheme="minorEastAsia" w:cstheme="minorEastAsia"/>
          <w:b/>
          <w:bCs/>
          <w:color w:val="auto"/>
          <w:sz w:val="32"/>
          <w:szCs w:val="32"/>
          <w:highlight w:val="none"/>
        </w:rPr>
      </w:pPr>
    </w:p>
    <w:p w14:paraId="4D3BDAC1">
      <w:pPr>
        <w:pStyle w:val="44"/>
        <w:spacing w:beforeAutospacing="0" w:afterAutospacing="0"/>
        <w:jc w:val="center"/>
        <w:rPr>
          <w:rFonts w:hint="eastAsia" w:asciiTheme="minorEastAsia" w:hAnsiTheme="minorEastAsia" w:eastAsiaTheme="minorEastAsia" w:cstheme="minorEastAsia"/>
          <w:b/>
          <w:bCs/>
          <w:color w:val="auto"/>
          <w:sz w:val="32"/>
          <w:szCs w:val="32"/>
          <w:highlight w:val="none"/>
        </w:rPr>
      </w:pPr>
    </w:p>
    <w:p w14:paraId="2AE771BF">
      <w:pPr>
        <w:pStyle w:val="44"/>
        <w:spacing w:beforeAutospacing="0" w:afterAutospacing="0"/>
        <w:jc w:val="center"/>
        <w:rPr>
          <w:rFonts w:hint="eastAsia" w:asciiTheme="minorEastAsia" w:hAnsiTheme="minorEastAsia" w:eastAsiaTheme="minorEastAsia" w:cstheme="minorEastAsia"/>
          <w:b/>
          <w:bCs/>
          <w:color w:val="auto"/>
          <w:sz w:val="32"/>
          <w:szCs w:val="32"/>
          <w:highlight w:val="none"/>
        </w:rPr>
      </w:pPr>
    </w:p>
    <w:p w14:paraId="660A2BD1">
      <w:pPr>
        <w:pStyle w:val="44"/>
        <w:spacing w:beforeAutospacing="0" w:afterAutospacing="0"/>
        <w:jc w:val="center"/>
        <w:rPr>
          <w:rFonts w:hint="eastAsia" w:asciiTheme="minorEastAsia" w:hAnsiTheme="minorEastAsia" w:eastAsiaTheme="minorEastAsia" w:cstheme="minorEastAsia"/>
          <w:b/>
          <w:bCs/>
          <w:color w:val="auto"/>
          <w:sz w:val="32"/>
          <w:szCs w:val="32"/>
          <w:highlight w:val="none"/>
        </w:rPr>
      </w:pPr>
    </w:p>
    <w:p w14:paraId="4C5308B2">
      <w:pPr>
        <w:pStyle w:val="44"/>
        <w:spacing w:beforeAutospacing="0" w:afterAutospacing="0"/>
        <w:jc w:val="center"/>
        <w:rPr>
          <w:rFonts w:hint="eastAsia" w:asciiTheme="minorEastAsia" w:hAnsiTheme="minorEastAsia" w:eastAsiaTheme="minorEastAsia" w:cstheme="minorEastAsia"/>
          <w:b/>
          <w:bCs/>
          <w:color w:val="auto"/>
          <w:sz w:val="32"/>
          <w:szCs w:val="32"/>
          <w:highlight w:val="none"/>
        </w:rPr>
      </w:pPr>
    </w:p>
    <w:p w14:paraId="1A23812A">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436E9DA4">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7AF9C481">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372568C">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30F996EF">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p>
    <w:p w14:paraId="5235512F">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十七、盐城市政府采购事前信用承诺书 </w:t>
      </w:r>
    </w:p>
    <w:p w14:paraId="06B3FB8F">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为营造我市公开、公平、公正、诚实守信的政府采购交易环境，树立诚信守法的投标人形象，本人代表本单位作出以下承诺：</w:t>
      </w:r>
    </w:p>
    <w:p w14:paraId="00798CCF">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9465DD8">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8B9F06D">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p>
    <w:p w14:paraId="2D975E3D">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（四）严格遵守即时信息公示规定，及时维护和更新维护和更新盐城市政府采购网中与本单位相关的信息；</w:t>
      </w:r>
    </w:p>
    <w:p w14:paraId="1F999C3E">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2BF11D6C">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（六）自觉接受政府、行业组织、社会公众、新闻舆论的监督；</w:t>
      </w:r>
    </w:p>
    <w:p w14:paraId="02278832">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8E0259F">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（八）本人已认真阅读了上述承诺，并向本单位员工作了宣传教育。</w:t>
      </w:r>
    </w:p>
    <w:p w14:paraId="73C4883B">
      <w:pPr>
        <w:widowControl/>
        <w:spacing w:line="360" w:lineRule="auto"/>
        <w:ind w:firstLine="240"/>
        <w:jc w:val="left"/>
        <w:rPr>
          <w:rFonts w:hint="eastAsia" w:asciiTheme="minorEastAsia" w:hAnsiTheme="minorEastAsia" w:eastAsiaTheme="minorEastAsia" w:cstheme="minorEastAsia"/>
          <w:color w:val="auto"/>
          <w:sz w:val="24"/>
          <w:highlight w:val="none"/>
        </w:rPr>
      </w:pPr>
    </w:p>
    <w:p w14:paraId="407A389A">
      <w:pPr>
        <w:pStyle w:val="278"/>
        <w:rPr>
          <w:rFonts w:hint="eastAsia" w:asciiTheme="minorEastAsia" w:hAnsiTheme="minorEastAsia" w:eastAsiaTheme="minorEastAsia" w:cstheme="minorEastAsia"/>
          <w:color w:val="auto"/>
          <w:highlight w:val="none"/>
        </w:rPr>
      </w:pPr>
    </w:p>
    <w:p w14:paraId="08E40349">
      <w:pPr>
        <w:widowControl/>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法定代表人签名：</w:t>
      </w:r>
    </w:p>
    <w:p w14:paraId="5E2DAF27">
      <w:pPr>
        <w:widowControl/>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单位名称（盖章）：</w:t>
      </w:r>
    </w:p>
    <w:p w14:paraId="0BFC9169">
      <w:pPr>
        <w:widowControl/>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年 月 日</w:t>
      </w:r>
    </w:p>
    <w:p w14:paraId="7B8D1DCE">
      <w:pPr>
        <w:widowControl/>
        <w:jc w:val="left"/>
        <w:rPr>
          <w:rFonts w:hint="eastAsia" w:asciiTheme="minorEastAsia" w:hAnsiTheme="minorEastAsia" w:eastAsiaTheme="minorEastAsia" w:cstheme="minorEastAsia"/>
          <w:b/>
          <w:color w:val="auto"/>
          <w:sz w:val="32"/>
          <w:szCs w:val="32"/>
          <w:highlight w:val="none"/>
        </w:rPr>
      </w:pPr>
      <w:bookmarkStart w:id="157" w:name="_Hlk132197618"/>
      <w:r>
        <w:rPr>
          <w:rFonts w:hint="eastAsia" w:asciiTheme="minorEastAsia" w:hAnsiTheme="minorEastAsia" w:eastAsiaTheme="minorEastAsia" w:cstheme="minorEastAsia"/>
          <w:b/>
          <w:color w:val="auto"/>
          <w:sz w:val="32"/>
          <w:szCs w:val="32"/>
          <w:highlight w:val="none"/>
        </w:rPr>
        <w:br w:type="page" w:clear="all"/>
      </w:r>
    </w:p>
    <w:p w14:paraId="0F158423">
      <w:pPr>
        <w:spacing w:after="240" w:line="560" w:lineRule="exact"/>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十八、人员配备一览表</w:t>
      </w:r>
      <w:bookmarkEnd w:id="157"/>
    </w:p>
    <w:tbl>
      <w:tblPr>
        <w:tblStyle w:val="50"/>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2721"/>
        <w:gridCol w:w="1757"/>
        <w:gridCol w:w="2290"/>
      </w:tblGrid>
      <w:tr w14:paraId="14F60B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ign w:val="center"/>
          </w:tcPr>
          <w:p w14:paraId="1E2C13C1">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2721" w:type="dxa"/>
            <w:tcBorders>
              <w:top w:val="single" w:color="auto" w:sz="4" w:space="0"/>
              <w:left w:val="single" w:color="auto" w:sz="4" w:space="0"/>
              <w:bottom w:val="single" w:color="auto" w:sz="4" w:space="0"/>
              <w:right w:val="single" w:color="auto" w:sz="4" w:space="0"/>
            </w:tcBorders>
            <w:noWrap/>
            <w:vAlign w:val="center"/>
          </w:tcPr>
          <w:p w14:paraId="72CC960F">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岗位</w:t>
            </w:r>
          </w:p>
        </w:tc>
        <w:tc>
          <w:tcPr>
            <w:tcW w:w="1757" w:type="dxa"/>
            <w:tcBorders>
              <w:top w:val="single" w:color="auto" w:sz="4" w:space="0"/>
              <w:left w:val="single" w:color="auto" w:sz="4" w:space="0"/>
              <w:bottom w:val="single" w:color="auto" w:sz="4" w:space="0"/>
              <w:right w:val="single" w:color="auto" w:sz="4" w:space="0"/>
            </w:tcBorders>
            <w:noWrap/>
            <w:vAlign w:val="center"/>
          </w:tcPr>
          <w:p w14:paraId="258EA922">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姓名</w:t>
            </w:r>
          </w:p>
        </w:tc>
        <w:tc>
          <w:tcPr>
            <w:tcW w:w="2290" w:type="dxa"/>
            <w:tcBorders>
              <w:top w:val="single" w:color="auto" w:sz="4" w:space="0"/>
              <w:left w:val="single" w:color="auto" w:sz="4" w:space="0"/>
              <w:bottom w:val="single" w:color="auto" w:sz="4" w:space="0"/>
              <w:right w:val="single" w:color="auto" w:sz="4" w:space="0"/>
            </w:tcBorders>
            <w:noWrap/>
            <w:vAlign w:val="center"/>
          </w:tcPr>
          <w:p w14:paraId="394B6140">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执业资格</w:t>
            </w:r>
          </w:p>
        </w:tc>
      </w:tr>
      <w:tr w14:paraId="74F528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ign w:val="center"/>
          </w:tcPr>
          <w:p w14:paraId="4EB9ACFE">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2721" w:type="dxa"/>
            <w:tcBorders>
              <w:top w:val="single" w:color="auto" w:sz="4" w:space="0"/>
              <w:left w:val="single" w:color="auto" w:sz="4" w:space="0"/>
              <w:bottom w:val="single" w:color="auto" w:sz="4" w:space="0"/>
              <w:right w:val="single" w:color="auto" w:sz="4" w:space="0"/>
            </w:tcBorders>
            <w:noWrap/>
            <w:vAlign w:val="center"/>
          </w:tcPr>
          <w:p w14:paraId="33C3753D">
            <w:pPr>
              <w:widowControl/>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项目负责人</w:t>
            </w:r>
          </w:p>
        </w:tc>
        <w:tc>
          <w:tcPr>
            <w:tcW w:w="1757" w:type="dxa"/>
            <w:tcBorders>
              <w:top w:val="single" w:color="auto" w:sz="4" w:space="0"/>
              <w:left w:val="single" w:color="auto" w:sz="4" w:space="0"/>
              <w:bottom w:val="single" w:color="auto" w:sz="4" w:space="0"/>
              <w:right w:val="single" w:color="auto" w:sz="4" w:space="0"/>
            </w:tcBorders>
            <w:noWrap/>
            <w:vAlign w:val="center"/>
          </w:tcPr>
          <w:p w14:paraId="0046B6A9">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noWrap/>
            <w:vAlign w:val="center"/>
          </w:tcPr>
          <w:p w14:paraId="460EE208">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r>
      <w:tr w14:paraId="02DA0C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ign w:val="center"/>
          </w:tcPr>
          <w:p w14:paraId="1B5CA14C">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2721" w:type="dxa"/>
            <w:tcBorders>
              <w:top w:val="single" w:color="auto" w:sz="4" w:space="0"/>
              <w:left w:val="single" w:color="auto" w:sz="4" w:space="0"/>
              <w:bottom w:val="single" w:color="auto" w:sz="4" w:space="0"/>
              <w:right w:val="single" w:color="auto" w:sz="4" w:space="0"/>
            </w:tcBorders>
            <w:noWrap/>
            <w:vAlign w:val="center"/>
          </w:tcPr>
          <w:p w14:paraId="15DB3A37">
            <w:pPr>
              <w:widowControl/>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其他人员</w:t>
            </w:r>
          </w:p>
        </w:tc>
        <w:tc>
          <w:tcPr>
            <w:tcW w:w="1757" w:type="dxa"/>
            <w:tcBorders>
              <w:top w:val="single" w:color="auto" w:sz="4" w:space="0"/>
              <w:left w:val="single" w:color="auto" w:sz="4" w:space="0"/>
              <w:bottom w:val="single" w:color="auto" w:sz="4" w:space="0"/>
              <w:right w:val="single" w:color="auto" w:sz="4" w:space="0"/>
            </w:tcBorders>
            <w:noWrap/>
            <w:vAlign w:val="center"/>
          </w:tcPr>
          <w:p w14:paraId="69460F3C">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noWrap/>
            <w:vAlign w:val="center"/>
          </w:tcPr>
          <w:p w14:paraId="7455ADE1">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r>
      <w:tr w14:paraId="3A4C7C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ign w:val="center"/>
          </w:tcPr>
          <w:p w14:paraId="76F2E118">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18"/>
                <w:highlight w:val="none"/>
              </w:rPr>
              <w:t>…</w:t>
            </w:r>
          </w:p>
        </w:tc>
        <w:tc>
          <w:tcPr>
            <w:tcW w:w="2721" w:type="dxa"/>
            <w:tcBorders>
              <w:top w:val="single" w:color="auto" w:sz="4" w:space="0"/>
              <w:left w:val="single" w:color="auto" w:sz="4" w:space="0"/>
              <w:bottom w:val="single" w:color="auto" w:sz="4" w:space="0"/>
              <w:right w:val="single" w:color="auto" w:sz="4" w:space="0"/>
            </w:tcBorders>
            <w:noWrap/>
            <w:vAlign w:val="center"/>
          </w:tcPr>
          <w:p w14:paraId="20774C59">
            <w:pPr>
              <w:widowControl/>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tc>
        <w:tc>
          <w:tcPr>
            <w:tcW w:w="1757" w:type="dxa"/>
            <w:tcBorders>
              <w:top w:val="single" w:color="auto" w:sz="4" w:space="0"/>
              <w:left w:val="single" w:color="auto" w:sz="4" w:space="0"/>
              <w:bottom w:val="single" w:color="auto" w:sz="4" w:space="0"/>
              <w:right w:val="single" w:color="auto" w:sz="4" w:space="0"/>
            </w:tcBorders>
            <w:noWrap/>
            <w:vAlign w:val="center"/>
          </w:tcPr>
          <w:p w14:paraId="7CD001FE">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noWrap/>
            <w:vAlign w:val="center"/>
          </w:tcPr>
          <w:p w14:paraId="4AEBDB3E">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r>
      <w:tr w14:paraId="7DFA0F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noWrap/>
            <w:vAlign w:val="center"/>
          </w:tcPr>
          <w:p w14:paraId="5D48AF32">
            <w:pPr>
              <w:jc w:val="center"/>
              <w:rPr>
                <w:rFonts w:hint="eastAsia" w:asciiTheme="minorEastAsia" w:hAnsiTheme="minorEastAsia" w:eastAsiaTheme="minorEastAsia" w:cstheme="minorEastAsia"/>
                <w:color w:val="auto"/>
                <w:sz w:val="24"/>
                <w:highlight w:val="none"/>
              </w:rPr>
            </w:pPr>
          </w:p>
        </w:tc>
        <w:tc>
          <w:tcPr>
            <w:tcW w:w="2721" w:type="dxa"/>
            <w:tcBorders>
              <w:top w:val="single" w:color="auto" w:sz="4" w:space="0"/>
              <w:left w:val="single" w:color="auto" w:sz="4" w:space="0"/>
              <w:bottom w:val="single" w:color="auto" w:sz="4" w:space="0"/>
              <w:right w:val="single" w:color="auto" w:sz="4" w:space="0"/>
            </w:tcBorders>
            <w:noWrap/>
            <w:vAlign w:val="center"/>
          </w:tcPr>
          <w:p w14:paraId="0128F00D">
            <w:pPr>
              <w:widowControl/>
              <w:jc w:val="center"/>
              <w:rPr>
                <w:rFonts w:hint="eastAsia" w:asciiTheme="minorEastAsia" w:hAnsiTheme="minorEastAsia" w:eastAsiaTheme="minorEastAsia" w:cstheme="minorEastAsia"/>
                <w:color w:val="auto"/>
                <w:sz w:val="24"/>
                <w:highlight w:val="none"/>
              </w:rPr>
            </w:pPr>
          </w:p>
        </w:tc>
        <w:tc>
          <w:tcPr>
            <w:tcW w:w="1757" w:type="dxa"/>
            <w:tcBorders>
              <w:top w:val="single" w:color="auto" w:sz="4" w:space="0"/>
              <w:left w:val="single" w:color="auto" w:sz="4" w:space="0"/>
              <w:bottom w:val="single" w:color="auto" w:sz="4" w:space="0"/>
              <w:right w:val="single" w:color="auto" w:sz="4" w:space="0"/>
            </w:tcBorders>
            <w:noWrap/>
            <w:vAlign w:val="center"/>
          </w:tcPr>
          <w:p w14:paraId="6CC03F55">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noWrap/>
            <w:vAlign w:val="center"/>
          </w:tcPr>
          <w:p w14:paraId="684F04F9">
            <w:pPr>
              <w:widowControl/>
              <w:spacing w:before="100" w:beforeAutospacing="1" w:after="100" w:afterAutospacing="1"/>
              <w:jc w:val="center"/>
              <w:rPr>
                <w:rFonts w:hint="eastAsia" w:asciiTheme="minorEastAsia" w:hAnsiTheme="minorEastAsia" w:eastAsiaTheme="minorEastAsia" w:cstheme="minorEastAsia"/>
                <w:color w:val="auto"/>
                <w:sz w:val="24"/>
                <w:highlight w:val="none"/>
              </w:rPr>
            </w:pPr>
          </w:p>
        </w:tc>
      </w:tr>
    </w:tbl>
    <w:p w14:paraId="4E49FC38">
      <w:pPr>
        <w:widowControl/>
        <w:spacing w:line="500" w:lineRule="exact"/>
        <w:jc w:val="left"/>
        <w:rPr>
          <w:rFonts w:hint="eastAsia" w:asciiTheme="minorEastAsia" w:hAnsiTheme="minorEastAsia" w:eastAsiaTheme="minorEastAsia" w:cstheme="minorEastAsia"/>
          <w:color w:val="auto"/>
          <w:sz w:val="24"/>
          <w:highlight w:val="none"/>
        </w:rPr>
      </w:pPr>
    </w:p>
    <w:p w14:paraId="07A327C7">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注：投标人可以根据需要自行拓展本表。</w:t>
      </w:r>
    </w:p>
    <w:p w14:paraId="25A7958D">
      <w:pPr>
        <w:spacing w:line="360" w:lineRule="auto"/>
        <w:rPr>
          <w:rFonts w:hint="eastAsia" w:asciiTheme="minorEastAsia" w:hAnsiTheme="minorEastAsia" w:eastAsiaTheme="minorEastAsia" w:cstheme="minorEastAsia"/>
          <w:color w:val="auto"/>
          <w:szCs w:val="20"/>
          <w:highlight w:val="none"/>
        </w:rPr>
      </w:pPr>
    </w:p>
    <w:p w14:paraId="36E84717">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投标方：（单位盖章）</w:t>
      </w:r>
    </w:p>
    <w:p w14:paraId="5FBDB993">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法定代表人或授权委托人：（签字或盖章）</w:t>
      </w:r>
    </w:p>
    <w:p w14:paraId="0D5ACEE4">
      <w:pPr>
        <w:widowControl/>
        <w:spacing w:line="500" w:lineRule="exac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日期：    年  月  日</w:t>
      </w:r>
    </w:p>
    <w:p w14:paraId="39E4ECF0">
      <w:pPr>
        <w:widowControl/>
        <w:spacing w:line="500" w:lineRule="exact"/>
        <w:jc w:val="left"/>
        <w:rPr>
          <w:rFonts w:hint="eastAsia" w:asciiTheme="minorEastAsia" w:hAnsiTheme="minorEastAsia" w:eastAsiaTheme="minorEastAsia" w:cstheme="minorEastAsia"/>
          <w:color w:val="auto"/>
          <w:sz w:val="24"/>
          <w:highlight w:val="none"/>
        </w:rPr>
      </w:pPr>
    </w:p>
    <w:p w14:paraId="0608BB1F">
      <w:pPr>
        <w:pStyle w:val="278"/>
        <w:ind w:firstLine="420"/>
        <w:rPr>
          <w:rFonts w:hint="eastAsia" w:asciiTheme="minorEastAsia" w:hAnsiTheme="minorEastAsia" w:eastAsiaTheme="minorEastAsia" w:cstheme="minorEastAsia"/>
          <w:color w:val="auto"/>
          <w:highlight w:val="none"/>
        </w:rPr>
      </w:pPr>
    </w:p>
    <w:p w14:paraId="010BEEA5">
      <w:pPr>
        <w:rPr>
          <w:rFonts w:hint="eastAsia" w:asciiTheme="minorEastAsia" w:hAnsiTheme="minorEastAsia" w:eastAsiaTheme="minorEastAsia" w:cstheme="minorEastAsia"/>
          <w:color w:val="auto"/>
          <w:highlight w:val="none"/>
        </w:rPr>
      </w:pPr>
    </w:p>
    <w:p w14:paraId="733A175E">
      <w:pPr>
        <w:widowControl/>
        <w:jc w:val="left"/>
        <w:rPr>
          <w:rFonts w:hint="eastAsia"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color w:val="auto"/>
          <w:highlight w:val="none"/>
        </w:rPr>
        <w:br w:type="page" w:clear="all"/>
      </w:r>
    </w:p>
    <w:p w14:paraId="4D33969D">
      <w:pPr>
        <w:spacing w:after="240" w:line="560" w:lineRule="exact"/>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十九、招标文件中规定要求提供的其他证明材料和投标人认为需要提供的其他材料</w:t>
      </w:r>
    </w:p>
    <w:p w14:paraId="380F21AF">
      <w:pPr>
        <w:rPr>
          <w:rFonts w:hint="eastAsia" w:asciiTheme="minorEastAsia" w:hAnsiTheme="minorEastAsia" w:eastAsiaTheme="minorEastAsia" w:cstheme="minorEastAsia"/>
          <w:color w:val="auto"/>
          <w:highlight w:val="none"/>
        </w:rPr>
      </w:pPr>
    </w:p>
    <w:p w14:paraId="26E5A4C0">
      <w:pPr>
        <w:pStyle w:val="278"/>
        <w:ind w:firstLine="420"/>
        <w:rPr>
          <w:rFonts w:hint="eastAsia" w:asciiTheme="minorEastAsia" w:hAnsiTheme="minorEastAsia" w:eastAsiaTheme="minorEastAsia" w:cstheme="minorEastAsia"/>
          <w:color w:val="auto"/>
          <w:highlight w:val="none"/>
        </w:rPr>
      </w:pPr>
    </w:p>
    <w:p w14:paraId="20EAAF01">
      <w:pPr>
        <w:rPr>
          <w:rFonts w:hint="eastAsia" w:asciiTheme="minorEastAsia" w:hAnsiTheme="minorEastAsia" w:eastAsiaTheme="minorEastAsia" w:cstheme="minorEastAsia"/>
          <w:color w:val="auto"/>
          <w:highlight w:val="none"/>
        </w:rPr>
      </w:pPr>
    </w:p>
    <w:p w14:paraId="3645A322">
      <w:pPr>
        <w:pStyle w:val="44"/>
        <w:spacing w:beforeAutospacing="0" w:afterAutospacing="0"/>
        <w:jc w:val="center"/>
        <w:rPr>
          <w:rFonts w:hint="eastAsia" w:asciiTheme="minorEastAsia" w:hAnsiTheme="minorEastAsia" w:eastAsiaTheme="minorEastAsia" w:cstheme="minorEastAsia"/>
          <w:color w:val="auto"/>
          <w:highlight w:val="none"/>
        </w:rPr>
      </w:pPr>
    </w:p>
    <w:p w14:paraId="5EF3C0CF">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p>
    <w:p w14:paraId="138AC56E">
      <w:pPr>
        <w:pStyle w:val="44"/>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质疑函范本</w:t>
      </w:r>
    </w:p>
    <w:p w14:paraId="65CF10B6">
      <w:pPr>
        <w:pStyle w:val="44"/>
        <w:spacing w:before="290"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一、质疑投标人基本信息</w:t>
      </w:r>
    </w:p>
    <w:p w14:paraId="7985F361">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质疑投标人：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7AF29A03">
      <w:pPr>
        <w:pStyle w:val="44"/>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p>
    <w:p w14:paraId="5FB0FCAF">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2760106D">
      <w:pPr>
        <w:pStyle w:val="44"/>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463D61C3">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xml:space="preserve">                                           </w:t>
      </w:r>
    </w:p>
    <w:p w14:paraId="40F72278">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428DEFC8">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3D9DAC1">
      <w:pPr>
        <w:pStyle w:val="44"/>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 </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6B058F7D">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xml:space="preserve">                                </w:t>
      </w:r>
    </w:p>
    <w:p w14:paraId="5EC403FF">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二、质疑项目基本情况</w:t>
      </w:r>
    </w:p>
    <w:p w14:paraId="1463747A">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w:t>
      </w:r>
      <w:r>
        <w:rPr>
          <w:rFonts w:hint="eastAsia" w:asciiTheme="minorEastAsia" w:hAnsiTheme="minorEastAsia" w:eastAsiaTheme="minorEastAsia" w:cstheme="minorEastAsia"/>
          <w:color w:val="auto"/>
          <w:highlight w:val="none"/>
          <w:u w:val="single"/>
        </w:rPr>
        <w:t xml:space="preserve">                            </w:t>
      </w:r>
    </w:p>
    <w:p w14:paraId="21F0E08D">
      <w:pPr>
        <w:pStyle w:val="44"/>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质疑项目的编号：</w:t>
      </w:r>
      <w:r>
        <w:rPr>
          <w:rFonts w:hint="eastAsia" w:asciiTheme="minorEastAsia" w:hAnsiTheme="minorEastAsia" w:eastAsiaTheme="minorEastAsia" w:cstheme="minorEastAsia"/>
          <w:color w:val="auto"/>
          <w:highlight w:val="none"/>
          <w:u w:val="single"/>
        </w:rPr>
        <w:t xml:space="preserve">                          </w:t>
      </w:r>
    </w:p>
    <w:p w14:paraId="1DCF5415">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235C6547">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招标人名称：</w:t>
      </w:r>
      <w:r>
        <w:rPr>
          <w:rFonts w:hint="eastAsia" w:asciiTheme="minorEastAsia" w:hAnsiTheme="minorEastAsia" w:eastAsiaTheme="minorEastAsia" w:cstheme="minorEastAsia"/>
          <w:color w:val="auto"/>
          <w:highlight w:val="none"/>
          <w:u w:val="single"/>
        </w:rPr>
        <w:t xml:space="preserve">                            </w:t>
      </w:r>
    </w:p>
    <w:p w14:paraId="6B1AC42A">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招标文件获取日期：</w:t>
      </w:r>
      <w:r>
        <w:rPr>
          <w:rFonts w:hint="eastAsia" w:asciiTheme="minorEastAsia" w:hAnsiTheme="minorEastAsia" w:eastAsiaTheme="minorEastAsia" w:cstheme="minorEastAsia"/>
          <w:color w:val="auto"/>
          <w:highlight w:val="none"/>
          <w:u w:val="single"/>
        </w:rPr>
        <w:t xml:space="preserve">                             </w:t>
      </w:r>
    </w:p>
    <w:p w14:paraId="7FBA97AA">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三、质疑事项具体内容</w:t>
      </w:r>
    </w:p>
    <w:p w14:paraId="46BB8090">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质疑事项1：</w:t>
      </w:r>
      <w:r>
        <w:rPr>
          <w:rFonts w:hint="eastAsia" w:asciiTheme="minorEastAsia" w:hAnsiTheme="minorEastAsia" w:eastAsiaTheme="minorEastAsia" w:cstheme="minorEastAsia"/>
          <w:color w:val="auto"/>
          <w:highlight w:val="none"/>
          <w:u w:val="single"/>
        </w:rPr>
        <w:t xml:space="preserve">                             </w:t>
      </w:r>
    </w:p>
    <w:p w14:paraId="71E9231C">
      <w:pPr>
        <w:pStyle w:val="44"/>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r>
        <w:rPr>
          <w:rFonts w:hint="eastAsia" w:asciiTheme="minorEastAsia" w:hAnsiTheme="minorEastAsia" w:eastAsiaTheme="minorEastAsia" w:cstheme="minorEastAsia"/>
          <w:color w:val="auto"/>
          <w:highlight w:val="none"/>
          <w:u w:val="single"/>
        </w:rPr>
        <w:t xml:space="preserve">                                                   </w:t>
      </w:r>
    </w:p>
    <w:p w14:paraId="79A7A439">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r>
        <w:rPr>
          <w:rFonts w:hint="eastAsia" w:asciiTheme="minorEastAsia" w:hAnsiTheme="minorEastAsia" w:eastAsiaTheme="minorEastAsia" w:cstheme="minorEastAsia"/>
          <w:color w:val="auto"/>
          <w:highlight w:val="none"/>
          <w:u w:val="single"/>
        </w:rPr>
        <w:t xml:space="preserve">                                                    </w:t>
      </w:r>
    </w:p>
    <w:p w14:paraId="3E273BD2">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质疑事项2</w:t>
      </w:r>
    </w:p>
    <w:p w14:paraId="7CB7D479">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537E1C50">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四、与质疑事项相关的质疑请求</w:t>
      </w:r>
    </w:p>
    <w:p w14:paraId="34CA0EBA">
      <w:pPr>
        <w:pStyle w:val="44"/>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请求：</w:t>
      </w:r>
      <w:r>
        <w:rPr>
          <w:rFonts w:hint="eastAsia" w:asciiTheme="minorEastAsia" w:hAnsiTheme="minorEastAsia" w:eastAsiaTheme="minorEastAsia" w:cstheme="minorEastAsia"/>
          <w:color w:val="auto"/>
          <w:highlight w:val="none"/>
          <w:u w:val="single"/>
        </w:rPr>
        <w:t xml:space="preserve">                                                          </w:t>
      </w:r>
    </w:p>
    <w:p w14:paraId="440BF6CA">
      <w:pPr>
        <w:pStyle w:val="44"/>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签字</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签章</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                 公章：               日期：    </w:t>
      </w:r>
    </w:p>
    <w:p w14:paraId="57E69EAF">
      <w:pPr>
        <w:pStyle w:val="44"/>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质疑函制作说明：</w:t>
      </w:r>
    </w:p>
    <w:p w14:paraId="4C9C7F5E">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1.投标人提出质疑时，应提交质疑函和必要的证明材料。</w:t>
      </w:r>
    </w:p>
    <w:p w14:paraId="05401692">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60DB0F03">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3.质疑投标人若对项目的某一分包进行质疑，质疑函中应列明具体分包号。</w:t>
      </w:r>
    </w:p>
    <w:p w14:paraId="040D0D2C">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4.质疑函的质疑事项应具体、明确，并有必要的事实依据和法律依据。</w:t>
      </w:r>
    </w:p>
    <w:p w14:paraId="21798E35">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5.质疑函的质疑请求应与质疑事项相关。</w:t>
      </w:r>
    </w:p>
    <w:p w14:paraId="298CE39C">
      <w:pPr>
        <w:pStyle w:val="44"/>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6.质疑投标人为自然人的，质疑函应由本人签字；质疑投标人为法人或者其他组织的，质疑函应由法定代表人、主要负责人，或者其授权代表签字或者盖章，并加盖公章。</w:t>
      </w:r>
    </w:p>
    <w:p w14:paraId="6E016FD9">
      <w:pPr>
        <w:pStyle w:val="44"/>
        <w:spacing w:beforeAutospacing="0" w:afterAutospacing="0"/>
        <w:rPr>
          <w:rFonts w:hint="eastAsia" w:asciiTheme="minorEastAsia" w:hAnsiTheme="minorEastAsia" w:eastAsiaTheme="minorEastAsia" w:cstheme="minorEastAsia"/>
          <w:color w:val="auto"/>
          <w:highlight w:val="none"/>
        </w:rPr>
      </w:pPr>
    </w:p>
    <w:p w14:paraId="06C3260E">
      <w:pPr>
        <w:widowControl/>
        <w:jc w:val="left"/>
        <w:rPr>
          <w:rFonts w:hint="eastAsia" w:asciiTheme="minorEastAsia" w:hAnsiTheme="minorEastAsia" w:eastAsiaTheme="minorEastAsia" w:cstheme="minorEastAsia"/>
          <w:color w:val="auto"/>
          <w:highlight w:val="none"/>
        </w:rPr>
      </w:pPr>
      <w:bookmarkStart w:id="158" w:name="_Hlt26955056"/>
      <w:bookmarkEnd w:id="158"/>
      <w:bookmarkStart w:id="159" w:name="_Hlt26955064"/>
      <w:bookmarkEnd w:id="159"/>
      <w:bookmarkStart w:id="160" w:name="_Hlt26671372"/>
      <w:bookmarkEnd w:id="160"/>
      <w:bookmarkStart w:id="161" w:name="_Hlt26671343"/>
      <w:bookmarkEnd w:id="161"/>
      <w:bookmarkStart w:id="162" w:name="_Hlt24879081"/>
      <w:bookmarkEnd w:id="162"/>
      <w:bookmarkStart w:id="163" w:name="_Hlt26782999"/>
      <w:bookmarkEnd w:id="163"/>
      <w:bookmarkStart w:id="164" w:name="_Hlt26609391"/>
      <w:bookmarkEnd w:id="164"/>
      <w:bookmarkStart w:id="165" w:name="_Hlt26580838"/>
      <w:bookmarkEnd w:id="165"/>
    </w:p>
    <w:p w14:paraId="45C1FC09">
      <w:pPr>
        <w:spacing w:line="500" w:lineRule="exact"/>
        <w:ind w:firstLine="723"/>
        <w:jc w:val="center"/>
        <w:rPr>
          <w:rFonts w:hint="eastAsia" w:asciiTheme="minorEastAsia" w:hAnsiTheme="minorEastAsia" w:eastAsiaTheme="minorEastAsia" w:cstheme="minorEastAsia"/>
          <w:b/>
          <w:color w:val="auto"/>
          <w:sz w:val="36"/>
          <w:szCs w:val="36"/>
          <w:highlight w:val="none"/>
        </w:rPr>
      </w:pPr>
    </w:p>
    <w:sectPr>
      <w:pgSz w:w="11906" w:h="16838"/>
      <w:pgMar w:top="1417" w:right="1417" w:bottom="1417" w:left="1417"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方正姚体">
    <w:panose1 w:val="02010601030101010101"/>
    <w:charset w:val="86"/>
    <w:family w:val="auto"/>
    <w:pitch w:val="default"/>
    <w:sig w:usb0="00000003" w:usb1="080E0000" w:usb2="00000000" w:usb3="00000000" w:csb0="00040000" w:csb1="00000000"/>
  </w:font>
  <w:font w:name="Book Antiqua">
    <w:panose1 w:val="02040602050305030304"/>
    <w:charset w:val="00"/>
    <w:family w:val="auto"/>
    <w:pitch w:val="default"/>
    <w:sig w:usb0="00000287" w:usb1="00000000" w:usb2="00000000" w:usb3="00000000" w:csb0="2000009F" w:csb1="DFD70000"/>
  </w:font>
  <w:font w:name="方正仿宋_GBK">
    <w:altName w:val="微软雅黑"/>
    <w:panose1 w:val="03000509000000000000"/>
    <w:charset w:val="86"/>
    <w:family w:val="auto"/>
    <w:pitch w:val="default"/>
    <w:sig w:usb0="00000000" w:usb1="00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A96A6">
    <w:pPr>
      <w:pStyle w:val="30"/>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14:paraId="08A3A499">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09533">
    <w:pPr>
      <w:pStyle w:val="3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0BE600">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cDVQ9AgAAcAQAAA4AAABkcnMvZTJvRG9jLnhtbK1UzW7UMBC+I/EO&#10;lu8026JW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V3A1UPQIAAHAEAAAOAAAAAAAAAAEAIAAAAB8BAABkcnMvZTJv&#10;RG9jLnhtbFBLBQYAAAAABgAGAFkBAADOBQAAAAA=&#10;">
              <v:fill on="f" focussize="0,0"/>
              <v:stroke on="f" weight="0.5pt"/>
              <v:imagedata o:title=""/>
              <o:lock v:ext="edit" aspectratio="f"/>
              <v:textbox inset="0mm,0mm,0mm,0mm" style="mso-fit-shape-to-text:t;">
                <w:txbxContent>
                  <w:p w14:paraId="200BE600">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B6A9B">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07275">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823BA">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E9222">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mfhYg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mMMysMGr7//m3/&#10;43H/8ys7Tf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mfhYg2AgAAYwQAAA4AAAAAAAAAAQAgAAAAHwEAAGRycy9lMm9Eb2MueG1s&#10;UEsFBgAAAAAGAAYAWQEAAMcFAAAAAA==&#10;">
              <v:fill on="f" focussize="0,0"/>
              <v:stroke on="f" weight="0.5pt"/>
              <v:imagedata o:title=""/>
              <o:lock v:ext="edit" aspectratio="f"/>
              <v:textbox inset="0mm,0mm,0mm,0mm" style="mso-fit-shape-to-text:t;">
                <w:txbxContent>
                  <w:p w14:paraId="32EE9222">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50987">
    <w:pPr>
      <w:pStyle w:val="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147776">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nBtA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kpZ1YYNHz//dv+&#10;x+P+51c2S/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vnBtA2AgAAYwQAAA4AAAAAAAAAAQAgAAAAHwEAAGRycy9lMm9Eb2MueG1s&#10;UEsFBgAAAAAGAAYAWQEAAMcFAAAAAA==&#10;">
              <v:fill on="f" focussize="0,0"/>
              <v:stroke on="f" weight="0.5pt"/>
              <v:imagedata o:title=""/>
              <o:lock v:ext="edit" aspectratio="f"/>
              <v:textbox inset="0mm,0mm,0mm,0mm" style="mso-fit-shape-to-text:t;">
                <w:txbxContent>
                  <w:p w14:paraId="39147776">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6F75A">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AB22A15">
                          <w:pPr>
                            <w:pStyle w:val="3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ZYOFCAgAAfQQAAA4AAABkcnMvZTJvRG9jLnhtbK1UwY7TMBC9I/EP&#10;lu806bKsqq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BKZYOFCAgAAfQQAAA4AAAAAAAAAAQAgAAAAHwEAAGRy&#10;cy9lMm9Eb2MueG1sUEsFBgAAAAAGAAYAWQEAANMFAAAAAA==&#10;">
              <v:fill on="f" focussize="0,0"/>
              <v:stroke on="f" weight="0.5pt"/>
              <v:imagedata o:title=""/>
              <o:lock v:ext="edit" aspectratio="f"/>
              <v:textbox inset="0mm,0mm,0mm,0mm" style="mso-fit-shape-to-text:t;">
                <w:txbxContent>
                  <w:p w14:paraId="4AB22A15">
                    <w:pPr>
                      <w:pStyle w:val="3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CF6D9">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36DE3B5">
                          <w:pPr>
                            <w:pStyle w:val="3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SeTdCAgAAfgQAAA4AAABkcnMvZTJvRG9jLnhtbK1UwY7TMBC9I/EP&#10;lu80adGu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KASeTdCAgAAfgQAAA4AAAAAAAAAAQAgAAAAHwEAAGRy&#10;cy9lMm9Eb2MueG1sUEsFBgAAAAAGAAYAWQEAANMFAAAAAA==&#10;">
              <v:fill on="f" focussize="0,0"/>
              <v:stroke on="f" weight="0.5pt"/>
              <v:imagedata o:title=""/>
              <o:lock v:ext="edit" aspectratio="f"/>
              <v:textbox inset="0mm,0mm,0mm,0mm" style="mso-fit-shape-to-text:t;">
                <w:txbxContent>
                  <w:p w14:paraId="336DE3B5">
                    <w:pPr>
                      <w:pStyle w:val="3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1BBAE">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34E81">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AD59C">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42CD4E"/>
    <w:multiLevelType w:val="multilevel"/>
    <w:tmpl w:val="BB42CD4E"/>
    <w:lvl w:ilvl="0" w:tentative="0">
      <w:start w:val="1"/>
      <w:numFmt w:val="chineseCounting"/>
      <w:suff w:val="space"/>
      <w:lvlText w:val="第%1章"/>
      <w:lvlJc w:val="left"/>
      <w:pPr>
        <w:ind w:left="266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492A445"/>
    <w:multiLevelType w:val="multilevel"/>
    <w:tmpl w:val="1492A44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673AB01"/>
    <w:multiLevelType w:val="multilevel"/>
    <w:tmpl w:val="2673AB01"/>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B061031"/>
    <w:multiLevelType w:val="multilevel"/>
    <w:tmpl w:val="4B061031"/>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F7CB780"/>
    <w:multiLevelType w:val="multilevel"/>
    <w:tmpl w:val="7F7CB780"/>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1OGFhOTQ4ZWNiMjBiNTZhNWM1ZWE5Y2I0MTM0MGIifQ=="/>
  </w:docVars>
  <w:rsids>
    <w:rsidRoot w:val="00000000"/>
    <w:rsid w:val="0123584C"/>
    <w:rsid w:val="013E748D"/>
    <w:rsid w:val="014B08FF"/>
    <w:rsid w:val="017460A8"/>
    <w:rsid w:val="018D5F69"/>
    <w:rsid w:val="019127B6"/>
    <w:rsid w:val="01D06D4B"/>
    <w:rsid w:val="03004A4E"/>
    <w:rsid w:val="039C097F"/>
    <w:rsid w:val="0405239E"/>
    <w:rsid w:val="04B073F7"/>
    <w:rsid w:val="05876E68"/>
    <w:rsid w:val="06F85085"/>
    <w:rsid w:val="073267E9"/>
    <w:rsid w:val="075F6EB2"/>
    <w:rsid w:val="08053EFD"/>
    <w:rsid w:val="08B576D2"/>
    <w:rsid w:val="08D4742C"/>
    <w:rsid w:val="09EB2C7F"/>
    <w:rsid w:val="09F2225F"/>
    <w:rsid w:val="0A391C3C"/>
    <w:rsid w:val="0A3B59B5"/>
    <w:rsid w:val="0A9F4195"/>
    <w:rsid w:val="0AB271FA"/>
    <w:rsid w:val="0AC1591D"/>
    <w:rsid w:val="0AC57974"/>
    <w:rsid w:val="0B173B18"/>
    <w:rsid w:val="0B41349E"/>
    <w:rsid w:val="0B4B5097"/>
    <w:rsid w:val="0B4E7969"/>
    <w:rsid w:val="0BD24C3B"/>
    <w:rsid w:val="0C324B95"/>
    <w:rsid w:val="0C9E047D"/>
    <w:rsid w:val="0D645222"/>
    <w:rsid w:val="0D782A7C"/>
    <w:rsid w:val="0E252C04"/>
    <w:rsid w:val="0E79794F"/>
    <w:rsid w:val="0EDD150E"/>
    <w:rsid w:val="0EFE3455"/>
    <w:rsid w:val="0FD52407"/>
    <w:rsid w:val="1008458B"/>
    <w:rsid w:val="100A41F9"/>
    <w:rsid w:val="10562DB8"/>
    <w:rsid w:val="105E6369"/>
    <w:rsid w:val="11032FA4"/>
    <w:rsid w:val="12445622"/>
    <w:rsid w:val="12F928B1"/>
    <w:rsid w:val="13693592"/>
    <w:rsid w:val="146A7339"/>
    <w:rsid w:val="14E12026"/>
    <w:rsid w:val="15C977A9"/>
    <w:rsid w:val="15D40F89"/>
    <w:rsid w:val="16175F87"/>
    <w:rsid w:val="163B68A3"/>
    <w:rsid w:val="16445BF1"/>
    <w:rsid w:val="174560C4"/>
    <w:rsid w:val="199E6203"/>
    <w:rsid w:val="19E25671"/>
    <w:rsid w:val="19F17E3E"/>
    <w:rsid w:val="1A710C45"/>
    <w:rsid w:val="1B852196"/>
    <w:rsid w:val="1BD9145D"/>
    <w:rsid w:val="1C8E5E18"/>
    <w:rsid w:val="1D5C3464"/>
    <w:rsid w:val="1D970CFC"/>
    <w:rsid w:val="1DA578BD"/>
    <w:rsid w:val="1FF97A4C"/>
    <w:rsid w:val="220B7F0B"/>
    <w:rsid w:val="22576CAC"/>
    <w:rsid w:val="22CC769A"/>
    <w:rsid w:val="23DE7685"/>
    <w:rsid w:val="24174945"/>
    <w:rsid w:val="24FE1DC0"/>
    <w:rsid w:val="25254906"/>
    <w:rsid w:val="26851531"/>
    <w:rsid w:val="268A7650"/>
    <w:rsid w:val="26AB5818"/>
    <w:rsid w:val="274C6FFB"/>
    <w:rsid w:val="29626662"/>
    <w:rsid w:val="299B5DE6"/>
    <w:rsid w:val="2AFE23BA"/>
    <w:rsid w:val="2BE55328"/>
    <w:rsid w:val="2C212804"/>
    <w:rsid w:val="2CE11F94"/>
    <w:rsid w:val="2CF03B7A"/>
    <w:rsid w:val="2D102879"/>
    <w:rsid w:val="2D6D7CCB"/>
    <w:rsid w:val="2E1819E5"/>
    <w:rsid w:val="2E905A1F"/>
    <w:rsid w:val="2EBA0537"/>
    <w:rsid w:val="2F2A02CA"/>
    <w:rsid w:val="30940650"/>
    <w:rsid w:val="30A752A2"/>
    <w:rsid w:val="319059EF"/>
    <w:rsid w:val="321626E0"/>
    <w:rsid w:val="326E42CA"/>
    <w:rsid w:val="33CD193E"/>
    <w:rsid w:val="340F388A"/>
    <w:rsid w:val="344D6161"/>
    <w:rsid w:val="34FD1935"/>
    <w:rsid w:val="36142918"/>
    <w:rsid w:val="36721EAF"/>
    <w:rsid w:val="38196A86"/>
    <w:rsid w:val="38E075A3"/>
    <w:rsid w:val="39B32F0A"/>
    <w:rsid w:val="3AAB598F"/>
    <w:rsid w:val="3ACE0B2A"/>
    <w:rsid w:val="3B09606F"/>
    <w:rsid w:val="3B5F50F7"/>
    <w:rsid w:val="3B800BCA"/>
    <w:rsid w:val="3C091451"/>
    <w:rsid w:val="3D2A34E3"/>
    <w:rsid w:val="3ED731F7"/>
    <w:rsid w:val="3F8907AC"/>
    <w:rsid w:val="3FFA719D"/>
    <w:rsid w:val="40995C3F"/>
    <w:rsid w:val="40D37BDA"/>
    <w:rsid w:val="41A82C28"/>
    <w:rsid w:val="424B1F31"/>
    <w:rsid w:val="43970571"/>
    <w:rsid w:val="43B9736F"/>
    <w:rsid w:val="456C7D8E"/>
    <w:rsid w:val="46A2233C"/>
    <w:rsid w:val="4700271B"/>
    <w:rsid w:val="472B1503"/>
    <w:rsid w:val="487D096B"/>
    <w:rsid w:val="487D6BBD"/>
    <w:rsid w:val="492359B6"/>
    <w:rsid w:val="4A0F006E"/>
    <w:rsid w:val="4A3459A1"/>
    <w:rsid w:val="4B1530DD"/>
    <w:rsid w:val="4B315A3D"/>
    <w:rsid w:val="4BCE0D4A"/>
    <w:rsid w:val="4C261064"/>
    <w:rsid w:val="4C4F53C9"/>
    <w:rsid w:val="4D465897"/>
    <w:rsid w:val="4DC86B2C"/>
    <w:rsid w:val="4DD95140"/>
    <w:rsid w:val="4E1A2ACB"/>
    <w:rsid w:val="4F6E725F"/>
    <w:rsid w:val="4FE800DE"/>
    <w:rsid w:val="4FE816BE"/>
    <w:rsid w:val="50575F45"/>
    <w:rsid w:val="514C35D0"/>
    <w:rsid w:val="526B217C"/>
    <w:rsid w:val="52880638"/>
    <w:rsid w:val="53764934"/>
    <w:rsid w:val="53CA47C0"/>
    <w:rsid w:val="53CC09F8"/>
    <w:rsid w:val="54794BD5"/>
    <w:rsid w:val="54CB1B54"/>
    <w:rsid w:val="54D23DEC"/>
    <w:rsid w:val="54E87019"/>
    <w:rsid w:val="54EC5C5F"/>
    <w:rsid w:val="55217FC2"/>
    <w:rsid w:val="55410F72"/>
    <w:rsid w:val="57120E18"/>
    <w:rsid w:val="573C5E95"/>
    <w:rsid w:val="580478E4"/>
    <w:rsid w:val="5B1C04B7"/>
    <w:rsid w:val="5B953DC6"/>
    <w:rsid w:val="5D0134C1"/>
    <w:rsid w:val="5D1A3BDF"/>
    <w:rsid w:val="5E20206C"/>
    <w:rsid w:val="5F8C2F55"/>
    <w:rsid w:val="5FAB458D"/>
    <w:rsid w:val="60805044"/>
    <w:rsid w:val="61790877"/>
    <w:rsid w:val="62024558"/>
    <w:rsid w:val="62742987"/>
    <w:rsid w:val="63414F5F"/>
    <w:rsid w:val="63AB0BF9"/>
    <w:rsid w:val="63F802C6"/>
    <w:rsid w:val="64171CC6"/>
    <w:rsid w:val="642503DD"/>
    <w:rsid w:val="64872E45"/>
    <w:rsid w:val="64E8140A"/>
    <w:rsid w:val="65CA6BC8"/>
    <w:rsid w:val="664910FC"/>
    <w:rsid w:val="664D7777"/>
    <w:rsid w:val="66AB0941"/>
    <w:rsid w:val="66C33EDD"/>
    <w:rsid w:val="678E0047"/>
    <w:rsid w:val="67C021CA"/>
    <w:rsid w:val="68D0468F"/>
    <w:rsid w:val="69887333"/>
    <w:rsid w:val="69B173B7"/>
    <w:rsid w:val="6B2668AF"/>
    <w:rsid w:val="6D277A05"/>
    <w:rsid w:val="6DC92DC1"/>
    <w:rsid w:val="6E2E6C6D"/>
    <w:rsid w:val="6EC922AC"/>
    <w:rsid w:val="70476B61"/>
    <w:rsid w:val="71924BD7"/>
    <w:rsid w:val="71F66F14"/>
    <w:rsid w:val="72D66D46"/>
    <w:rsid w:val="72F83160"/>
    <w:rsid w:val="730C2768"/>
    <w:rsid w:val="73247AB1"/>
    <w:rsid w:val="73E070E8"/>
    <w:rsid w:val="73F526C8"/>
    <w:rsid w:val="7428537F"/>
    <w:rsid w:val="744A1799"/>
    <w:rsid w:val="75DE488F"/>
    <w:rsid w:val="78496134"/>
    <w:rsid w:val="78AC657F"/>
    <w:rsid w:val="7A2B7977"/>
    <w:rsid w:val="7AB14320"/>
    <w:rsid w:val="7BA9149B"/>
    <w:rsid w:val="7C081996"/>
    <w:rsid w:val="7C32323F"/>
    <w:rsid w:val="7E0429B9"/>
    <w:rsid w:val="7E9E4BBC"/>
    <w:rsid w:val="7EB17B38"/>
    <w:rsid w:val="7EC64112"/>
    <w:rsid w:val="7EE50A3C"/>
    <w:rsid w:val="7FB421BD"/>
    <w:rsid w:val="7FC93E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1"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8"/>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261"/>
    <w:autoRedefine/>
    <w:qFormat/>
    <w:uiPriority w:val="0"/>
    <w:pPr>
      <w:keepNext/>
      <w:outlineLvl w:val="0"/>
    </w:pPr>
    <w:rPr>
      <w:rFonts w:ascii="楷体_GB2312" w:eastAsia="楷体_GB2312"/>
      <w:sz w:val="28"/>
      <w:szCs w:val="20"/>
    </w:rPr>
  </w:style>
  <w:style w:type="paragraph" w:styleId="4">
    <w:name w:val="heading 2"/>
    <w:basedOn w:val="1"/>
    <w:next w:val="1"/>
    <w:link w:val="262"/>
    <w:autoRedefine/>
    <w:qFormat/>
    <w:uiPriority w:val="0"/>
    <w:pPr>
      <w:keepNext/>
      <w:keepLines/>
      <w:spacing w:line="416" w:lineRule="auto"/>
      <w:jc w:val="center"/>
      <w:outlineLvl w:val="1"/>
    </w:pPr>
    <w:rPr>
      <w:rFonts w:ascii="Arial" w:hAnsi="Arial" w:eastAsia="幼圆"/>
      <w:b/>
      <w:sz w:val="44"/>
      <w:szCs w:val="20"/>
    </w:rPr>
  </w:style>
  <w:style w:type="paragraph" w:styleId="2">
    <w:name w:val="heading 3"/>
    <w:basedOn w:val="1"/>
    <w:next w:val="1"/>
    <w:autoRedefine/>
    <w:qFormat/>
    <w:uiPriority w:val="0"/>
    <w:pPr>
      <w:keepNext/>
      <w:keepLines/>
      <w:spacing w:before="260" w:after="260" w:line="416" w:lineRule="auto"/>
      <w:outlineLvl w:val="2"/>
    </w:pPr>
    <w:rPr>
      <w:b/>
      <w:sz w:val="32"/>
      <w:szCs w:val="20"/>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autoRedefine/>
    <w:qFormat/>
    <w:uiPriority w:val="0"/>
    <w:pPr>
      <w:keepNext/>
      <w:outlineLvl w:val="4"/>
    </w:pPr>
    <w:rPr>
      <w:rFonts w:ascii="宋体" w:hAnsi="宋体"/>
      <w:b/>
      <w:bCs/>
    </w:rPr>
  </w:style>
  <w:style w:type="paragraph" w:styleId="7">
    <w:name w:val="heading 6"/>
    <w:basedOn w:val="1"/>
    <w:next w:val="1"/>
    <w:link w:val="78"/>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9"/>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autoRedefine/>
    <w:unhideWhenUsed/>
    <w:qFormat/>
    <w:uiPriority w:val="1"/>
    <w:pPr>
      <w:spacing w:before="26"/>
      <w:ind w:left="582"/>
      <w:outlineLvl w:val="7"/>
    </w:pPr>
    <w:rPr>
      <w:rFonts w:hint="eastAsia" w:ascii="宋体" w:hAnsi="宋体"/>
      <w:b/>
      <w:sz w:val="24"/>
    </w:rPr>
  </w:style>
  <w:style w:type="paragraph" w:styleId="10">
    <w:name w:val="heading 9"/>
    <w:basedOn w:val="1"/>
    <w:next w:val="1"/>
    <w:link w:val="81"/>
    <w:autoRedefine/>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2520"/>
    </w:pPr>
  </w:style>
  <w:style w:type="paragraph" w:styleId="12">
    <w:name w:val="Normal Indent"/>
    <w:basedOn w:val="1"/>
    <w:link w:val="263"/>
    <w:autoRedefine/>
    <w:qFormat/>
    <w:uiPriority w:val="0"/>
    <w:pPr>
      <w:ind w:firstLine="420"/>
    </w:pPr>
    <w:rPr>
      <w:szCs w:val="20"/>
    </w:r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autoRedefine/>
    <w:semiHidden/>
    <w:qFormat/>
    <w:uiPriority w:val="0"/>
    <w:pPr>
      <w:shd w:val="clear" w:color="auto" w:fill="000080"/>
    </w:pPr>
  </w:style>
  <w:style w:type="paragraph" w:styleId="15">
    <w:name w:val="annotation text"/>
    <w:basedOn w:val="1"/>
    <w:link w:val="264"/>
    <w:autoRedefine/>
    <w:qFormat/>
    <w:uiPriority w:val="99"/>
    <w:pPr>
      <w:jc w:val="left"/>
    </w:pPr>
  </w:style>
  <w:style w:type="paragraph" w:styleId="16">
    <w:name w:val="Body Text 3"/>
    <w:basedOn w:val="1"/>
    <w:autoRedefine/>
    <w:qFormat/>
    <w:uiPriority w:val="0"/>
    <w:rPr>
      <w:rFonts w:ascii="仿宋_GB2312" w:hAnsi="Arial" w:eastAsia="仿宋_GB2312"/>
      <w:sz w:val="32"/>
      <w:szCs w:val="20"/>
    </w:rPr>
  </w:style>
  <w:style w:type="paragraph" w:styleId="17">
    <w:name w:val="Body Text"/>
    <w:basedOn w:val="1"/>
    <w:next w:val="18"/>
    <w:link w:val="265"/>
    <w:autoRedefine/>
    <w:qFormat/>
    <w:uiPriority w:val="0"/>
    <w:rPr>
      <w:rFonts w:ascii="楷体_GB2312" w:hAnsi="Arial" w:eastAsia="楷体_GB2312"/>
      <w:sz w:val="28"/>
      <w:szCs w:val="20"/>
    </w:rPr>
  </w:style>
  <w:style w:type="paragraph" w:customStyle="1" w:styleId="18">
    <w:name w:val="Default"/>
    <w:autoRedefine/>
    <w:qFormat/>
    <w:uiPriority w:val="99"/>
    <w:pPr>
      <w:widowControl w:val="0"/>
    </w:pPr>
    <w:rPr>
      <w:rFonts w:hint="default" w:ascii="Calibri" w:hAnsi="Calibri" w:eastAsia="宋体" w:cs="Times New Roman"/>
      <w:color w:val="000000"/>
      <w:sz w:val="24"/>
      <w:szCs w:val="24"/>
      <w:lang w:val="en-US" w:eastAsia="zh-CN" w:bidi="ar-SA"/>
    </w:rPr>
  </w:style>
  <w:style w:type="paragraph" w:styleId="19">
    <w:name w:val="Body Text Indent"/>
    <w:basedOn w:val="1"/>
    <w:next w:val="20"/>
    <w:autoRedefine/>
    <w:qFormat/>
    <w:uiPriority w:val="0"/>
    <w:pPr>
      <w:ind w:firstLine="645"/>
    </w:pPr>
    <w:rPr>
      <w:rFonts w:ascii="楷体_GB2312" w:eastAsia="楷体_GB2312"/>
      <w:sz w:val="32"/>
      <w:szCs w:val="20"/>
    </w:rPr>
  </w:style>
  <w:style w:type="paragraph" w:styleId="20">
    <w:name w:val="envelope return"/>
    <w:basedOn w:val="1"/>
    <w:autoRedefine/>
    <w:qFormat/>
    <w:uiPriority w:val="0"/>
    <w:rPr>
      <w:rFonts w:ascii="Arial" w:hAnsi="Arial"/>
    </w:rPr>
  </w:style>
  <w:style w:type="paragraph" w:styleId="21">
    <w:name w:val="Block Text"/>
    <w:basedOn w:val="1"/>
    <w:autoRedefine/>
    <w:unhideWhenUsed/>
    <w:qFormat/>
    <w:uiPriority w:val="99"/>
    <w:pPr>
      <w:spacing w:after="120"/>
      <w:ind w:left="1440" w:right="1440"/>
    </w:pPr>
  </w:style>
  <w:style w:type="paragraph" w:styleId="22">
    <w:name w:val="toc 5"/>
    <w:basedOn w:val="1"/>
    <w:next w:val="1"/>
    <w:autoRedefine/>
    <w:semiHidden/>
    <w:qFormat/>
    <w:uiPriority w:val="0"/>
    <w:pPr>
      <w:ind w:left="1680"/>
    </w:pPr>
  </w:style>
  <w:style w:type="paragraph" w:styleId="23">
    <w:name w:val="toc 3"/>
    <w:basedOn w:val="1"/>
    <w:next w:val="1"/>
    <w:autoRedefine/>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4">
    <w:name w:val="Plain Text"/>
    <w:basedOn w:val="1"/>
    <w:link w:val="255"/>
    <w:autoRedefine/>
    <w:qFormat/>
    <w:uiPriority w:val="0"/>
    <w:rPr>
      <w:rFonts w:ascii="宋体" w:hAnsi="Courier New"/>
      <w:szCs w:val="20"/>
    </w:rPr>
  </w:style>
  <w:style w:type="paragraph" w:styleId="25">
    <w:name w:val="toc 8"/>
    <w:basedOn w:val="1"/>
    <w:next w:val="1"/>
    <w:autoRedefine/>
    <w:semiHidden/>
    <w:qFormat/>
    <w:uiPriority w:val="0"/>
    <w:pPr>
      <w:ind w:left="2940"/>
    </w:pPr>
  </w:style>
  <w:style w:type="paragraph" w:styleId="26">
    <w:name w:val="Date"/>
    <w:basedOn w:val="1"/>
    <w:next w:val="1"/>
    <w:link w:val="266"/>
    <w:autoRedefine/>
    <w:qFormat/>
    <w:uiPriority w:val="0"/>
    <w:rPr>
      <w:sz w:val="24"/>
      <w:szCs w:val="20"/>
    </w:rPr>
  </w:style>
  <w:style w:type="paragraph" w:styleId="27">
    <w:name w:val="Body Text Indent 2"/>
    <w:basedOn w:val="1"/>
    <w:autoRedefine/>
    <w:qFormat/>
    <w:uiPriority w:val="0"/>
    <w:pPr>
      <w:ind w:firstLine="560"/>
    </w:pPr>
    <w:rPr>
      <w:rFonts w:ascii="宋体" w:hAnsi="宋体"/>
      <w:sz w:val="28"/>
    </w:rPr>
  </w:style>
  <w:style w:type="paragraph" w:styleId="28">
    <w:name w:val="endnote text"/>
    <w:basedOn w:val="1"/>
    <w:link w:val="218"/>
    <w:autoRedefine/>
    <w:semiHidden/>
    <w:unhideWhenUsed/>
    <w:qFormat/>
    <w:uiPriority w:val="99"/>
    <w:rPr>
      <w:sz w:val="20"/>
    </w:rPr>
  </w:style>
  <w:style w:type="paragraph" w:styleId="29">
    <w:name w:val="Balloon Text"/>
    <w:basedOn w:val="1"/>
    <w:autoRedefine/>
    <w:semiHidden/>
    <w:qFormat/>
    <w:uiPriority w:val="0"/>
    <w:rPr>
      <w:sz w:val="18"/>
      <w:szCs w:val="18"/>
    </w:rPr>
  </w:style>
  <w:style w:type="paragraph" w:styleId="30">
    <w:name w:val="footer"/>
    <w:basedOn w:val="1"/>
    <w:autoRedefine/>
    <w:qFormat/>
    <w:uiPriority w:val="0"/>
    <w:pPr>
      <w:tabs>
        <w:tab w:val="center" w:pos="4153"/>
        <w:tab w:val="right" w:pos="8306"/>
      </w:tabs>
      <w:jc w:val="left"/>
    </w:pPr>
    <w:rPr>
      <w:sz w:val="18"/>
      <w:szCs w:val="20"/>
    </w:rPr>
  </w:style>
  <w:style w:type="paragraph" w:styleId="31">
    <w:name w:val="header"/>
    <w:basedOn w:val="1"/>
    <w:link w:val="267"/>
    <w:autoRedefine/>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autoRedefine/>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autoRedefine/>
    <w:semiHidden/>
    <w:qFormat/>
    <w:uiPriority w:val="0"/>
    <w:pPr>
      <w:ind w:left="1260"/>
    </w:pPr>
  </w:style>
  <w:style w:type="paragraph" w:styleId="34">
    <w:name w:val="Subtitle"/>
    <w:basedOn w:val="1"/>
    <w:next w:val="1"/>
    <w:link w:val="84"/>
    <w:autoRedefine/>
    <w:qFormat/>
    <w:uiPriority w:val="11"/>
    <w:pPr>
      <w:spacing w:before="200" w:after="200"/>
    </w:pPr>
    <w:rPr>
      <w:sz w:val="24"/>
    </w:rPr>
  </w:style>
  <w:style w:type="paragraph" w:styleId="35">
    <w:name w:val="footnote text"/>
    <w:basedOn w:val="1"/>
    <w:link w:val="217"/>
    <w:autoRedefine/>
    <w:semiHidden/>
    <w:unhideWhenUsed/>
    <w:qFormat/>
    <w:uiPriority w:val="99"/>
    <w:pPr>
      <w:spacing w:after="40"/>
    </w:pPr>
    <w:rPr>
      <w:sz w:val="18"/>
    </w:rPr>
  </w:style>
  <w:style w:type="paragraph" w:styleId="36">
    <w:name w:val="toc 6"/>
    <w:basedOn w:val="1"/>
    <w:next w:val="1"/>
    <w:autoRedefine/>
    <w:semiHidden/>
    <w:qFormat/>
    <w:uiPriority w:val="0"/>
    <w:pPr>
      <w:ind w:left="2100"/>
    </w:pPr>
  </w:style>
  <w:style w:type="paragraph" w:styleId="37">
    <w:name w:val="Body Text Indent 3"/>
    <w:basedOn w:val="1"/>
    <w:autoRedefine/>
    <w:qFormat/>
    <w:uiPriority w:val="0"/>
    <w:pPr>
      <w:ind w:firstLine="523"/>
    </w:pPr>
    <w:rPr>
      <w:rFonts w:ascii="仿宋_GB2312" w:hAnsi="宋体" w:eastAsia="仿宋_GB2312"/>
      <w:sz w:val="24"/>
    </w:rPr>
  </w:style>
  <w:style w:type="paragraph" w:styleId="38">
    <w:name w:val="table of figures"/>
    <w:basedOn w:val="1"/>
    <w:next w:val="1"/>
    <w:autoRedefine/>
    <w:unhideWhenUsed/>
    <w:qFormat/>
    <w:uiPriority w:val="99"/>
  </w:style>
  <w:style w:type="paragraph" w:styleId="39">
    <w:name w:val="toc 2"/>
    <w:basedOn w:val="1"/>
    <w:next w:val="1"/>
    <w:autoRedefine/>
    <w:semiHidden/>
    <w:qFormat/>
    <w:uiPriority w:val="0"/>
    <w:pPr>
      <w:tabs>
        <w:tab w:val="right" w:leader="dot" w:pos="9440"/>
      </w:tabs>
      <w:spacing w:line="260" w:lineRule="exact"/>
      <w:jc w:val="left"/>
    </w:pPr>
    <w:rPr>
      <w:rFonts w:ascii="黑体" w:eastAsia="黑体"/>
      <w:b/>
      <w:bCs/>
      <w:smallCaps/>
      <w:sz w:val="18"/>
      <w:szCs w:val="44"/>
    </w:rPr>
  </w:style>
  <w:style w:type="paragraph" w:styleId="40">
    <w:name w:val="toc 9"/>
    <w:basedOn w:val="1"/>
    <w:next w:val="1"/>
    <w:autoRedefine/>
    <w:semiHidden/>
    <w:qFormat/>
    <w:uiPriority w:val="0"/>
    <w:pPr>
      <w:ind w:left="3360"/>
    </w:pPr>
  </w:style>
  <w:style w:type="paragraph" w:styleId="41">
    <w:name w:val="Body Text 2"/>
    <w:basedOn w:val="1"/>
    <w:autoRedefine/>
    <w:qFormat/>
    <w:uiPriority w:val="0"/>
    <w:pPr>
      <w:jc w:val="center"/>
    </w:pPr>
    <w:rPr>
      <w:rFonts w:ascii="仿宋_GB2312" w:eastAsia="仿宋_GB2312"/>
      <w:sz w:val="44"/>
    </w:rPr>
  </w:style>
  <w:style w:type="paragraph" w:styleId="42">
    <w:name w:val="List Continue 2"/>
    <w:next w:val="1"/>
    <w:autoRedefine/>
    <w:qFormat/>
    <w:uiPriority w:val="0"/>
    <w:pPr>
      <w:widowControl w:val="0"/>
      <w:spacing w:after="120"/>
      <w:ind w:left="840"/>
      <w:jc w:val="both"/>
    </w:pPr>
    <w:rPr>
      <w:rFonts w:hint="default" w:ascii="Times New Roman" w:hAnsi="Times New Roman" w:eastAsia="宋体" w:cs="Times New Roman"/>
      <w:sz w:val="24"/>
      <w:lang w:val="en-US" w:eastAsia="zh-CN" w:bidi="ar-SA"/>
    </w:rPr>
  </w:style>
  <w:style w:type="paragraph" w:styleId="43">
    <w:name w:val="HTML Preformatted"/>
    <w:basedOn w:val="1"/>
    <w:link w:val="2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link w:val="252"/>
    <w:autoRedefine/>
    <w:unhideWhenUsed/>
    <w:qFormat/>
    <w:uiPriority w:val="99"/>
    <w:pPr>
      <w:widowControl/>
      <w:spacing w:before="100" w:beforeAutospacing="1" w:after="100" w:afterAutospacing="1"/>
      <w:jc w:val="left"/>
    </w:pPr>
    <w:rPr>
      <w:rFonts w:ascii="宋体" w:hAnsi="宋体"/>
      <w:sz w:val="24"/>
    </w:rPr>
  </w:style>
  <w:style w:type="paragraph" w:styleId="45">
    <w:name w:val="index 1"/>
    <w:basedOn w:val="1"/>
    <w:next w:val="1"/>
    <w:autoRedefine/>
    <w:semiHidden/>
    <w:qFormat/>
    <w:uiPriority w:val="0"/>
    <w:rPr>
      <w:rFonts w:ascii="宋体" w:hAnsi="宋体"/>
      <w:szCs w:val="18"/>
    </w:rPr>
  </w:style>
  <w:style w:type="paragraph" w:styleId="46">
    <w:name w:val="Title"/>
    <w:basedOn w:val="1"/>
    <w:next w:val="1"/>
    <w:link w:val="269"/>
    <w:autoRedefine/>
    <w:qFormat/>
    <w:uiPriority w:val="0"/>
    <w:pPr>
      <w:spacing w:before="240" w:after="60"/>
      <w:jc w:val="center"/>
      <w:outlineLvl w:val="0"/>
    </w:pPr>
    <w:rPr>
      <w:rFonts w:ascii="Cambria" w:hAnsi="Cambria"/>
      <w:b/>
      <w:bCs/>
      <w:sz w:val="32"/>
      <w:szCs w:val="32"/>
    </w:rPr>
  </w:style>
  <w:style w:type="paragraph" w:styleId="47">
    <w:name w:val="annotation subject"/>
    <w:basedOn w:val="15"/>
    <w:next w:val="15"/>
    <w:link w:val="253"/>
    <w:autoRedefine/>
    <w:qFormat/>
    <w:uiPriority w:val="0"/>
    <w:rPr>
      <w:b/>
      <w:bCs/>
    </w:rPr>
  </w:style>
  <w:style w:type="paragraph" w:styleId="48">
    <w:name w:val="Body Text First Indent"/>
    <w:basedOn w:val="17"/>
    <w:next w:val="36"/>
    <w:autoRedefine/>
    <w:qFormat/>
    <w:uiPriority w:val="99"/>
    <w:pPr>
      <w:spacing w:line="360" w:lineRule="auto"/>
      <w:ind w:firstLine="200"/>
    </w:pPr>
    <w:rPr>
      <w:rFonts w:ascii="仿宋_GB2312" w:eastAsia="仿宋_GB2312"/>
      <w:sz w:val="30"/>
      <w:szCs w:val="30"/>
    </w:rPr>
  </w:style>
  <w:style w:type="paragraph" w:styleId="49">
    <w:name w:val="Body Text First Indent 2"/>
    <w:basedOn w:val="19"/>
    <w:next w:val="12"/>
    <w:autoRedefine/>
    <w:qFormat/>
    <w:uiPriority w:val="0"/>
    <w:pPr>
      <w:spacing w:line="360" w:lineRule="auto"/>
      <w:ind w:firstLine="420"/>
    </w:pPr>
    <w:rPr>
      <w:rFonts w:ascii="宋体" w:hAnsi="宋体" w:eastAsia="宋体"/>
      <w:sz w:val="21"/>
    </w:rPr>
  </w:style>
  <w:style w:type="table" w:styleId="51">
    <w:name w:val="Table Grid"/>
    <w:basedOn w:val="50"/>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autoRedefine/>
    <w:qFormat/>
    <w:uiPriority w:val="0"/>
    <w:rPr>
      <w:b/>
      <w:bCs/>
    </w:rPr>
  </w:style>
  <w:style w:type="character" w:styleId="54">
    <w:name w:val="endnote reference"/>
    <w:basedOn w:val="52"/>
    <w:autoRedefine/>
    <w:semiHidden/>
    <w:unhideWhenUsed/>
    <w:qFormat/>
    <w:uiPriority w:val="99"/>
    <w:rPr>
      <w:vertAlign w:val="superscript"/>
    </w:rPr>
  </w:style>
  <w:style w:type="character" w:styleId="55">
    <w:name w:val="page number"/>
    <w:autoRedefine/>
    <w:qFormat/>
    <w:uiPriority w:val="0"/>
  </w:style>
  <w:style w:type="character" w:styleId="56">
    <w:name w:val="FollowedHyperlink"/>
    <w:autoRedefine/>
    <w:qFormat/>
    <w:uiPriority w:val="0"/>
    <w:rPr>
      <w:color w:val="800080"/>
      <w:u w:val="single"/>
    </w:rPr>
  </w:style>
  <w:style w:type="character" w:styleId="57">
    <w:name w:val="Emphasis"/>
    <w:autoRedefine/>
    <w:qFormat/>
    <w:uiPriority w:val="0"/>
    <w:rPr>
      <w:i/>
    </w:rPr>
  </w:style>
  <w:style w:type="character" w:styleId="58">
    <w:name w:val="Hyperlink"/>
    <w:autoRedefine/>
    <w:qFormat/>
    <w:uiPriority w:val="0"/>
    <w:rPr>
      <w:color w:val="0000FF"/>
      <w:u w:val="single"/>
    </w:rPr>
  </w:style>
  <w:style w:type="character" w:styleId="59">
    <w:name w:val="annotation reference"/>
    <w:autoRedefine/>
    <w:qFormat/>
    <w:uiPriority w:val="99"/>
    <w:rPr>
      <w:sz w:val="21"/>
      <w:szCs w:val="21"/>
    </w:rPr>
  </w:style>
  <w:style w:type="character" w:styleId="60">
    <w:name w:val="footnote reference"/>
    <w:basedOn w:val="52"/>
    <w:autoRedefine/>
    <w:unhideWhenUsed/>
    <w:qFormat/>
    <w:uiPriority w:val="99"/>
    <w:rPr>
      <w:vertAlign w:val="superscript"/>
    </w:rPr>
  </w:style>
  <w:style w:type="character" w:customStyle="1" w:styleId="61">
    <w:name w:val="Heading 6 Char"/>
    <w:basedOn w:val="52"/>
    <w:autoRedefine/>
    <w:qFormat/>
    <w:uiPriority w:val="9"/>
    <w:rPr>
      <w:rFonts w:ascii="Arial" w:hAnsi="Arial" w:eastAsia="Arial" w:cs="Arial"/>
      <w:b/>
      <w:bCs/>
      <w:sz w:val="22"/>
      <w:szCs w:val="22"/>
    </w:rPr>
  </w:style>
  <w:style w:type="character" w:customStyle="1" w:styleId="62">
    <w:name w:val="Heading 7 Char"/>
    <w:basedOn w:val="52"/>
    <w:autoRedefine/>
    <w:qFormat/>
    <w:uiPriority w:val="9"/>
    <w:rPr>
      <w:rFonts w:ascii="Arial" w:hAnsi="Arial" w:eastAsia="Arial" w:cs="Arial"/>
      <w:b/>
      <w:bCs/>
      <w:i/>
      <w:iCs/>
      <w:sz w:val="22"/>
      <w:szCs w:val="22"/>
    </w:rPr>
  </w:style>
  <w:style w:type="character" w:customStyle="1" w:styleId="63">
    <w:name w:val="Heading 9 Char"/>
    <w:basedOn w:val="52"/>
    <w:autoRedefine/>
    <w:qFormat/>
    <w:uiPriority w:val="9"/>
    <w:rPr>
      <w:rFonts w:ascii="Arial" w:hAnsi="Arial" w:eastAsia="Arial" w:cs="Arial"/>
      <w:i/>
      <w:iCs/>
      <w:sz w:val="21"/>
      <w:szCs w:val="21"/>
    </w:rPr>
  </w:style>
  <w:style w:type="character" w:customStyle="1" w:styleId="64">
    <w:name w:val="Subtitle Char"/>
    <w:basedOn w:val="52"/>
    <w:autoRedefine/>
    <w:qFormat/>
    <w:uiPriority w:val="11"/>
    <w:rPr>
      <w:sz w:val="24"/>
      <w:szCs w:val="24"/>
    </w:rPr>
  </w:style>
  <w:style w:type="character" w:customStyle="1" w:styleId="65">
    <w:name w:val="Quote Char"/>
    <w:autoRedefine/>
    <w:qFormat/>
    <w:uiPriority w:val="29"/>
    <w:rPr>
      <w:i/>
    </w:rPr>
  </w:style>
  <w:style w:type="character" w:customStyle="1" w:styleId="66">
    <w:name w:val="Intense Quote Char"/>
    <w:autoRedefine/>
    <w:qFormat/>
    <w:uiPriority w:val="30"/>
    <w:rPr>
      <w:i/>
    </w:rPr>
  </w:style>
  <w:style w:type="character" w:customStyle="1" w:styleId="67">
    <w:name w:val="Footnote Text Char"/>
    <w:autoRedefine/>
    <w:qFormat/>
    <w:uiPriority w:val="99"/>
    <w:rPr>
      <w:sz w:val="18"/>
    </w:rPr>
  </w:style>
  <w:style w:type="character" w:customStyle="1" w:styleId="68">
    <w:name w:val="Endnote Text Char"/>
    <w:autoRedefine/>
    <w:qFormat/>
    <w:uiPriority w:val="99"/>
    <w:rPr>
      <w:sz w:val="20"/>
    </w:rPr>
  </w:style>
  <w:style w:type="paragraph" w:customStyle="1" w:styleId="69">
    <w:name w:val="TOC Heading"/>
    <w:autoRedefine/>
    <w:unhideWhenUsed/>
    <w:qFormat/>
    <w:uiPriority w:val="39"/>
    <w:rPr>
      <w:rFonts w:hint="default" w:ascii="Times New Roman" w:hAnsi="Times New Roman" w:eastAsia="宋体" w:cs="Times New Roman"/>
    </w:rPr>
  </w:style>
  <w:style w:type="paragraph" w:customStyle="1" w:styleId="70">
    <w:name w:val="toc 6_37604f32-55c5-4828-9c68-5d32c7ced314"/>
    <w:next w:val="1"/>
    <w:autoRedefine/>
    <w:qFormat/>
    <w:uiPriority w:val="0"/>
    <w:pPr>
      <w:ind w:left="2125"/>
      <w:jc w:val="both"/>
    </w:pPr>
    <w:rPr>
      <w:rFonts w:hint="default" w:ascii="Times New Roman" w:hAnsi="Times New Roman" w:eastAsia="宋体" w:cs="Times New Roman"/>
      <w:sz w:val="21"/>
      <w:lang w:val="en-US" w:eastAsia="zh-CN" w:bidi="ar-SA"/>
    </w:rPr>
  </w:style>
  <w:style w:type="paragraph" w:customStyle="1" w:styleId="71">
    <w:name w:val="标题 31"/>
    <w:basedOn w:val="1"/>
    <w:next w:val="1"/>
    <w:autoRedefine/>
    <w:qFormat/>
    <w:uiPriority w:val="0"/>
    <w:pPr>
      <w:keepNext/>
      <w:keepLines/>
      <w:spacing w:before="260" w:after="260" w:line="416" w:lineRule="auto"/>
      <w:outlineLvl w:val="2"/>
    </w:pPr>
    <w:rPr>
      <w:b/>
      <w:bCs/>
      <w:sz w:val="32"/>
      <w:szCs w:val="32"/>
    </w:rPr>
  </w:style>
  <w:style w:type="paragraph" w:customStyle="1" w:styleId="72">
    <w:name w:val="正文（缩进）"/>
    <w:basedOn w:val="1"/>
    <w:autoRedefine/>
    <w:qFormat/>
    <w:uiPriority w:val="0"/>
    <w:pPr>
      <w:ind w:firstLine="480"/>
    </w:pPr>
  </w:style>
  <w:style w:type="character" w:customStyle="1" w:styleId="73">
    <w:name w:val="Heading 1 Char"/>
    <w:basedOn w:val="52"/>
    <w:autoRedefine/>
    <w:qFormat/>
    <w:uiPriority w:val="9"/>
    <w:rPr>
      <w:rFonts w:ascii="Arial" w:hAnsi="Arial" w:eastAsia="Arial" w:cs="Arial"/>
      <w:sz w:val="40"/>
      <w:szCs w:val="40"/>
    </w:rPr>
  </w:style>
  <w:style w:type="character" w:customStyle="1" w:styleId="74">
    <w:name w:val="Heading 2 Char"/>
    <w:basedOn w:val="52"/>
    <w:autoRedefine/>
    <w:qFormat/>
    <w:uiPriority w:val="9"/>
    <w:rPr>
      <w:rFonts w:ascii="Arial" w:hAnsi="Arial" w:eastAsia="Arial" w:cs="Arial"/>
      <w:sz w:val="34"/>
    </w:rPr>
  </w:style>
  <w:style w:type="character" w:customStyle="1" w:styleId="75">
    <w:name w:val="Heading 3 Char"/>
    <w:basedOn w:val="52"/>
    <w:autoRedefine/>
    <w:qFormat/>
    <w:uiPriority w:val="9"/>
    <w:rPr>
      <w:rFonts w:ascii="Arial" w:hAnsi="Arial" w:eastAsia="Arial" w:cs="Arial"/>
      <w:sz w:val="30"/>
      <w:szCs w:val="30"/>
    </w:rPr>
  </w:style>
  <w:style w:type="character" w:customStyle="1" w:styleId="76">
    <w:name w:val="Heading 4 Char"/>
    <w:basedOn w:val="52"/>
    <w:autoRedefine/>
    <w:qFormat/>
    <w:uiPriority w:val="9"/>
    <w:rPr>
      <w:rFonts w:ascii="Arial" w:hAnsi="Arial" w:eastAsia="Arial" w:cs="Arial"/>
      <w:b/>
      <w:bCs/>
      <w:sz w:val="26"/>
      <w:szCs w:val="26"/>
    </w:rPr>
  </w:style>
  <w:style w:type="character" w:customStyle="1" w:styleId="77">
    <w:name w:val="Heading 5 Char"/>
    <w:basedOn w:val="52"/>
    <w:autoRedefine/>
    <w:qFormat/>
    <w:uiPriority w:val="9"/>
    <w:rPr>
      <w:rFonts w:ascii="Arial" w:hAnsi="Arial" w:eastAsia="Arial" w:cs="Arial"/>
      <w:b/>
      <w:bCs/>
      <w:sz w:val="24"/>
      <w:szCs w:val="24"/>
    </w:rPr>
  </w:style>
  <w:style w:type="character" w:customStyle="1" w:styleId="78">
    <w:name w:val="标题 6 Char"/>
    <w:basedOn w:val="52"/>
    <w:link w:val="7"/>
    <w:autoRedefine/>
    <w:qFormat/>
    <w:uiPriority w:val="9"/>
    <w:rPr>
      <w:rFonts w:ascii="Arial" w:hAnsi="Arial" w:eastAsia="Arial" w:cs="Arial"/>
      <w:b/>
      <w:bCs/>
      <w:sz w:val="22"/>
      <w:szCs w:val="22"/>
    </w:rPr>
  </w:style>
  <w:style w:type="character" w:customStyle="1" w:styleId="79">
    <w:name w:val="标题 7 Char"/>
    <w:basedOn w:val="52"/>
    <w:link w:val="8"/>
    <w:autoRedefine/>
    <w:qFormat/>
    <w:uiPriority w:val="9"/>
    <w:rPr>
      <w:rFonts w:ascii="Arial" w:hAnsi="Arial" w:eastAsia="Arial" w:cs="Arial"/>
      <w:b/>
      <w:bCs/>
      <w:i/>
      <w:iCs/>
      <w:sz w:val="22"/>
      <w:szCs w:val="22"/>
    </w:rPr>
  </w:style>
  <w:style w:type="character" w:customStyle="1" w:styleId="80">
    <w:name w:val="Heading 8 Char"/>
    <w:basedOn w:val="52"/>
    <w:autoRedefine/>
    <w:qFormat/>
    <w:uiPriority w:val="9"/>
    <w:rPr>
      <w:rFonts w:ascii="Arial" w:hAnsi="Arial" w:eastAsia="Arial" w:cs="Arial"/>
      <w:i/>
      <w:iCs/>
      <w:sz w:val="22"/>
      <w:szCs w:val="22"/>
    </w:rPr>
  </w:style>
  <w:style w:type="character" w:customStyle="1" w:styleId="81">
    <w:name w:val="标题 9 Char"/>
    <w:basedOn w:val="52"/>
    <w:link w:val="10"/>
    <w:autoRedefine/>
    <w:qFormat/>
    <w:uiPriority w:val="9"/>
    <w:rPr>
      <w:rFonts w:ascii="Arial" w:hAnsi="Arial" w:eastAsia="Arial" w:cs="Arial"/>
      <w:i/>
      <w:iCs/>
      <w:sz w:val="21"/>
      <w:szCs w:val="21"/>
    </w:rPr>
  </w:style>
  <w:style w:type="paragraph" w:styleId="82">
    <w:name w:val="No Spacing"/>
    <w:autoRedefine/>
    <w:qFormat/>
    <w:uiPriority w:val="1"/>
    <w:rPr>
      <w:rFonts w:hint="default" w:ascii="Times New Roman" w:hAnsi="Times New Roman" w:eastAsia="宋体" w:cs="Times New Roman"/>
      <w:lang w:val="en-US" w:eastAsia="zh-CN" w:bidi="ar-SA"/>
    </w:rPr>
  </w:style>
  <w:style w:type="character" w:customStyle="1" w:styleId="83">
    <w:name w:val="Title Char"/>
    <w:basedOn w:val="52"/>
    <w:autoRedefine/>
    <w:qFormat/>
    <w:uiPriority w:val="10"/>
    <w:rPr>
      <w:sz w:val="48"/>
      <w:szCs w:val="48"/>
    </w:rPr>
  </w:style>
  <w:style w:type="character" w:customStyle="1" w:styleId="84">
    <w:name w:val="副标题 Char"/>
    <w:basedOn w:val="52"/>
    <w:link w:val="34"/>
    <w:autoRedefine/>
    <w:qFormat/>
    <w:uiPriority w:val="11"/>
    <w:rPr>
      <w:sz w:val="24"/>
      <w:szCs w:val="24"/>
    </w:rPr>
  </w:style>
  <w:style w:type="paragraph" w:styleId="85">
    <w:name w:val="Quote"/>
    <w:basedOn w:val="1"/>
    <w:next w:val="1"/>
    <w:link w:val="86"/>
    <w:autoRedefine/>
    <w:qFormat/>
    <w:uiPriority w:val="29"/>
    <w:pPr>
      <w:ind w:left="720" w:right="720"/>
    </w:pPr>
    <w:rPr>
      <w:i/>
    </w:rPr>
  </w:style>
  <w:style w:type="character" w:customStyle="1" w:styleId="86">
    <w:name w:val="引用 Char"/>
    <w:link w:val="85"/>
    <w:autoRedefine/>
    <w:qFormat/>
    <w:uiPriority w:val="29"/>
    <w:rPr>
      <w:i/>
    </w:rPr>
  </w:style>
  <w:style w:type="paragraph" w:styleId="87">
    <w:name w:val="Intense Quote"/>
    <w:basedOn w:val="1"/>
    <w:next w:val="1"/>
    <w:link w:val="8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Char"/>
    <w:link w:val="87"/>
    <w:autoRedefine/>
    <w:qFormat/>
    <w:uiPriority w:val="30"/>
    <w:rPr>
      <w:i/>
    </w:rPr>
  </w:style>
  <w:style w:type="character" w:customStyle="1" w:styleId="89">
    <w:name w:val="Header Char"/>
    <w:basedOn w:val="52"/>
    <w:autoRedefine/>
    <w:qFormat/>
    <w:uiPriority w:val="99"/>
  </w:style>
  <w:style w:type="character" w:customStyle="1" w:styleId="90">
    <w:name w:val="Footer Char"/>
    <w:basedOn w:val="52"/>
    <w:autoRedefine/>
    <w:qFormat/>
    <w:uiPriority w:val="99"/>
  </w:style>
  <w:style w:type="character" w:customStyle="1" w:styleId="91">
    <w:name w:val="Caption Char"/>
    <w:autoRedefine/>
    <w:qFormat/>
    <w:uiPriority w:val="99"/>
  </w:style>
  <w:style w:type="table" w:customStyle="1" w:styleId="92">
    <w:name w:val="Table Grid Light"/>
    <w:basedOn w:val="50"/>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Plain Table 1"/>
    <w:basedOn w:val="50"/>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Plain Table 2"/>
    <w:basedOn w:val="50"/>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Plain Table 3"/>
    <w:basedOn w:val="50"/>
    <w:autoRedefine/>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4"/>
    <w:basedOn w:val="50"/>
    <w:autoRedefine/>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Plain Table 5"/>
    <w:basedOn w:val="50"/>
    <w:autoRedefine/>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Grid Table 1 Light"/>
    <w:basedOn w:val="50"/>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50"/>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basedOn w:val="50"/>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basedOn w:val="50"/>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basedOn w:val="50"/>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basedOn w:val="50"/>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basedOn w:val="50"/>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Grid Table 2"/>
    <w:basedOn w:val="50"/>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50"/>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basedOn w:val="50"/>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basedOn w:val="50"/>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basedOn w:val="50"/>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basedOn w:val="50"/>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basedOn w:val="50"/>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w:basedOn w:val="50"/>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50"/>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basedOn w:val="50"/>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basedOn w:val="50"/>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basedOn w:val="50"/>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basedOn w:val="50"/>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basedOn w:val="50"/>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4"/>
    <w:basedOn w:val="50"/>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50"/>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basedOn w:val="50"/>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basedOn w:val="50"/>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basedOn w:val="50"/>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basedOn w:val="50"/>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basedOn w:val="50"/>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w:basedOn w:val="5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5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basedOn w:val="5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basedOn w:val="5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basedOn w:val="5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basedOn w:val="5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basedOn w:val="50"/>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w:basedOn w:val="50"/>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basedOn w:val="50"/>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basedOn w:val="50"/>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basedOn w:val="50"/>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6 Colorful - Accent 4"/>
    <w:basedOn w:val="50"/>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basedOn w:val="50"/>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basedOn w:val="50"/>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Grid Table 7 Colorful"/>
    <w:basedOn w:val="50"/>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basedOn w:val="50"/>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basedOn w:val="50"/>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basedOn w:val="50"/>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7 Colorful - Accent 4"/>
    <w:basedOn w:val="50"/>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basedOn w:val="50"/>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basedOn w:val="50"/>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w:basedOn w:val="50"/>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50"/>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basedOn w:val="50"/>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basedOn w:val="50"/>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basedOn w:val="50"/>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basedOn w:val="50"/>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basedOn w:val="50"/>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List Table 2"/>
    <w:basedOn w:val="50"/>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50"/>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basedOn w:val="50"/>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basedOn w:val="50"/>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basedOn w:val="50"/>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basedOn w:val="50"/>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basedOn w:val="50"/>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3"/>
    <w:basedOn w:val="50"/>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50"/>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basedOn w:val="50"/>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basedOn w:val="50"/>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basedOn w:val="50"/>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basedOn w:val="50"/>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basedOn w:val="50"/>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List Table 4"/>
    <w:basedOn w:val="50"/>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50"/>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basedOn w:val="50"/>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basedOn w:val="50"/>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basedOn w:val="50"/>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basedOn w:val="50"/>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basedOn w:val="50"/>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5 Dark"/>
    <w:basedOn w:val="50"/>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50"/>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basedOn w:val="50"/>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basedOn w:val="50"/>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basedOn w:val="50"/>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basedOn w:val="50"/>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basedOn w:val="50"/>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List Table 6 Colorful"/>
    <w:basedOn w:val="50"/>
    <w:autoRedefine/>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basedOn w:val="50"/>
    <w:autoRedefine/>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basedOn w:val="50"/>
    <w:autoRedefine/>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basedOn w:val="50"/>
    <w:autoRedefine/>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basedOn w:val="50"/>
    <w:autoRedefine/>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basedOn w:val="50"/>
    <w:autoRedefine/>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basedOn w:val="50"/>
    <w:autoRedefine/>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st Table 7 Colorful"/>
    <w:basedOn w:val="50"/>
    <w:autoRedefine/>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basedOn w:val="50"/>
    <w:autoRedefine/>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basedOn w:val="50"/>
    <w:autoRedefine/>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basedOn w:val="50"/>
    <w:autoRedefine/>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basedOn w:val="50"/>
    <w:autoRedefine/>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basedOn w:val="50"/>
    <w:autoRedefine/>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basedOn w:val="50"/>
    <w:autoRedefine/>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basedOn w:val="50"/>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50"/>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basedOn w:val="50"/>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basedOn w:val="50"/>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basedOn w:val="50"/>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basedOn w:val="50"/>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basedOn w:val="50"/>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basedOn w:val="50"/>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50"/>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basedOn w:val="50"/>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basedOn w:val="50"/>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basedOn w:val="50"/>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basedOn w:val="50"/>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basedOn w:val="50"/>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basedOn w:val="50"/>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50"/>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basedOn w:val="50"/>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basedOn w:val="50"/>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basedOn w:val="50"/>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basedOn w:val="50"/>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basedOn w:val="50"/>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脚注文本 Char"/>
    <w:link w:val="35"/>
    <w:autoRedefine/>
    <w:qFormat/>
    <w:uiPriority w:val="99"/>
    <w:rPr>
      <w:sz w:val="18"/>
    </w:rPr>
  </w:style>
  <w:style w:type="character" w:customStyle="1" w:styleId="218">
    <w:name w:val="尾注文本 Char"/>
    <w:link w:val="28"/>
    <w:autoRedefine/>
    <w:qFormat/>
    <w:uiPriority w:val="99"/>
    <w:rPr>
      <w:sz w:val="20"/>
    </w:rPr>
  </w:style>
  <w:style w:type="paragraph" w:customStyle="1" w:styleId="219">
    <w:name w:val="TOC 标题1"/>
    <w:autoRedefine/>
    <w:unhideWhenUsed/>
    <w:qFormat/>
    <w:uiPriority w:val="39"/>
    <w:rPr>
      <w:rFonts w:hint="default" w:ascii="Times New Roman" w:hAnsi="Times New Roman" w:eastAsia="宋体" w:cs="Times New Roman"/>
      <w:lang w:val="en-US" w:eastAsia="zh-CN" w:bidi="ar-SA"/>
    </w:rPr>
  </w:style>
  <w:style w:type="paragraph" w:customStyle="1" w:styleId="220">
    <w:name w:val="Coms Alinea"/>
    <w:autoRedefine/>
    <w:qFormat/>
    <w:uiPriority w:val="0"/>
    <w:pPr>
      <w:widowControl w:val="0"/>
    </w:pPr>
    <w:rPr>
      <w:rFonts w:hint="default" w:ascii="Arial" w:hAnsi="Arial" w:eastAsia="宋体" w:cs="Arial"/>
      <w:lang w:val="en-US" w:eastAsia="zh-CN" w:bidi="ar-SA"/>
    </w:rPr>
  </w:style>
  <w:style w:type="paragraph" w:customStyle="1" w:styleId="221">
    <w:name w:val="表格"/>
    <w:basedOn w:val="1"/>
    <w:autoRedefine/>
    <w:qFormat/>
    <w:uiPriority w:val="0"/>
    <w:rPr>
      <w:rFonts w:ascii="华文细黑" w:hAnsi="华文细黑" w:eastAsia="华文细黑"/>
    </w:rPr>
  </w:style>
  <w:style w:type="paragraph" w:customStyle="1" w:styleId="222">
    <w:name w:val="正文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3">
    <w:name w:val="正文 1.1.1"/>
    <w:basedOn w:val="1"/>
    <w:next w:val="1"/>
    <w:autoRedefine/>
    <w:qFormat/>
    <w:uiPriority w:val="0"/>
    <w:pPr>
      <w:tabs>
        <w:tab w:val="left" w:pos="851"/>
      </w:tabs>
      <w:spacing w:line="360" w:lineRule="auto"/>
      <w:outlineLvl w:val="2"/>
    </w:pPr>
    <w:rPr>
      <w:rFonts w:ascii="宋体" w:hAnsi="宋体"/>
      <w:color w:val="000000"/>
      <w:sz w:val="28"/>
      <w:szCs w:val="21"/>
    </w:rPr>
  </w:style>
  <w:style w:type="paragraph" w:customStyle="1" w:styleId="224">
    <w:name w:val="列出段落1"/>
    <w:basedOn w:val="1"/>
    <w:link w:val="270"/>
    <w:autoRedefine/>
    <w:qFormat/>
    <w:uiPriority w:val="0"/>
    <w:pPr>
      <w:widowControl/>
      <w:ind w:left="720"/>
      <w:contextualSpacing/>
      <w:jc w:val="left"/>
    </w:pPr>
    <w:rPr>
      <w:sz w:val="24"/>
      <w:lang w:eastAsia="en-US" w:bidi="en-US"/>
    </w:rPr>
  </w:style>
  <w:style w:type="paragraph" w:customStyle="1" w:styleId="225">
    <w:name w:val="HTML 预先格式化"/>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26">
    <w:name w:val="_Style 57"/>
    <w:autoRedefine/>
    <w:semiHidden/>
    <w:qFormat/>
    <w:uiPriority w:val="99"/>
    <w:rPr>
      <w:rFonts w:hint="default" w:ascii="Calibri" w:hAnsi="Calibri" w:eastAsia="宋体" w:cs="Times New Roman"/>
      <w:sz w:val="21"/>
      <w:szCs w:val="24"/>
      <w:lang w:val="en-US" w:eastAsia="zh-CN" w:bidi="ar-SA"/>
    </w:rPr>
  </w:style>
  <w:style w:type="paragraph" w:customStyle="1" w:styleId="227">
    <w:name w:val="标题3"/>
    <w:basedOn w:val="1"/>
    <w:next w:val="1"/>
    <w:autoRedefine/>
    <w:qFormat/>
    <w:uiPriority w:val="0"/>
    <w:rPr>
      <w:rFonts w:eastAsia="方正黑体_GBK"/>
    </w:rPr>
  </w:style>
  <w:style w:type="paragraph" w:customStyle="1" w:styleId="228">
    <w:name w:val="列出段落_0"/>
    <w:basedOn w:val="222"/>
    <w:autoRedefine/>
    <w:qFormat/>
    <w:uiPriority w:val="0"/>
    <w:pPr>
      <w:ind w:firstLine="420"/>
    </w:pPr>
  </w:style>
  <w:style w:type="paragraph" w:customStyle="1" w:styleId="229">
    <w:name w:val="Table Text"/>
    <w:autoRedefine/>
    <w:qFormat/>
    <w:uiPriority w:val="0"/>
    <w:pPr>
      <w:spacing w:after="80"/>
      <w:jc w:val="center"/>
    </w:pPr>
    <w:rPr>
      <w:rFonts w:hint="default" w:ascii="仿宋_GB2312" w:hAnsi="宋体" w:eastAsia="仿宋_GB2312" w:cs="Times New Roman"/>
      <w:sz w:val="24"/>
      <w:lang w:val="en-US" w:eastAsia="zh-CN" w:bidi="ar-SA"/>
    </w:rPr>
  </w:style>
  <w:style w:type="paragraph" w:customStyle="1" w:styleId="230">
    <w:name w:val="正文空2格  1."/>
    <w:basedOn w:val="1"/>
    <w:autoRedefine/>
    <w:qFormat/>
    <w:uiPriority w:val="0"/>
    <w:pPr>
      <w:spacing w:line="360" w:lineRule="auto"/>
      <w:ind w:firstLine="480"/>
    </w:pPr>
    <w:rPr>
      <w:rFonts w:ascii="宋体" w:eastAsia="仿宋" w:cs="宋体"/>
      <w:sz w:val="28"/>
      <w:szCs w:val="20"/>
    </w:rPr>
  </w:style>
  <w:style w:type="paragraph" w:customStyle="1" w:styleId="231">
    <w:name w:val="标题2"/>
    <w:basedOn w:val="1"/>
    <w:next w:val="1"/>
    <w:autoRedefine/>
    <w:qFormat/>
    <w:uiPriority w:val="0"/>
    <w:pPr>
      <w:jc w:val="center"/>
    </w:pPr>
    <w:rPr>
      <w:rFonts w:eastAsia="方正楷体_GBK"/>
    </w:rPr>
  </w:style>
  <w:style w:type="paragraph" w:customStyle="1" w:styleId="232">
    <w:name w:val="标书正文格式"/>
    <w:autoRedefine/>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233">
    <w:name w:val="附录1"/>
    <w:autoRedefine/>
    <w:qFormat/>
    <w:uiPriority w:val="0"/>
    <w:pPr>
      <w:tabs>
        <w:tab w:val="left" w:pos="907"/>
      </w:tabs>
      <w:spacing w:before="240" w:line="600" w:lineRule="atLeast"/>
      <w:ind w:left="907" w:hanging="907"/>
    </w:pPr>
    <w:rPr>
      <w:rFonts w:hint="default" w:ascii="Calibri" w:hAnsi="Calibri" w:eastAsia="宋体" w:cs="Times New Roman"/>
      <w:b/>
      <w:i/>
      <w:sz w:val="28"/>
      <w:lang w:val="en-US" w:eastAsia="zh-CN" w:bidi="ar-SA"/>
    </w:rPr>
  </w:style>
  <w:style w:type="paragraph" w:customStyle="1" w:styleId="234">
    <w:name w:val="正文 第一章"/>
    <w:basedOn w:val="1"/>
    <w:next w:val="235"/>
    <w:autoRedefine/>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35">
    <w:name w:val="正文 1.1"/>
    <w:basedOn w:val="1"/>
    <w:next w:val="223"/>
    <w:autoRedefine/>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236">
    <w:name w:val="_Style 64"/>
    <w:autoRedefine/>
    <w:unhideWhenUsed/>
    <w:qFormat/>
    <w:uiPriority w:val="99"/>
    <w:rPr>
      <w:rFonts w:hint="default" w:ascii="Calibri" w:hAnsi="Calibri" w:eastAsia="宋体" w:cs="Times New Roman"/>
      <w:sz w:val="21"/>
      <w:szCs w:val="24"/>
      <w:lang w:val="en-US" w:eastAsia="zh-CN" w:bidi="ar-SA"/>
    </w:rPr>
  </w:style>
  <w:style w:type="paragraph" w:customStyle="1" w:styleId="237">
    <w:name w:val="Char Char Char Char1 Char Char"/>
    <w:basedOn w:val="1"/>
    <w:autoRedefine/>
    <w:qFormat/>
    <w:uiPriority w:val="0"/>
    <w:pPr>
      <w:tabs>
        <w:tab w:val="left" w:pos="360"/>
      </w:tabs>
    </w:pPr>
    <w:rPr>
      <w:sz w:val="24"/>
    </w:rPr>
  </w:style>
  <w:style w:type="paragraph" w:customStyle="1" w:styleId="238">
    <w:name w:val="BioQuote Tekst"/>
    <w:basedOn w:val="1"/>
    <w:autoRedefine/>
    <w:qFormat/>
    <w:uiPriority w:val="0"/>
    <w:pPr>
      <w:ind w:right="-1"/>
    </w:pPr>
    <w:rPr>
      <w:rFonts w:ascii="Arial" w:hAnsi="Arial"/>
      <w:sz w:val="22"/>
      <w:szCs w:val="20"/>
      <w:lang w:eastAsia="en-US"/>
    </w:rPr>
  </w:style>
  <w:style w:type="paragraph" w:customStyle="1" w:styleId="239">
    <w:name w:val="Char Char Char Char1 Char Char Char"/>
    <w:basedOn w:val="14"/>
    <w:autoRedefine/>
    <w:qFormat/>
    <w:uiPriority w:val="0"/>
    <w:pPr>
      <w:spacing w:line="360" w:lineRule="auto"/>
    </w:pPr>
    <w:rPr>
      <w:rFonts w:ascii="Tahoma" w:hAnsi="Tahoma"/>
      <w:sz w:val="24"/>
    </w:rPr>
  </w:style>
  <w:style w:type="paragraph" w:customStyle="1" w:styleId="240">
    <w:name w:val="普通正文"/>
    <w:basedOn w:val="1"/>
    <w:autoRedefine/>
    <w:qFormat/>
    <w:uiPriority w:val="0"/>
    <w:pPr>
      <w:spacing w:before="120" w:after="120" w:line="360" w:lineRule="auto"/>
      <w:ind w:firstLine="480"/>
      <w:jc w:val="left"/>
    </w:pPr>
    <w:rPr>
      <w:rFonts w:ascii="Arial" w:hAnsi="Arial"/>
      <w:sz w:val="24"/>
    </w:rPr>
  </w:style>
  <w:style w:type="paragraph" w:customStyle="1" w:styleId="241">
    <w:name w:val="Char"/>
    <w:basedOn w:val="1"/>
    <w:autoRedefine/>
    <w:qFormat/>
    <w:uiPriority w:val="0"/>
    <w:rPr>
      <w:rFonts w:ascii="Tahoma" w:hAnsi="Tahoma"/>
      <w:sz w:val="24"/>
      <w:szCs w:val="20"/>
    </w:rPr>
  </w:style>
  <w:style w:type="paragraph" w:customStyle="1" w:styleId="242">
    <w:name w:val="标题1"/>
    <w:basedOn w:val="1"/>
    <w:next w:val="1"/>
    <w:autoRedefine/>
    <w:qFormat/>
    <w:uiPriority w:val="0"/>
    <w:pPr>
      <w:tabs>
        <w:tab w:val="left" w:pos="9193"/>
        <w:tab w:val="left" w:pos="9827"/>
      </w:tabs>
      <w:spacing w:line="700" w:lineRule="atLeast"/>
      <w:jc w:val="center"/>
    </w:pPr>
    <w:rPr>
      <w:rFonts w:eastAsia="方正小标宋_GBK"/>
      <w:sz w:val="44"/>
    </w:rPr>
  </w:style>
  <w:style w:type="paragraph" w:customStyle="1" w:styleId="243">
    <w:name w:val="Body text|1"/>
    <w:basedOn w:val="1"/>
    <w:autoRedefine/>
    <w:qFormat/>
    <w:uiPriority w:val="0"/>
    <w:pPr>
      <w:spacing w:line="346" w:lineRule="auto"/>
    </w:pPr>
    <w:rPr>
      <w:rFonts w:ascii="MingLiU" w:hAnsi="MingLiU" w:eastAsia="MingLiU" w:cs="MingLiU"/>
      <w:sz w:val="15"/>
      <w:szCs w:val="15"/>
      <w:lang w:val="zh-TW" w:eastAsia="zh-TW" w:bidi="zh-TW"/>
    </w:rPr>
  </w:style>
  <w:style w:type="paragraph" w:customStyle="1" w:styleId="244">
    <w:name w:val="xl47"/>
    <w:basedOn w:val="1"/>
    <w:autoRedefine/>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45">
    <w:name w:val="列出段落2"/>
    <w:basedOn w:val="1"/>
    <w:autoRedefine/>
    <w:qFormat/>
    <w:uiPriority w:val="0"/>
    <w:pPr>
      <w:ind w:firstLine="420"/>
    </w:pPr>
    <w:rPr>
      <w:szCs w:val="22"/>
    </w:rPr>
  </w:style>
  <w:style w:type="paragraph" w:customStyle="1" w:styleId="246">
    <w:name w:val="Char Char Char Char"/>
    <w:basedOn w:val="14"/>
    <w:autoRedefine/>
    <w:qFormat/>
    <w:uiPriority w:val="0"/>
    <w:pPr>
      <w:spacing w:line="360" w:lineRule="auto"/>
    </w:pPr>
    <w:rPr>
      <w:rFonts w:ascii="Tahoma" w:hAnsi="Tahoma"/>
      <w:sz w:val="24"/>
    </w:rPr>
  </w:style>
  <w:style w:type="paragraph" w:customStyle="1" w:styleId="247">
    <w:name w:val="默认段落字体 Para Char Char Char Char Char Char Char Char Char1 Char Char Char Char Char Char Char"/>
    <w:basedOn w:val="14"/>
    <w:autoRedefine/>
    <w:qFormat/>
    <w:uiPriority w:val="0"/>
    <w:rPr>
      <w:rFonts w:ascii="Tahoma" w:hAnsi="Tahoma"/>
      <w:sz w:val="24"/>
    </w:rPr>
  </w:style>
  <w:style w:type="paragraph" w:customStyle="1" w:styleId="248">
    <w:name w:val="Char1"/>
    <w:basedOn w:val="1"/>
    <w:autoRedefine/>
    <w:qFormat/>
    <w:uiPriority w:val="0"/>
    <w:pPr>
      <w:tabs>
        <w:tab w:val="left" w:pos="360"/>
      </w:tabs>
    </w:pPr>
    <w:rPr>
      <w:sz w:val="24"/>
    </w:rPr>
  </w:style>
  <w:style w:type="paragraph" w:styleId="249">
    <w:name w:val="List Paragraph"/>
    <w:basedOn w:val="1"/>
    <w:autoRedefine/>
    <w:qFormat/>
    <w:uiPriority w:val="34"/>
    <w:pPr>
      <w:ind w:firstLine="420"/>
    </w:pPr>
    <w:rPr>
      <w:szCs w:val="22"/>
    </w:rPr>
  </w:style>
  <w:style w:type="paragraph" w:customStyle="1" w:styleId="250">
    <w:name w:val="第四级"/>
    <w:basedOn w:val="1"/>
    <w:next w:val="1"/>
    <w:autoRedefine/>
    <w:qFormat/>
    <w:uiPriority w:val="0"/>
    <w:pPr>
      <w:tabs>
        <w:tab w:val="left" w:pos="1134"/>
      </w:tabs>
      <w:spacing w:line="360" w:lineRule="auto"/>
    </w:pPr>
    <w:rPr>
      <w:rFonts w:ascii="宋体" w:hAnsi="宋体" w:eastAsia="仿宋"/>
      <w:sz w:val="28"/>
      <w:szCs w:val="21"/>
    </w:rPr>
  </w:style>
  <w:style w:type="character" w:customStyle="1" w:styleId="251">
    <w:name w:val="NormalCharacter"/>
    <w:autoRedefine/>
    <w:qFormat/>
    <w:uiPriority w:val="0"/>
    <w:rPr>
      <w:rFonts w:ascii="Calibri" w:hAnsi="Calibri" w:eastAsia="宋体" w:cs="Times New Roman"/>
      <w:sz w:val="21"/>
      <w:szCs w:val="24"/>
      <w:lang w:val="en-US" w:eastAsia="zh-CN" w:bidi="ar-SA"/>
    </w:rPr>
  </w:style>
  <w:style w:type="character" w:customStyle="1" w:styleId="252">
    <w:name w:val="普通(网站) Char"/>
    <w:link w:val="44"/>
    <w:autoRedefine/>
    <w:qFormat/>
    <w:uiPriority w:val="0"/>
    <w:rPr>
      <w:rFonts w:ascii="宋体" w:hAnsi="宋体" w:cs="宋体"/>
      <w:sz w:val="24"/>
      <w:szCs w:val="24"/>
    </w:rPr>
  </w:style>
  <w:style w:type="character" w:customStyle="1" w:styleId="253">
    <w:name w:val="批注主题 Char"/>
    <w:link w:val="47"/>
    <w:autoRedefine/>
    <w:qFormat/>
    <w:uiPriority w:val="0"/>
    <w:rPr>
      <w:b/>
      <w:bCs/>
      <w:sz w:val="21"/>
      <w:szCs w:val="24"/>
    </w:rPr>
  </w:style>
  <w:style w:type="character" w:customStyle="1" w:styleId="254">
    <w:name w:val="apple-converted-space"/>
    <w:basedOn w:val="52"/>
    <w:autoRedefine/>
    <w:qFormat/>
    <w:uiPriority w:val="0"/>
  </w:style>
  <w:style w:type="character" w:customStyle="1" w:styleId="255">
    <w:name w:val="纯文本 Char"/>
    <w:link w:val="24"/>
    <w:autoRedefine/>
    <w:qFormat/>
    <w:uiPriority w:val="99"/>
    <w:rPr>
      <w:rFonts w:ascii="宋体" w:hAnsi="Courier New"/>
      <w:sz w:val="21"/>
    </w:rPr>
  </w:style>
  <w:style w:type="character" w:customStyle="1" w:styleId="256">
    <w:name w:val="标题2 Char"/>
    <w:autoRedefine/>
    <w:qFormat/>
    <w:uiPriority w:val="0"/>
    <w:rPr>
      <w:rFonts w:ascii="方正楷体_GBK" w:hAnsi="Book Antiqua" w:eastAsia="方正楷体_GBK"/>
      <w:sz w:val="32"/>
      <w:lang w:val="en-US" w:eastAsia="zh-CN" w:bidi="ar-SA"/>
    </w:rPr>
  </w:style>
  <w:style w:type="character" w:customStyle="1" w:styleId="257">
    <w:name w:val="font01"/>
    <w:autoRedefine/>
    <w:qFormat/>
    <w:uiPriority w:val="0"/>
    <w:rPr>
      <w:rFonts w:hint="default" w:ascii="Times New Roman" w:hAnsi="Times New Roman" w:eastAsia="宋体" w:cs="Times New Roman"/>
      <w:color w:val="000000"/>
      <w:sz w:val="22"/>
      <w:szCs w:val="22"/>
      <w:u w:val="none"/>
    </w:rPr>
  </w:style>
  <w:style w:type="character" w:customStyle="1" w:styleId="258">
    <w:name w:val="fc01294d3e-4153-482a-aea1-4b54892b7913-0"/>
    <w:autoRedefine/>
    <w:qFormat/>
    <w:uiPriority w:val="0"/>
    <w:rPr>
      <w:rFonts w:ascii="Tahoma" w:hAnsi="Tahoma" w:eastAsia="Tahoma"/>
      <w:sz w:val="24"/>
      <w:szCs w:val="24"/>
      <w:shd w:val="clear" w:color="auto" w:fill="auto"/>
    </w:rPr>
  </w:style>
  <w:style w:type="character" w:customStyle="1" w:styleId="259">
    <w:name w:val="font81"/>
    <w:autoRedefine/>
    <w:qFormat/>
    <w:uiPriority w:val="0"/>
    <w:rPr>
      <w:rFonts w:hint="default" w:ascii="方正仿宋_GBK" w:hAnsi="方正仿宋_GBK" w:eastAsia="方正仿宋_GBK" w:cs="方正仿宋_GBK"/>
      <w:color w:val="000000"/>
      <w:sz w:val="16"/>
      <w:szCs w:val="16"/>
      <w:u w:val="none"/>
    </w:rPr>
  </w:style>
  <w:style w:type="character" w:customStyle="1" w:styleId="260">
    <w:name w:val="font31"/>
    <w:autoRedefine/>
    <w:qFormat/>
    <w:uiPriority w:val="0"/>
    <w:rPr>
      <w:rFonts w:ascii="方正仿宋_GBK" w:hAnsi="方正仿宋_GBK" w:eastAsia="方正仿宋_GBK" w:cs="方正仿宋_GBK"/>
      <w:color w:val="000000"/>
      <w:sz w:val="22"/>
      <w:szCs w:val="22"/>
      <w:u w:val="none"/>
    </w:rPr>
  </w:style>
  <w:style w:type="character" w:customStyle="1" w:styleId="261">
    <w:name w:val="标题 1 Char"/>
    <w:link w:val="3"/>
    <w:autoRedefine/>
    <w:qFormat/>
    <w:uiPriority w:val="0"/>
    <w:rPr>
      <w:rFonts w:ascii="楷体_GB2312" w:eastAsia="楷体_GB2312"/>
      <w:sz w:val="28"/>
      <w:lang w:val="en-US" w:eastAsia="zh-CN" w:bidi="ar-SA"/>
    </w:rPr>
  </w:style>
  <w:style w:type="character" w:customStyle="1" w:styleId="262">
    <w:name w:val="标题 2 Char"/>
    <w:link w:val="4"/>
    <w:autoRedefine/>
    <w:qFormat/>
    <w:uiPriority w:val="0"/>
    <w:rPr>
      <w:rFonts w:ascii="Arial" w:hAnsi="Arial" w:eastAsia="幼圆"/>
      <w:b/>
      <w:sz w:val="44"/>
    </w:rPr>
  </w:style>
  <w:style w:type="character" w:customStyle="1" w:styleId="263">
    <w:name w:val="正文缩进 Char"/>
    <w:link w:val="12"/>
    <w:autoRedefine/>
    <w:qFormat/>
    <w:uiPriority w:val="0"/>
    <w:rPr>
      <w:rFonts w:eastAsia="宋体"/>
      <w:sz w:val="21"/>
      <w:lang w:val="en-US" w:eastAsia="zh-CN" w:bidi="ar-SA"/>
    </w:rPr>
  </w:style>
  <w:style w:type="character" w:customStyle="1" w:styleId="264">
    <w:name w:val="批注文字 Char"/>
    <w:link w:val="15"/>
    <w:autoRedefine/>
    <w:qFormat/>
    <w:uiPriority w:val="99"/>
    <w:rPr>
      <w:sz w:val="21"/>
      <w:szCs w:val="24"/>
    </w:rPr>
  </w:style>
  <w:style w:type="character" w:customStyle="1" w:styleId="265">
    <w:name w:val="正文文本 Char"/>
    <w:link w:val="17"/>
    <w:autoRedefine/>
    <w:qFormat/>
    <w:uiPriority w:val="0"/>
    <w:rPr>
      <w:rFonts w:ascii="楷体_GB2312" w:hAnsi="Arial" w:eastAsia="楷体_GB2312"/>
      <w:sz w:val="28"/>
    </w:rPr>
  </w:style>
  <w:style w:type="character" w:customStyle="1" w:styleId="266">
    <w:name w:val="日期 Char"/>
    <w:link w:val="26"/>
    <w:autoRedefine/>
    <w:qFormat/>
    <w:uiPriority w:val="0"/>
    <w:rPr>
      <w:sz w:val="24"/>
    </w:rPr>
  </w:style>
  <w:style w:type="character" w:customStyle="1" w:styleId="267">
    <w:name w:val="页眉 Char"/>
    <w:link w:val="31"/>
    <w:autoRedefine/>
    <w:qFormat/>
    <w:uiPriority w:val="99"/>
    <w:rPr>
      <w:sz w:val="18"/>
      <w:szCs w:val="18"/>
    </w:rPr>
  </w:style>
  <w:style w:type="character" w:customStyle="1" w:styleId="268">
    <w:name w:val="HTML 预设格式 Char"/>
    <w:link w:val="43"/>
    <w:autoRedefine/>
    <w:qFormat/>
    <w:uiPriority w:val="0"/>
    <w:rPr>
      <w:rFonts w:ascii="黑体" w:hAnsi="Courier New" w:eastAsia="黑体" w:cs="Courier New"/>
    </w:rPr>
  </w:style>
  <w:style w:type="character" w:customStyle="1" w:styleId="269">
    <w:name w:val="标题 Char"/>
    <w:link w:val="46"/>
    <w:autoRedefine/>
    <w:qFormat/>
    <w:uiPriority w:val="0"/>
    <w:rPr>
      <w:rFonts w:ascii="Cambria" w:hAnsi="Cambria" w:cs="Times New Roman"/>
      <w:b/>
      <w:bCs/>
      <w:sz w:val="32"/>
      <w:szCs w:val="32"/>
    </w:rPr>
  </w:style>
  <w:style w:type="character" w:customStyle="1" w:styleId="270">
    <w:name w:val="列出段落 Char"/>
    <w:link w:val="224"/>
    <w:autoRedefine/>
    <w:qFormat/>
    <w:uiPriority w:val="0"/>
    <w:rPr>
      <w:rFonts w:ascii="Calibri" w:hAnsi="Calibri"/>
      <w:sz w:val="24"/>
      <w:szCs w:val="24"/>
      <w:lang w:eastAsia="en-US" w:bidi="en-US"/>
    </w:rPr>
  </w:style>
  <w:style w:type="character" w:customStyle="1" w:styleId="271">
    <w:name w:val="font71"/>
    <w:autoRedefine/>
    <w:qFormat/>
    <w:uiPriority w:val="0"/>
    <w:rPr>
      <w:rFonts w:hint="eastAsia" w:ascii="宋体" w:hAnsi="宋体" w:eastAsia="宋体" w:cs="宋体"/>
      <w:color w:val="000000"/>
      <w:sz w:val="21"/>
      <w:szCs w:val="21"/>
      <w:u w:val="none"/>
    </w:rPr>
  </w:style>
  <w:style w:type="character" w:customStyle="1" w:styleId="272">
    <w:name w:val="jj1"/>
    <w:autoRedefine/>
    <w:qFormat/>
    <w:uiPriority w:val="0"/>
    <w:rPr>
      <w:sz w:val="20"/>
      <w:szCs w:val="20"/>
      <w:u w:val="none"/>
    </w:rPr>
  </w:style>
  <w:style w:type="paragraph" w:customStyle="1" w:styleId="273">
    <w:name w:val="首行缩进"/>
    <w:basedOn w:val="1"/>
    <w:autoRedefine/>
    <w:qFormat/>
    <w:uiPriority w:val="0"/>
    <w:pPr>
      <w:spacing w:line="360" w:lineRule="auto"/>
      <w:ind w:firstLine="480"/>
    </w:pPr>
    <w:rPr>
      <w:rFonts w:ascii="宋体" w:hAnsi="宋体" w:cs="宋体"/>
      <w:sz w:val="24"/>
    </w:rPr>
  </w:style>
  <w:style w:type="paragraph" w:customStyle="1" w:styleId="274">
    <w:name w:val="正文1"/>
    <w:basedOn w:val="1"/>
    <w:autoRedefine/>
    <w:qFormat/>
    <w:uiPriority w:val="0"/>
    <w:pPr>
      <w:widowControl/>
      <w:spacing w:line="440" w:lineRule="exact"/>
      <w:ind w:right="-167"/>
    </w:pPr>
    <w:rPr>
      <w:rFonts w:ascii="Times New Roman" w:hAnsi="Times New Roman"/>
      <w:b/>
    </w:rPr>
  </w:style>
  <w:style w:type="paragraph" w:customStyle="1" w:styleId="275">
    <w:name w:val="样式 首行缩进:  2 字符3"/>
    <w:autoRedefine/>
    <w:qFormat/>
    <w:uiPriority w:val="0"/>
    <w:pPr>
      <w:widowControl w:val="0"/>
      <w:spacing w:line="360" w:lineRule="auto"/>
      <w:ind w:firstLine="480"/>
      <w:jc w:val="both"/>
    </w:pPr>
    <w:rPr>
      <w:rFonts w:hint="default" w:ascii="宋体" w:hAnsi="Times New Roman" w:eastAsia="宋体" w:cs="宋体"/>
      <w:sz w:val="24"/>
      <w:szCs w:val="24"/>
      <w:lang w:val="en-US" w:eastAsia="zh-CN" w:bidi="ar-SA"/>
    </w:rPr>
  </w:style>
  <w:style w:type="paragraph" w:customStyle="1" w:styleId="276">
    <w:name w:val="修订1"/>
    <w:autoRedefine/>
    <w:hidden/>
    <w:semiHidden/>
    <w:qFormat/>
    <w:uiPriority w:val="99"/>
    <w:rPr>
      <w:rFonts w:hint="default" w:ascii="Calibri" w:hAnsi="Calibri" w:eastAsia="宋体" w:cs="Times New Roman"/>
      <w:sz w:val="21"/>
      <w:szCs w:val="24"/>
      <w:lang w:val="en-US" w:eastAsia="zh-CN" w:bidi="ar-SA"/>
    </w:rPr>
  </w:style>
  <w:style w:type="character" w:customStyle="1" w:styleId="277">
    <w:name w:val="font11"/>
    <w:basedOn w:val="52"/>
    <w:autoRedefine/>
    <w:qFormat/>
    <w:uiPriority w:val="0"/>
    <w:rPr>
      <w:rFonts w:hint="eastAsia" w:ascii="宋体" w:hAnsi="宋体" w:eastAsia="宋体" w:cs="宋体"/>
      <w:b/>
      <w:bCs/>
      <w:color w:val="000000"/>
      <w:sz w:val="22"/>
      <w:szCs w:val="22"/>
      <w:u w:val="none"/>
    </w:rPr>
  </w:style>
  <w:style w:type="paragraph" w:customStyle="1" w:styleId="278">
    <w:name w:val="段"/>
    <w:next w:val="1"/>
    <w:autoRedefine/>
    <w:qFormat/>
    <w:uiPriority w:val="99"/>
    <w:pPr>
      <w:widowControl w:val="0"/>
      <w:ind w:firstLine="200"/>
      <w:jc w:val="both"/>
    </w:pPr>
    <w:rPr>
      <w:rFonts w:hint="default" w:ascii="宋体" w:hAnsi="宋体" w:eastAsia="宋体" w:cs="宋体"/>
      <w:color w:val="000000"/>
      <w:sz w:val="21"/>
      <w:szCs w:val="21"/>
      <w:lang w:val="en-US" w:eastAsia="zh-CN" w:bidi="ar-SA"/>
    </w:rPr>
  </w:style>
  <w:style w:type="paragraph" w:customStyle="1" w:styleId="279">
    <w:name w:val="_Style 7"/>
    <w:basedOn w:val="1"/>
    <w:next w:val="249"/>
    <w:autoRedefine/>
    <w:qFormat/>
    <w:uiPriority w:val="34"/>
    <w:pPr>
      <w:ind w:firstLine="420"/>
    </w:pPr>
  </w:style>
  <w:style w:type="paragraph" w:customStyle="1" w:styleId="280">
    <w:name w:val="Table Paragraph"/>
    <w:basedOn w:val="1"/>
    <w:autoRedefine/>
    <w:qFormat/>
    <w:uiPriority w:val="1"/>
    <w:rPr>
      <w:rFonts w:ascii="宋体" w:hAnsi="宋体" w:cs="宋体"/>
      <w:lang w:val="zh-CN" w:bidi="zh-CN"/>
    </w:rPr>
  </w:style>
  <w:style w:type="paragraph" w:customStyle="1" w:styleId="281">
    <w:name w:val="正文首行缩进1"/>
    <w:basedOn w:val="1"/>
    <w:autoRedefine/>
    <w:qFormat/>
    <w:uiPriority w:val="99"/>
    <w:pPr>
      <w:spacing w:line="360" w:lineRule="auto"/>
      <w:ind w:firstLine="200"/>
    </w:pPr>
    <w:rPr>
      <w:rFonts w:ascii="仿宋_GB2312" w:eastAsia="仿宋_GB2312"/>
      <w:sz w:val="30"/>
      <w:szCs w:val="30"/>
    </w:rPr>
  </w:style>
  <w:style w:type="paragraph" w:customStyle="1" w:styleId="282">
    <w:name w:val="目录 61"/>
    <w:basedOn w:val="1"/>
    <w:next w:val="1"/>
    <w:autoRedefine/>
    <w:semiHidden/>
    <w:qFormat/>
    <w:uiPriority w:val="0"/>
    <w:pPr>
      <w:ind w:left="2100"/>
    </w:pPr>
  </w:style>
  <w:style w:type="paragraph" w:customStyle="1" w:styleId="283">
    <w:name w:val="正文2"/>
    <w:autoRedefine/>
    <w:qFormat/>
    <w:uiPriority w:val="0"/>
    <w:rPr>
      <w:rFonts w:hint="default" w:ascii="Times New Roman" w:hAnsi="Times New Roman" w:eastAsia="微软雅黑" w:cs="Times New Roman"/>
      <w:sz w:val="24"/>
      <w:szCs w:val="24"/>
      <w:lang w:val="en-US" w:eastAsia="zh-CN" w:bidi="ar-SA"/>
    </w:rPr>
  </w:style>
  <w:style w:type="paragraph" w:customStyle="1" w:styleId="284">
    <w:name w:val="正文_2"/>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5">
    <w:name w:val="正文文本1"/>
    <w:basedOn w:val="1"/>
    <w:next w:val="286"/>
    <w:autoRedefine/>
    <w:qFormat/>
    <w:uiPriority w:val="0"/>
    <w:pPr>
      <w:spacing w:line="400" w:lineRule="exact"/>
    </w:pPr>
    <w:rPr>
      <w:rFonts w:ascii="楷体_GB2312"/>
      <w:sz w:val="28"/>
    </w:rPr>
  </w:style>
  <w:style w:type="paragraph" w:customStyle="1" w:styleId="286">
    <w:name w:val="正文缩进1"/>
    <w:basedOn w:val="1"/>
    <w:next w:val="1"/>
    <w:autoRedefine/>
    <w:unhideWhenUsed/>
    <w:qFormat/>
    <w:uiPriority w:val="0"/>
    <w:pPr>
      <w:ind w:firstLine="420"/>
    </w:pPr>
    <w:rPr>
      <w:rFonts w:ascii="楷体_GB2312" w:eastAsia="楷体_GB2312"/>
      <w:sz w:val="24"/>
    </w:rPr>
  </w:style>
  <w:style w:type="paragraph" w:customStyle="1" w:styleId="287">
    <w:name w:val="列出段落3"/>
    <w:basedOn w:val="1"/>
    <w:autoRedefine/>
    <w:qFormat/>
    <w:uiPriority w:val="0"/>
    <w:pPr>
      <w:ind w:firstLine="420"/>
    </w:pPr>
    <w:rPr>
      <w:szCs w:val="20"/>
    </w:rPr>
  </w:style>
  <w:style w:type="character" w:customStyle="1" w:styleId="288">
    <w:name w:val="NormalCharacter1"/>
    <w:link w:val="1"/>
    <w:autoRedefine/>
    <w:semiHidden/>
    <w:qFormat/>
    <w:uiPriority w:val="0"/>
    <w:rPr>
      <w:rFonts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135c73e8-76a6-415f-93cc-23ca48578b70</errorID>
      <errorWord>（</errorWord>
      <group>L1_Punc</group>
      <groupName>标点问题</groupName>
      <ability>L2_Punc</ability>
      <abilityName>标点符号检查</abilityName>
      <candidateList/>
      <explain>同一形式括号套用。</explain>
      <paraID>666EE172</paraID>
      <start>101</start>
      <end>102</end>
      <status>unmodified</status>
      <modifiedWord/>
      <trackRevisions>false</trackRevisions>
    </reviewItem>
    <reviewItem>
      <errorID>59813edb-17d9-4ab0-b74b-61dabcae5df1</errorID>
      <errorWord>）</errorWord>
      <group>L1_Punc</group>
      <groupName>标点问题</groupName>
      <ability>L2_Punc</ability>
      <abilityName>标点符号检查</abilityName>
      <candidateList/>
      <explain>同一形式括号套用。</explain>
      <paraID>666EE172</paraID>
      <start>112</start>
      <end>113</end>
      <status>unmodified</status>
      <modifiedWord/>
      <trackRevisions>false</trackRevisions>
    </reviewItem>
    <reviewItem>
      <errorID>a1608097-5eb3-4daf-b936-f43023c9860b</errorID>
      <errorWord>-</errorWord>
      <group>L1_Format</group>
      <groupName>格式问题</groupName>
      <ability>L2_HalfPunc</ability>
      <abilityName>全半角检查</abilityName>
      <candidateList>
        <item>－</item>
      </candidateList>
      <explain>文本全半角错误。</explain>
      <paraID>6B5F1DC2</paraID>
      <start>14</start>
      <end>15</end>
      <status>unmodified</status>
      <modifiedWord/>
      <trackRevisions>false</trackRevisions>
    </reviewItem>
    <reviewItem>
      <errorID>9b08bfa1-9398-4c4b-9124-553931139574</errorID>
      <errorWord>-</errorWord>
      <group>L1_Format</group>
      <groupName>格式问题</groupName>
      <ability>L2_HalfPunc</ability>
      <abilityName>全半角检查</abilityName>
      <candidateList>
        <item>－</item>
      </candidateList>
      <explain>文本全半角错误。</explain>
      <paraID>6B5F1DC2</paraID>
      <start>15</start>
      <end>16</end>
      <status>unmodified</status>
      <modifiedWord/>
      <trackRevisions>false</trackRevisions>
    </reviewItem>
    <reviewItem>
      <errorID>c05e77e4-1f1c-4fc8-8ef3-f33c87f268b3</errorID>
      <errorWord>“.</errorWord>
      <group>L1_Punc</group>
      <groupName>标点问题</groupName>
      <ability>L2_Punc</ability>
      <abilityName>标点符号检查</abilityName>
      <candidateList>
        <item>“</item>
      </candidateList>
      <explain/>
      <paraID>6B5F1DC2</paraID>
      <start>57</start>
      <end>59</end>
      <status>unmodified</status>
      <modifiedWord/>
      <trackRevisions>false</trackRevisions>
    </reviewItem>
    <reviewItem>
      <errorID>6abfe6d4-ac7f-43b7-bd2e-60dc8d6877cc</errorID>
      <errorWord>“.</errorWord>
      <group>L1_Punc</group>
      <groupName>标点问题</groupName>
      <ability>L2_Punc</ability>
      <abilityName>标点符号检查</abilityName>
      <candidateList>
        <item>“</item>
      </candidateList>
      <explain/>
      <paraID>6B5F1DC2</paraID>
      <start>72</start>
      <end>74</end>
      <status>unmodified</status>
      <modifiedWord/>
      <trackRevisions>false</trackRevisions>
    </reviewItem>
    <reviewItem>
      <errorID>b126585e-36c8-42d3-98d8-26abfaacf83b</errorID>
      <errorWord>-</errorWord>
      <group>L1_Format</group>
      <groupName>格式问题</groupName>
      <ability>L2_HalfPunc</ability>
      <abilityName>全半角检查</abilityName>
      <candidateList>
        <item>－</item>
      </candidateList>
      <explain>文本全半角错误。</explain>
      <paraID>6B5F1DC2</paraID>
      <start>95</start>
      <end>96</end>
      <status>unmodified</status>
      <modifiedWord/>
      <trackRevisions>false</trackRevisions>
    </reviewItem>
    <reviewItem>
      <errorID>7f978245-8961-4281-bc22-39c6f0cdf453</errorID>
      <errorWord>-</errorWord>
      <group>L1_Format</group>
      <groupName>格式问题</groupName>
      <ability>L2_HalfPunc</ability>
      <abilityName>全半角检查</abilityName>
      <candidateList>
        <item>－</item>
      </candidateList>
      <explain>文本全半角错误。</explain>
      <paraID>6B5F1DC2</paraID>
      <start>96</start>
      <end>97</end>
      <status>unmodified</status>
      <modifiedWord/>
      <trackRevisions>false</trackRevisions>
    </reviewItem>
    <reviewItem>
      <errorID>af709808-89ee-422f-bc89-5e7fdb0ced5e</errorID>
      <errorWord>-</errorWord>
      <group>L1_Format</group>
      <groupName>格式问题</groupName>
      <ability>L2_HalfPunc</ability>
      <abilityName>全半角检查</abilityName>
      <candidateList>
        <item>－</item>
      </candidateList>
      <explain>文本全半角错误。</explain>
      <paraID>6B5F1DC2</paraID>
      <start>103</start>
      <end>104</end>
      <status>unmodified</status>
      <modifiedWord/>
      <trackRevisions>false</trackRevisions>
    </reviewItem>
    <reviewItem>
      <errorID>d88743f6-9616-422b-aec1-4cf0defa098c</errorID>
      <errorWord>-</errorWord>
      <group>L1_Format</group>
      <groupName>格式问题</groupName>
      <ability>L2_HalfPunc</ability>
      <abilityName>全半角检查</abilityName>
      <candidateList>
        <item>－</item>
      </candidateList>
      <explain>文本全半角错误。</explain>
      <paraID>6B5F1DC2</paraID>
      <start>104</start>
      <end>105</end>
      <status>unmodified</status>
      <modifiedWord/>
      <trackRevisions>false</trackRevisions>
    </reviewItem>
    <reviewItem>
      <errorID>c55187a9-3606-4d40-94a3-e1471eeaa76e</errorID>
      <errorWord>-</errorWord>
      <group>L1_Format</group>
      <groupName>格式问题</groupName>
      <ability>L2_HalfPunc</ability>
      <abilityName>全半角检查</abilityName>
      <candidateList>
        <item>－</item>
      </candidateList>
      <explain>文本全半角错误。</explain>
      <paraID>6B5F1DC2</paraID>
      <start>175</start>
      <end>176</end>
      <status>unmodified</status>
      <modifiedWord/>
      <trackRevisions>false</trackRevisions>
    </reviewItem>
    <reviewItem>
      <errorID>06437ae9-d9e6-4069-ae28-6ef427e746a8</errorID>
      <errorWord>-</errorWord>
      <group>L1_Format</group>
      <groupName>格式问题</groupName>
      <ability>L2_HalfPunc</ability>
      <abilityName>全半角检查</abilityName>
      <candidateList>
        <item>－</item>
      </candidateList>
      <explain>文本全半角错误。</explain>
      <paraID> 430B82B</paraID>
      <start>31</start>
      <end>32</end>
      <status>unmodified</status>
      <modifiedWord/>
      <trackRevisions>false</trackRevisions>
    </reviewItem>
    <reviewItem>
      <errorID>c89fb3d0-3e34-43fe-982c-78d273acfc02</errorID>
      <errorWord>“.</errorWord>
      <group>L1_Punc</group>
      <groupName>标点问题</groupName>
      <ability>L2_Punc</ability>
      <abilityName>标点符号检查</abilityName>
      <candidateList>
        <item>“</item>
      </candidateList>
      <explain/>
      <paraID>4FCC60C4</paraID>
      <start>13</start>
      <end>15</end>
      <status>unmodified</status>
      <modifiedWord/>
      <trackRevisions>false</trackRevisions>
    </reviewItem>
    <reviewItem>
      <errorID>0c9295f9-2e65-4254-8c79-5b3297f1aa45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98E6F3C</paraID>
      <start>0</start>
      <end>2</end>
      <status>unmodified</status>
      <modifiedWord/>
      <trackRevisions>false</trackRevisions>
    </reviewItem>
    <reviewItem>
      <errorID>6485b568-f66b-4466-9e8f-924fad7996e9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6F5D3F12</paraID>
      <start>0</start>
      <end>2</end>
      <status>unmodified</status>
      <modifiedWord/>
      <trackRevisions>false</trackRevisions>
    </reviewItem>
    <reviewItem>
      <errorID>6b012b26-a94c-4f25-93af-f2a2a7d2fe79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65EB48FE</paraID>
      <start>0</start>
      <end>2</end>
      <status>unmodified</status>
      <modifiedWord/>
      <trackRevisions>false</trackRevisions>
    </reviewItem>
    <reviewItem>
      <errorID>2f29df53-0cf6-4e5d-8920-48c50658bff7</errorID>
      <errorWord>：。</errorWord>
      <group>L1_Punc</group>
      <groupName>标点问题</groupName>
      <ability>L2_Punc</ability>
      <abilityName>标点符号检查</abilityName>
      <candidateList>
        <item>：</item>
      </candidateList>
      <explain/>
      <paraID>47FD7024</paraID>
      <start>20</start>
      <end>22</end>
      <status>unmodified</status>
      <modifiedWord/>
      <trackRevisions>false</trackRevisions>
    </reviewItem>
    <reviewItem>
      <errorID>bae49965-76d3-4b89-b349-7b8ee29bd338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2ADAE1E6</paraID>
      <start>0</start>
      <end>2</end>
      <status>unmodified</status>
      <modifiedWord/>
      <trackRevisions>false</trackRevisions>
    </reviewItem>
    <reviewItem>
      <errorID>2e188805-616b-4db1-a6ee-c3b3886ce8a1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6ABB9125</paraID>
      <start>0</start>
      <end>2</end>
      <status>unmodified</status>
      <modifiedWord/>
      <trackRevisions>false</trackRevisions>
    </reviewItem>
    <reviewItem>
      <errorID>997a23a9-e74b-4b4d-b854-496b75587802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3F6C6038</paraID>
      <start>0</start>
      <end>2</end>
      <status>unmodified</status>
      <modifiedWord/>
      <trackRevisions>false</trackRevisions>
    </reviewItem>
    <reviewItem>
      <errorID>d2ee25da-95df-4f93-ab87-2f35cf150ab3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40EC7DD2</paraID>
      <start>0</start>
      <end>2</end>
      <status>unmodified</status>
      <modifiedWord/>
      <trackRevisions>false</trackRevisions>
    </reviewItem>
    <reviewItem>
      <errorID>a8507dc7-ba65-4a5b-b90a-88fa2b8ec0bf</errorID>
      <errorWord>间</errorWord>
      <group>L1_Word</group>
      <groupName>字词问题</groupName>
      <ability>L2_Typo</ability>
      <abilityName>字词错误</abilityName>
      <candidateList>
        <item>间之</item>
      </candidateList>
      <explain/>
      <paraID>  9B61E1</paraID>
      <start>9</start>
      <end>10</end>
      <status>unmodified</status>
      <modifiedWord/>
      <trackRevisions>false</trackRevisions>
    </reviewItem>
    <reviewItem>
      <errorID>a49251b7-c9df-4685-9fa3-b666c9a96535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516F3B2F</paraID>
      <start>0</start>
      <end>2</end>
      <status>unmodified</status>
      <modifiedWord/>
      <trackRevisions>false</trackRevisions>
    </reviewItem>
    <reviewItem>
      <errorID>be1cd4bc-cee6-422a-a6e2-ca94fe0419cb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193CCC9C</paraID>
      <start>0</start>
      <end>3</end>
      <status>unmodified</status>
      <modifiedWord/>
      <trackRevisions>false</trackRevisions>
    </reviewItem>
    <reviewItem>
      <errorID>0f77239d-3032-4a37-b84a-39cd8976c67a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CD13837</paraID>
      <start>0</start>
      <end>3</end>
      <status>unmodified</status>
      <modifiedWord/>
      <trackRevisions>false</trackRevisions>
    </reviewItem>
    <reviewItem>
      <errorID>2ac64bb6-0e54-4ab8-a2fe-6dd73c8c4223</errorID>
      <errorWord>法律、法规</errorWord>
      <group>L1_Word</group>
      <groupName>字词问题</groupName>
      <ability>L2_Typo</ability>
      <abilityName>字词错误</abilityName>
      <candidateList>
        <item>法律法规</item>
      </candidateList>
      <explain/>
      <paraID> 6204E16</paraID>
      <start>10</start>
      <end>15</end>
      <status>unmodified</status>
      <modifiedWord/>
      <trackRevisions>false</trackRevisions>
    </reviewItem>
    <reviewItem>
      <errorID>2579ac98-d25f-423f-bb29-61bf5539e9b2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741F10F</paraID>
      <start>0</start>
      <end>3</end>
      <status>unmodified</status>
      <modifiedWord/>
      <trackRevisions>false</trackRevisions>
    </reviewItem>
    <reviewItem>
      <errorID>fa8454da-b34b-42a9-bd35-eff404b75023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40D59B13</paraID>
      <start>0</start>
      <end>3</end>
      <status>unmodified</status>
      <modifiedWord/>
      <trackRevisions>false</trackRevisions>
    </reviewItem>
    <reviewItem>
      <errorID>b725e83d-45e5-438c-ae5e-fc30c624a7c9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7D2D521A</paraID>
      <start>0</start>
      <end>3</end>
      <status>unmodified</status>
      <modifiedWord/>
      <trackRevisions>false</trackRevisions>
    </reviewItem>
    <reviewItem>
      <errorID>a50dbd83-e5b0-48bb-ab1b-51a2c9bebf4a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97EC0BB</paraID>
      <start>0</start>
      <end>3</end>
      <status>unmodified</status>
      <modifiedWord/>
      <trackRevisions>false</trackRevisions>
    </reviewItem>
    <reviewItem>
      <errorID>d12b579e-3c4e-4f7c-a287-61d8cf640381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7AB21EF5</paraID>
      <start>0</start>
      <end>3</end>
      <status>unmodified</status>
      <modifiedWord/>
      <trackRevisions>false</trackRevisions>
    </reviewItem>
    <reviewItem>
      <errorID>3c00d5cc-cd4c-463e-b9a8-685326bb6e56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55EDBC3B</paraID>
      <start>0</start>
      <end>3</end>
      <status>unmodified</status>
      <modifiedWord/>
      <trackRevisions>false</trackRevisions>
    </reviewItem>
    <reviewItem>
      <errorID>619ead53-58c6-4cc9-aee2-2089967ff68e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4E22BCFF</paraID>
      <start>0</start>
      <end>3</end>
      <status>unmodified</status>
      <modifiedWord/>
      <trackRevisions>false</trackRevisions>
    </reviewItem>
    <reviewItem>
      <errorID>63b900c4-8537-4e33-a4e7-62ed3db9f328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6FF561BC</paraID>
      <start>0</start>
      <end>3</end>
      <status>unmodified</status>
      <modifiedWord/>
      <trackRevisions>false</trackRevisions>
    </reviewItem>
    <reviewItem>
      <errorID>507923ab-c439-4047-83cd-149e522fd2b8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1AF2C400</paraID>
      <start>0</start>
      <end>3</end>
      <status>unmodified</status>
      <modifiedWord/>
      <trackRevisions>false</trackRevisions>
    </reviewItem>
    <reviewItem>
      <errorID>ad0f1d91-4f36-4b6c-94b6-ebe5c90989f7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4334C35C</paraID>
      <start>0</start>
      <end>3</end>
      <status>unmodified</status>
      <modifiedWord/>
      <trackRevisions>false</trackRevisions>
    </reviewItem>
    <reviewItem>
      <errorID>c9364052-997a-4992-9501-86450f1ab40e</errorID>
      <errorWord>涉及到</errorWord>
      <group>L1_Grammar</group>
      <groupName>语法问题</groupName>
      <ability>L2_Grammar</ability>
      <abilityName>语法错误</abilityName>
      <candidateList>
        <item>涉及</item>
      </candidateList>
      <explain>〈动〉牵涉到；关联到：案子～好几个人｜这个问题～面很广。</explain>
      <paraID>346D5CCE</paraID>
      <start>13</start>
      <end>16</end>
      <status>unmodified</status>
      <modifiedWord/>
      <trackRevisions>false</trackRevisions>
    </reviewItem>
    <reviewItem>
      <errorID>f011bf63-4a04-4385-9144-d09f1f05d58f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47456551</paraID>
      <start>0</start>
      <end>3</end>
      <status>unmodified</status>
      <modifiedWord/>
      <trackRevisions>false</trackRevisions>
    </reviewItem>
    <reviewItem>
      <errorID>3cc415b7-70a1-429f-b3a4-23170dfe47a3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66A29AD8</paraID>
      <start>0</start>
      <end>3</end>
      <status>unmodified</status>
      <modifiedWord/>
      <trackRevisions>false</trackRevisions>
    </reviewItem>
    <reviewItem>
      <errorID>5c61881f-ad34-4279-a54d-34d6ba2b1c3e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75A0AA0E</paraID>
      <start>0</start>
      <end>3</end>
      <status>unmodified</status>
      <modifiedWord/>
      <trackRevisions>false</trackRevisions>
    </reviewItem>
    <reviewItem>
      <errorID>6d7ff602-ead2-4376-8c1b-e75e6aac67c8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2DEF7568</paraID>
      <start>0</start>
      <end>3</end>
      <status>unmodified</status>
      <modifiedWord/>
      <trackRevisions>false</trackRevisions>
    </reviewItem>
    <reviewItem>
      <errorID>753dff54-e2e8-4af2-a0b0-4f3f1f015e51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138A8966</paraID>
      <start>0</start>
      <end>3</end>
      <status>unmodified</status>
      <modifiedWord/>
      <trackRevisions>false</trackRevisions>
    </reviewItem>
    <reviewItem>
      <errorID>1a6bcda4-fa57-4636-8043-842496017c47</errorID>
      <errorWord>&lt;</errorWord>
      <group>L1_Format</group>
      <groupName>格式问题</groupName>
      <ability>L2_HalfPunc</ability>
      <abilityName>全半角检查</abilityName>
      <candidateList>
        <item>〈</item>
      </candidateList>
      <explain>文本全半角错误。</explain>
      <paraID>4807866D</paraID>
      <start>49</start>
      <end>50</end>
      <status>unmodified</status>
      <modifiedWord/>
      <trackRevisions>false</trackRevisions>
    </reviewItem>
    <reviewItem>
      <errorID>8d6363a2-6821-4f7f-bf72-46c49a72c343</errorID>
      <errorWord>&lt;</errorWord>
      <group>L1_Format</group>
      <groupName>格式问题</groupName>
      <ability>L2_HalfPunc</ability>
      <abilityName>全半角检查</abilityName>
      <candidateList>
        <item>〈</item>
      </candidateList>
      <explain>文本全半角错误。</explain>
      <paraID>495A28A6</paraID>
      <start>49</start>
      <end>50</end>
      <status>unmodified</status>
      <modifiedWord/>
      <trackRevisions>false</trackRevisions>
    </reviewItem>
    <reviewItem>
      <errorID>60842ab3-cbf3-463c-b1cb-06dddbbb5248</errorID>
      <errorWord>&lt;</errorWord>
      <group>L1_Format</group>
      <groupName>格式问题</groupName>
      <ability>L2_HalfPunc</ability>
      <abilityName>全半角检查</abilityName>
      <candidateList>
        <item>〈</item>
      </candidateList>
      <explain>文本全半角错误。</explain>
      <paraID>43AFD3EC</paraID>
      <start>34</start>
      <end>35</end>
      <status>unmodified</status>
      <modifiedWord/>
      <trackRevisions>false</trackRevisions>
    </reviewItem>
    <reviewItem>
      <errorID>78e228b1-ce36-4fbb-9786-4f819bf2e8e5</errorID>
      <errorWord>法律、法规</errorWord>
      <group>L1_Word</group>
      <groupName>字词问题</groupName>
      <ability>L2_Typo</ability>
      <abilityName>字词错误</abilityName>
      <candidateList>
        <item>法律法规</item>
      </candidateList>
      <explain/>
      <paraID>3CAECA2F</paraID>
      <start>9</start>
      <end>14</end>
      <status>unmodified</status>
      <modifiedWord/>
      <trackRevisions>false</trackRevisions>
    </reviewItem>
    <reviewItem>
      <errorID>1948db32-e1f5-489f-a5b3-5049eb744b9e</errorID>
      <errorWord>属</errorWord>
      <group>L1_Word</group>
      <groupName>字词问题</groupName>
      <ability>L2_Typo</ability>
      <abilityName>字词错误</abilityName>
      <candidateList>
        <item>属于</item>
      </candidateList>
      <explain/>
      <paraID>3CAECA2F</paraID>
      <start>23</start>
      <end>24</end>
      <status>unmodified</status>
      <modifiedWord/>
      <trackRevisions>false</trackRevisions>
    </reviewItem>
    <reviewItem>
      <errorID>08af5dbe-4ce5-4621-b71c-71dbaa7cdd0b</errorID>
      <errorWord>系统系统故障</errorWord>
      <group>L1_Word</group>
      <groupName>字词问题</groupName>
      <ability>L2_Typo</ability>
      <abilityName>字词错误</abilityName>
      <candidateList>
        <item>系统故障</item>
      </candidateList>
      <explain/>
      <paraID>6A415280</paraID>
      <start>10</start>
      <end>16</end>
      <status>unmodified</status>
      <modifiedWord/>
      <trackRevisions>false</trackRevisions>
    </reviewItem>
    <reviewItem>
      <errorID>e18152d0-e457-44ce-9bf9-71c470dd7773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7CEA09B9</paraID>
      <start>0</start>
      <end>3</end>
      <status>unmodified</status>
      <modifiedWord/>
      <trackRevisions>false</trackRevisions>
    </reviewItem>
    <reviewItem>
      <errorID>e525447a-5aef-4cfd-b216-afbcbfac4f1c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5BDC37C9</paraID>
      <start>0</start>
      <end>3</end>
      <status>unmodified</status>
      <modifiedWord/>
      <trackRevisions>false</trackRevisions>
    </reviewItem>
    <reviewItem>
      <errorID>2a6cfd76-1b33-4184-8903-a534e14a9326</errorID>
      <errorWord>：，</errorWord>
      <group>L1_Punc</group>
      <groupName>标点问题</groupName>
      <ability>L2_Punc</ability>
      <abilityName>标点符号检查</abilityName>
      <candidateList>
        <item>：</item>
      </candidateList>
      <explain/>
      <paraID>3AB8F07E</paraID>
      <start>73</start>
      <end>75</end>
      <status>unmodified</status>
      <modifiedWord/>
      <trackRevisions>false</trackRevisions>
    </reviewItem>
    <reviewItem>
      <errorID>9fc710c4-15bd-421f-84ba-bf447ba2ede0</errorID>
      <errorWord>：。</errorWord>
      <group>L1_Punc</group>
      <groupName>标点问题</groupName>
      <ability>L2_Punc</ability>
      <abilityName>标点符号检查</abilityName>
      <candidateList>
        <item>：</item>
      </candidateList>
      <explain/>
      <paraID>3AB8F07E</paraID>
      <start>79</start>
      <end>81</end>
      <status>unmodified</status>
      <modifiedWord/>
      <trackRevisions>false</trackRevisions>
    </reviewItem>
    <reviewItem>
      <errorID>5abcf9f4-53b2-4b69-b98c-7e3ecfb3d01a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4CF38C62</paraID>
      <start>0</start>
      <end>3</end>
      <status>unmodified</status>
      <modifiedWord/>
      <trackRevisions>false</trackRevisions>
    </reviewItem>
    <reviewItem>
      <errorID>92186f0e-bef4-4573-9bbf-6016a9511a5c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6D81E15E</paraID>
      <start>0</start>
      <end>3</end>
      <status>unmodified</status>
      <modifiedWord/>
      <trackRevisions>false</trackRevisions>
    </reviewItem>
    <reviewItem>
      <errorID>8b5c7f71-82be-4555-9011-5fc9c9115989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60107163</paraID>
      <start>0</start>
      <end>3</end>
      <status>unmodified</status>
      <modifiedWord/>
      <trackRevisions>false</trackRevisions>
    </reviewItem>
    <reviewItem>
      <errorID>8decce00-ec32-40e8-81f6-0443797e7779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6E2A7021</paraID>
      <start>0</start>
      <end>3</end>
      <status>unmodified</status>
      <modifiedWord/>
      <trackRevisions>false</trackRevisions>
    </reviewItem>
    <reviewItem>
      <errorID>2ee1935f-5392-4317-9840-99b7754c28ff</errorID>
      <errorWord>&lt;</errorWord>
      <group>L1_Format</group>
      <groupName>格式问题</groupName>
      <ability>L2_HalfPunc</ability>
      <abilityName>全半角检查</abilityName>
      <candidateList>
        <item>〈</item>
      </candidateList>
      <explain>文本全半角错误。</explain>
      <paraID>3237FE94</paraID>
      <start>21</start>
      <end>22</end>
      <status>unmodified</status>
      <modifiedWord/>
      <trackRevisions>false</trackRevisions>
    </reviewItem>
    <reviewItem>
      <errorID>b734fbaf-fe97-46b2-b537-8cf1e3b040df</errorID>
      <errorWord>&gt;的通知》</errorWord>
      <group>L1_Punc</group>
      <groupName>标点问题</groupName>
      <ability>L2_Punc</ability>
      <abilityName>标点符号检查</abilityName>
      <candidateList>
        <item>〉的通知》</item>
      </candidateList>
      <explain/>
      <paraID>3237FE94</paraID>
      <start>45</start>
      <end>50</end>
      <status>unmodified</status>
      <modifiedWord/>
      <trackRevisions>false</trackRevisions>
    </reviewItem>
    <reviewItem>
      <errorID>70fa5921-09ea-41c7-9e5e-e57aa9afa1ff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3237FE94</paraID>
      <start>164</start>
      <end>167</end>
      <status>unmodified</status>
      <modifiedWord/>
      <trackRevisions>false</trackRevisions>
    </reviewItem>
    <reviewItem>
      <errorID>50b60915-a7e8-47fe-a64a-742f54eb639e</errorID>
      <errorWord>(</errorWord>
      <group>L1_Format</group>
      <groupName>格式问题</groupName>
      <ability>L2_HalfPunc</ability>
      <abilityName>全半角检查</abilityName>
      <candidateList>
        <item>（</item>
      </candidateList>
      <explain>文本全半角错误。</explain>
      <paraID>4EE9522E</paraID>
      <start>124</start>
      <end>125</end>
      <status>modified</status>
      <modifiedWord>（</modifiedWord>
      <trackRevisions>false</trackRevisions>
    </reviewItem>
    <reviewItem>
      <errorID>4ee088fc-26b8-4060-b0d9-61fdb72852bb</errorID>
      <errorWord>)</errorWord>
      <group>L1_Format</group>
      <groupName>格式问题</groupName>
      <ability>L2_HalfPunc</ability>
      <abilityName>全半角检查</abilityName>
      <candidateList>
        <item>）</item>
      </candidateList>
      <explain>文本全半角错误。</explain>
      <paraID>4EE9522E</paraID>
      <start>162</start>
      <end>163</end>
      <status>unmodified</status>
      <modifiedWord/>
      <trackRevisions>false</trackRevisions>
    </reviewItem>
    <reviewItem>
      <errorID>97dab7e2-0fbb-4d72-ab22-61445c715bda</errorID>
      <errorWord>《</errorWord>
      <group>L1_Punc</group>
      <groupName>标点问题</groupName>
      <ability>L2_Punc</ability>
      <abilityName>标点符号检查</abilityName>
      <candidateList/>
      <explain>同一形式括号套用。</explain>
      <paraID>320B935D</paraID>
      <start>33</start>
      <end>34</end>
      <status>unmodified</status>
      <modifiedWord/>
      <trackRevisions>false</trackRevisions>
    </reviewItem>
    <reviewItem>
      <errorID>7d8e99c5-38a6-48cf-b986-f4b3fa548184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320B935D</paraID>
      <start>50</start>
      <end>53</end>
      <status>unmodified</status>
      <modifiedWord/>
      <trackRevisions>false</trackRevisions>
    </reviewItem>
    <reviewItem>
      <errorID>b64a9561-ac89-4a42-b29c-3d0c7ce65b8f</errorID>
      <errorWord>》</errorWord>
      <group>L1_Punc</group>
      <groupName>标点问题</groupName>
      <ability>L2_Punc</ability>
      <abilityName>标点符号检查</abilityName>
      <candidateList/>
      <explain>同一形式括号套用。</explain>
      <paraID>320B935D</paraID>
      <start>69</start>
      <end>70</end>
      <status>unmodified</status>
      <modifiedWord/>
      <trackRevisions>false</trackRevisions>
    </reviewItem>
    <reviewItem>
      <errorID>cac4796b-3bde-4c16-b252-7ba3ce826885</errorID>
      <errorWord>涉及到</errorWord>
      <group>L1_Grammar</group>
      <groupName>语法问题</groupName>
      <ability>L2_Grammar</ability>
      <abilityName>语法错误</abilityName>
      <candidateList>
        <item>涉及</item>
      </candidateList>
      <explain>〈动〉牵涉到；关联到：案子～好几个人｜这个问题～面很广。</explain>
      <paraID> E7AC1CA</paraID>
      <start>5</start>
      <end>8</end>
      <status>unmodified</status>
      <modifiedWord/>
      <trackRevisions>false</trackRevisions>
    </reviewItem>
    <reviewItem>
      <errorID>6117870e-3af0-4010-a3ac-49f7586ce607</errorID>
      <errorWord>(</errorWord>
      <group>L1_Format</group>
      <groupName>格式问题</groupName>
      <ability>L2_HalfPunc</ability>
      <abilityName>全半角检查</abilityName>
      <candidateList>
        <item>（</item>
      </candidateList>
      <explain>文本全半角错误。</explain>
      <paraID>65E410E7</paraID>
      <start>103</start>
      <end>104</end>
      <status>modified</status>
      <modifiedWord>（</modifiedWord>
      <trackRevisions>false</trackRevisions>
    </reviewItem>
    <reviewItem>
      <errorID>af29a91b-e89a-46f5-ad2a-45fbeb366bff</errorID>
      <errorWord>)</errorWord>
      <group>L1_Format</group>
      <groupName>格式问题</groupName>
      <ability>L2_HalfPunc</ability>
      <abilityName>全半角检查</abilityName>
      <candidateList>
        <item>）</item>
      </candidateList>
      <explain>文本全半角错误。</explain>
      <paraID>65E410E7</paraID>
      <start>123</start>
      <end>124</end>
      <status>modified</status>
      <modifiedWord>）</modifiedWord>
      <trackRevisions>false</trackRevisions>
    </reviewItem>
    <reviewItem>
      <errorID>05233d5b-3a8a-4445-987f-655daf333679</errorID>
      <errorWord>无息</errorWord>
      <group>L1_Other</group>
      <groupName>其他问题</groupName>
      <ability>L2_UserTypo</ability>
      <abilityName>自定义错误</abilityName>
      <candidateList>
        <item>删除</item>
      </candidateList>
      <explain>来自自定义错词库。</explain>
      <paraID>527AE2A8</paraID>
      <start>8</start>
      <end>10</end>
      <status>unmodified</status>
      <modifiedWord/>
      <trackRevisions>false</trackRevisions>
    </reviewItem>
    <reviewItem>
      <errorID>90fc91f4-5493-479f-ad33-d0d644c0cf30</errorID>
      <errorWord>完</errorWord>
      <group>L1_Word</group>
      <groupName>字词问题</groupName>
      <ability>L2_Typo</ability>
      <abilityName>字词错误</abilityName>
      <candidateList>
        <item>完成</item>
      </candidateList>
      <explain>〈动〉按照预期的目的结束；做成：～任务｜～作业｜计划完得成。</explain>
      <paraID>4DAFE0EA</paraID>
      <start>14</start>
      <end>15</end>
      <status>unmodified</status>
      <modifiedWord/>
      <trackRevisions>false</trackRevisions>
    </reviewItem>
    <reviewItem>
      <errorID>23e6fae6-4e17-4a43-ac0b-3ce6d2fdeb96</errorID>
      <errorWord>所</errorWord>
      <group>L1_Word</group>
      <groupName>字词问题</groupName>
      <ability>L2_Typo</ability>
      <abilityName>字词错误</abilityName>
      <candidateList>
        <item>所提</item>
      </candidateList>
      <explain/>
      <paraID>2A53E573</paraID>
      <start>7</start>
      <end>8</end>
      <status>unmodified</status>
      <modifiedWord/>
      <trackRevisions>false</trackRevisions>
    </reviewItem>
    <reviewItem>
      <errorID>e739b531-63f7-4ed3-acb7-1f96d7a63b0f</errorID>
      <errorWord>》</errorWord>
      <group>L1_Word</group>
      <groupName>字词问题</groupName>
      <ability>L2_Typo</ability>
      <abilityName>字词错误</abilityName>
      <candidateList>
        <item>》等</item>
      </candidateList>
      <explain/>
      <paraID>42BDA138</paraID>
      <start>39</start>
      <end>40</end>
      <status>unmodified</status>
      <modifiedWord/>
      <trackRevisions>false</trackRevisions>
    </reviewItem>
    <reviewItem>
      <errorID>1bfa7e79-d45e-4ec4-8e99-cf8e3444c842</errorID>
      <errorWord>:</errorWord>
      <group>L1_Format</group>
      <groupName>格式问题</groupName>
      <ability>L2_HalfPunc</ability>
      <abilityName>全半角检查</abilityName>
      <candidateList>
        <item>：</item>
      </candidateList>
      <explain>文本全半角错误。</explain>
      <paraID>42227963</paraID>
      <start>4</start>
      <end>5</end>
      <status>modified</status>
      <modifiedWord>：</modifiedWord>
      <trackRevisions>false</trackRevisions>
    </reviewItem>
    <reviewItem>
      <errorID>ec50c7c8-9263-4f51-8b7b-afcb8fedd438</errorID>
      <errorWord>好</errorWord>
      <group>L1_Word</group>
      <groupName>字词问题</groupName>
      <ability>L2_Typo</ability>
      <abilityName>字词错误</abilityName>
      <candidateList>
        <item>好地</item>
      </candidateList>
      <explain/>
      <paraID> D41D2A0</paraID>
      <start>33</start>
      <end>34</end>
      <status>unmodified</status>
      <modifiedWord/>
      <trackRevisions>false</trackRevisions>
    </reviewItem>
    <reviewItem>
      <errorID>7c7f2866-5b94-4e98-acab-afb88ef2f3c5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D41D2A0</paraID>
      <start>63</start>
      <end>64</end>
      <status>unmodified</status>
      <modifiedWord/>
      <trackRevisions>false</trackRevisions>
    </reviewItem>
    <reviewItem>
      <errorID>3f4d3a42-8a54-4538-8f8a-b5891e4afac9</errorID>
      <errorWord>与临近</errorWord>
      <group>L1_Word</group>
      <groupName>字词问题</groupName>
      <ability>L2_Typo</ability>
      <abilityName>字词错误</abilityName>
      <candidateList>
        <item>与邻近</item>
      </candidateList>
      <explain/>
      <paraID>32434D9F</paraID>
      <start>230</start>
      <end>233</end>
      <status>unmodified</status>
      <modifiedWord/>
      <trackRevisions>false</trackRevisions>
    </reviewItem>
    <reviewItem>
      <errorID>f7effdf9-39e4-4a7c-addf-0226eca17741</errorID>
      <errorWord>年</errorWord>
      <group>L1_Word</group>
      <groupName>字词问题</groupName>
      <ability>L2_Typo</ability>
      <abilityName>字词错误</abilityName>
      <candidateList>
        <item>年来</item>
      </candidateList>
      <explain/>
      <paraID>13B354A8</paraID>
      <start>50</start>
      <end>51</end>
      <status>unmodified</status>
      <modifiedWord/>
      <trackRevisions>false</trackRevisions>
    </reviewItem>
    <reviewItem>
      <errorID>9e417c0f-e533-4712-b762-c6de3c82d337</errorID>
      <errorWord>需具备</errorWord>
      <group>L1_Word</group>
      <groupName>字词问题</groupName>
      <ability>L2_Typo</ability>
      <abilityName>字词错误</abilityName>
      <candidateList>
        <item>须具备</item>
      </candidateList>
      <explain/>
      <paraID>57ED198B</paraID>
      <start>5</start>
      <end>8</end>
      <status>unmodified</status>
      <modifiedWord/>
      <trackRevisions>false</trackRevisions>
    </reviewItem>
    <reviewItem>
      <errorID>75891be3-3499-4e91-b8ce-f8a51c751341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27390C69</paraID>
      <start>19</start>
      <end>20</end>
      <status>unmodified</status>
      <modifiedWord/>
      <trackRevisions>false</trackRevisions>
    </reviewItem>
    <reviewItem>
      <errorID>754e7f72-02a7-4edf-8687-ecff92d74894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F7B789F</paraID>
      <start>0</start>
      <end>2</end>
      <status>unmodified</status>
      <modifiedWord/>
      <trackRevisions>false</trackRevisions>
    </reviewItem>
    <reviewItem>
      <errorID>d00d4ec7-b9c8-48b0-b767-29f0d4c7d4e1</errorID>
      <errorWord>:</errorWord>
      <group>L1_Format</group>
      <groupName>格式问题</groupName>
      <ability>L2_HalfPunc</ability>
      <abilityName>全半角检查</abilityName>
      <candidateList>
        <item>：</item>
      </candidateList>
      <explain>文本全半角错误。</explain>
      <paraID>42E5DCAA</paraID>
      <start>15</start>
      <end>16</end>
      <status>modified</status>
      <modifiedWord>：</modifiedWord>
      <trackRevisions>false</trackRevisions>
    </reviewItem>
    <reviewItem>
      <errorID>d2d91cbb-0063-4a01-9255-de5aac522c16</errorID>
      <errorWord>涉</errorWord>
      <group>L1_Word</group>
      <groupName>字词问题</groupName>
      <ability>L2_Typo</ability>
      <abilityName>字词错误</abilityName>
      <candidateList>
        <item>涉及</item>
      </candidateList>
      <explain>〈动〉牵涉到；关联到：案子～好几个人｜这个问题～面很广。</explain>
      <paraID>5DB2D2DD</paraID>
      <start>168</start>
      <end>169</end>
      <status>unmodified</status>
      <modifiedWord/>
      <trackRevisions>false</trackRevisions>
    </reviewItem>
    <reviewItem>
      <errorID>c63b1d15-c2b1-472f-8752-0a1138a61e91</errorID>
      <errorWord>后才</errorWord>
      <group>L1_Word</group>
      <groupName>字词问题</groupName>
      <ability>L2_Typo</ability>
      <abilityName>字词错误</abilityName>
      <candidateList>
        <item>后方</item>
      </candidateList>
      <explain>存在字形相近字词的误用。</explain>
      <paraID>2B6BBC4C</paraID>
      <start>141</start>
      <end>143</end>
      <status>unmodified</status>
      <modifiedWord/>
      <trackRevisions>false</trackRevisions>
    </reviewItem>
    <reviewItem>
      <errorID>0f9a596d-ae90-46a4-82fe-fb84c64ebee6</errorID>
      <errorWord>;</errorWord>
      <group>L1_Format</group>
      <groupName>格式问题</groupName>
      <ability>L2_HalfPunc</ability>
      <abilityName>全半角检查</abilityName>
      <candidateList>
        <item>；</item>
      </candidateList>
      <explain>文本全半角错误。</explain>
      <paraID>7AB7C744</paraID>
      <start>26</start>
      <end>27</end>
      <status>modified</status>
      <modifiedWord>；</modifiedWord>
      <trackRevisions>false</trackRevisions>
    </reviewItem>
    <reviewItem>
      <errorID>d1128ccb-9acf-4e69-a0f8-c4df988ba501</errorID>
      <errorWord>；</errorWord>
      <group>L1_Word</group>
      <groupName>字词问题</groupName>
      <ability>L2_Typo</ability>
      <abilityName>字词错误</abilityName>
      <candidateList>
        <item>；在</item>
      </candidateList>
      <explain/>
      <paraID> EC4C3C7</paraID>
      <start>181</start>
      <end>183</end>
      <status>modified</status>
      <modifiedWord>；在</modifiedWord>
      <trackRevisions>false</trackRevisions>
    </reviewItem>
    <reviewItem>
      <errorID>90c2c6a5-dd1b-44e3-b43b-58147a597267</errorID>
      <errorWord>:</errorWord>
      <group>L1_Format</group>
      <groupName>格式问题</groupName>
      <ability>L2_HalfPunc</ability>
      <abilityName>全半角检查</abilityName>
      <candidateList>
        <item>：</item>
      </candidateList>
      <explain>文本全半角错误。</explain>
      <paraID>358DFFC7</paraID>
      <start>16</start>
      <end>17</end>
      <status>modified</status>
      <modifiedWord>：</modifiedWord>
      <trackRevisions>false</trackRevisions>
    </reviewItem>
    <reviewItem>
      <errorID>ae336628-6362-478c-9de2-28dbab4ea7c7</errorID>
      <errorWord>:</errorWord>
      <group>L1_Format</group>
      <groupName>格式问题</groupName>
      <ability>L2_HalfPunc</ability>
      <abilityName>全半角检查</abilityName>
      <candidateList>
        <item>：</item>
      </candidateList>
      <explain>文本全半角错误。</explain>
      <paraID>1A8D95AA</paraID>
      <start>19</start>
      <end>20</end>
      <status>modified</status>
      <modifiedWord>：</modifiedWord>
      <trackRevisions>false</trackRevisions>
    </reviewItem>
    <reviewItem>
      <errorID>c47f585e-107d-4e9e-9a78-755b02759d5b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92A5205</paraID>
      <start>0</start>
      <end>2</end>
      <status>unmodified</status>
      <modifiedWord/>
      <trackRevisions>false</trackRevisions>
    </reviewItem>
    <reviewItem>
      <errorID>b5c3dd74-3e8b-4aae-a413-70f631b1a90a</errorID>
      <errorWord>[2011]300号</errorWord>
      <group>L1_Knowledge</group>
      <groupName>知识性问题</groupName>
      <ability>L2_Knowledge</ability>
      <abilityName>其他知识</abilityName>
      <candidateList>
        <item>〔2011〕300号</item>
      </candidateList>
      <explain>发文字号格式错误。</explain>
      <paraID>411552A0</paraID>
      <start>36</start>
      <end>46</end>
      <status>modified</status>
      <modifiedWord>〔2011〕300号</modifiedWord>
      <trackRevisions>false</trackRevisions>
    </reviewItem>
    <reviewItem>
      <errorID>08bc92f3-c1a5-474a-b1e1-7267c0ae8a79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3880F00A</paraID>
      <start>0</start>
      <end>2</end>
      <status>unmodified</status>
      <modifiedWord/>
      <trackRevisions>false</trackRevisions>
    </reviewItem>
    <reviewItem>
      <errorID>6f919fc2-00ef-4939-aaa0-5715f171e4ea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F48344B</paraID>
      <start>0</start>
      <end>2</end>
      <status>unmodified</status>
      <modifiedWord/>
      <trackRevisions>false</trackRevisions>
    </reviewItem>
    <reviewItem>
      <errorID>f4649ce1-236f-40b7-99f5-60a8bddb5e76</errorID>
      <errorWord>(</errorWord>
      <group>L1_Format</group>
      <groupName>格式问题</groupName>
      <ability>L2_HalfPunc</ability>
      <abilityName>全半角检查</abilityName>
      <candidateList>
        <item>（</item>
      </candidateList>
      <explain>文本全半角错误。</explain>
      <paraID>5F77D600</paraID>
      <start>36</start>
      <end>37</end>
      <status>modified</status>
      <modifiedWord>（</modifiedWord>
      <trackRevisions>false</trackRevisions>
    </reviewItem>
    <reviewItem>
      <errorID>aa33f272-75ac-4853-ad31-bb313325a9c4</errorID>
      <errorWord>)</errorWord>
      <group>L1_Format</group>
      <groupName>格式问题</groupName>
      <ability>L2_HalfPunc</ability>
      <abilityName>全半角检查</abilityName>
      <candidateList>
        <item>）</item>
      </candidateList>
      <explain>文本全半角错误。</explain>
      <paraID>5F77D600</paraID>
      <start>46</start>
      <end>47</end>
      <status>modified</status>
      <modifiedWord>）</modifiedWord>
      <trackRevisions>false</trackRevisions>
    </reviewItem>
    <reviewItem>
      <errorID>cf9a199e-e350-4b01-8982-08af5239ccdf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68AC468B</paraID>
      <start>0</start>
      <end>2</end>
      <status>unmodified</status>
      <modifiedWord/>
      <trackRevisions>false</trackRevisions>
    </reviewItem>
    <reviewItem>
      <errorID>4c544b8e-2849-4f13-929b-c43a77df83f4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3D54B704</paraID>
      <start>0</start>
      <end>2</end>
      <status>unmodified</status>
      <modifiedWord/>
      <trackRevisions>false</trackRevisions>
    </reviewItem>
    <reviewItem>
      <errorID>c85b1966-0916-4f5a-9fc7-3cf1b964329c</errorID>
      <errorWord>,</errorWord>
      <group>L1_Format</group>
      <groupName>格式问题</groupName>
      <ability>L2_HalfPunc</ability>
      <abilityName>全半角检查</abilityName>
      <candidateList>
        <item>，</item>
      </candidateList>
      <explain>文本全半角错误。</explain>
      <paraID>3D54B704</paraID>
      <start>25</start>
      <end>26</end>
      <status>modified</status>
      <modifiedWord>，</modifiedWord>
      <trackRevisions>false</trackRevisions>
    </reviewItem>
    <reviewItem>
      <errorID>0e9c69fc-3f18-4af1-941d-d52778bebe12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3017CA88</paraID>
      <start>0</start>
      <end>2</end>
      <status>unmodified</status>
      <modifiedWord/>
      <trackRevisions>false</trackRevisions>
    </reviewItem>
    <reviewItem>
      <errorID>05fd63ff-6b54-4f25-92e7-fb4dad12a58c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48E8B5CF</paraID>
      <start>0</start>
      <end>2</end>
      <status>unmodified</status>
      <modifiedWord/>
      <trackRevisions>false</trackRevisions>
    </reviewItem>
    <reviewItem>
      <errorID>f9994865-e80e-4070-abad-a765207d1825</errorID>
      <errorWord>(</errorWord>
      <group>L1_Format</group>
      <groupName>格式问题</groupName>
      <ability>L2_HalfPunc</ability>
      <abilityName>全半角检查</abilityName>
      <candidateList>
        <item>（</item>
      </candidateList>
      <explain>文本全半角错误。</explain>
      <paraID>48E8B5CF</paraID>
      <start>120</start>
      <end>121</end>
      <status>modified</status>
      <modifiedWord>（</modifiedWord>
      <trackRevisions>false</trackRevisions>
    </reviewItem>
    <reviewItem>
      <errorID>c5ea0873-180a-47c0-b755-b1366bf6f198</errorID>
      <errorWord>)</errorWord>
      <group>L1_Format</group>
      <groupName>格式问题</groupName>
      <ability>L2_HalfPunc</ability>
      <abilityName>全半角检查</abilityName>
      <candidateList>
        <item>）</item>
      </candidateList>
      <explain>文本全半角错误。</explain>
      <paraID>48E8B5CF</paraID>
      <start>158</start>
      <end>159</end>
      <status>modified</status>
      <modifiedWord>）</modifiedWord>
      <trackRevisions>false</trackRevisions>
    </reviewItem>
    <reviewItem>
      <errorID>67623deb-104c-4958-a52c-b01c60de125d</errorID>
      <errorWord>,</errorWord>
      <group>L1_Format</group>
      <groupName>格式问题</groupName>
      <ability>L2_HalfPunc</ability>
      <abilityName>全半角检查</abilityName>
      <candidateList>
        <item>，</item>
      </candidateList>
      <explain>文本全半角错误。</explain>
      <paraID> 9413D56</paraID>
      <start>75</start>
      <end>76</end>
      <status>modified</status>
      <modifiedWord>，</modifiedWord>
      <trackRevisions>false</trackRevisions>
    </reviewItem>
    <reviewItem>
      <errorID>39061c74-5075-4ad8-bdcf-5d7dac745497</errorID>
      <errorWord>,</errorWord>
      <group>L1_Format</group>
      <groupName>格式问题</groupName>
      <ability>L2_HalfPunc</ability>
      <abilityName>全半角检查</abilityName>
      <candidateList>
        <item>，</item>
      </candidateList>
      <explain>文本全半角错误。</explain>
      <paraID>13CAF69B</paraID>
      <start>91</start>
      <end>92</end>
      <status>modified</status>
      <modifiedWord>，</modifiedWord>
      <trackRevisions>false</trackRevisions>
    </reviewItem>
    <reviewItem>
      <errorID>156d2ccf-f072-4f94-a34c-233118e9333a</errorID>
      <errorWord>(</errorWord>
      <group>L1_Format</group>
      <groupName>格式问题</groupName>
      <ability>L2_HalfPunc</ability>
      <abilityName>全半角检查</abilityName>
      <candidateList>
        <item>（</item>
      </candidateList>
      <explain>文本全半角错误。</explain>
      <paraID>76CAD051</paraID>
      <start>33</start>
      <end>34</end>
      <status>modified</status>
      <modifiedWord>（</modifiedWord>
      <trackRevisions>false</trackRevisions>
    </reviewItem>
    <reviewItem>
      <errorID>cbb0e5dd-974c-437e-a56e-e25257cfbc11</errorID>
      <errorWord>)</errorWord>
      <group>L1_Format</group>
      <groupName>格式问题</groupName>
      <ability>L2_HalfPunc</ability>
      <abilityName>全半角检查</abilityName>
      <candidateList>
        <item>）</item>
      </candidateList>
      <explain>文本全半角错误。</explain>
      <paraID>76CAD051</paraID>
      <start>99</start>
      <end>100</end>
      <status>modified</status>
      <modifiedWord>）</modifiedWord>
      <trackRevisions>false</trackRevisions>
    </reviewItem>
    <reviewItem>
      <errorID>c108ab26-a926-42c1-b31b-275a908fc15b</errorID>
      <errorWord>:</errorWord>
      <group>L1_Format</group>
      <groupName>格式问题</groupName>
      <ability>L2_HalfPunc</ability>
      <abilityName>全半角检查</abilityName>
      <candidateList>
        <item>：</item>
      </candidateList>
      <explain>文本全半角错误。</explain>
      <paraID> 619E349</paraID>
      <start>43</start>
      <end>44</end>
      <status>modified</status>
      <modifiedWord>：</modifiedWord>
      <trackRevisions>false</trackRevisions>
    </reviewItem>
    <reviewItem>
      <errorID>74d5dca2-065f-44be-9341-2a1954a73091</errorID>
      <errorWord>(</errorWord>
      <group>L1_Format</group>
      <groupName>格式问题</groupName>
      <ability>L2_HalfPunc</ability>
      <abilityName>全半角检查</abilityName>
      <candidateList>
        <item>（</item>
      </candidateList>
      <explain>文本全半角错误。</explain>
      <paraID>61CF184B</paraID>
      <start>33</start>
      <end>34</end>
      <status>modified</status>
      <modifiedWord>（</modifiedWord>
      <trackRevisions>false</trackRevisions>
    </reviewItem>
    <reviewItem>
      <errorID>63e791f3-4dd4-4b40-b1ee-ffaa21f1eb89</errorID>
      <errorWord>)</errorWord>
      <group>L1_Format</group>
      <groupName>格式问题</groupName>
      <ability>L2_HalfPunc</ability>
      <abilityName>全半角检查</abilityName>
      <candidateList>
        <item>）</item>
      </candidateList>
      <explain>文本全半角错误。</explain>
      <paraID>61CF184B</paraID>
      <start>99</start>
      <end>100</end>
      <status>modified</status>
      <modifiedWord>）</modifiedWord>
      <trackRevisions>false</trackRevisions>
    </reviewItem>
    <reviewItem>
      <errorID>f6798fb2-40b0-4bd0-8731-daf7ce7049c8</errorID>
      <errorWord>:</errorWord>
      <group>L1_Format</group>
      <groupName>格式问题</groupName>
      <ability>L2_HalfPunc</ability>
      <abilityName>全半角检查</abilityName>
      <candidateList>
        <item>：</item>
      </candidateList>
      <explain>文本全半角错误。</explain>
      <paraID> 6CD41AC</paraID>
      <start>50</start>
      <end>51</end>
      <status>modified</status>
      <modifiedWord>：</modifiedWord>
      <trackRevisions>false</trackRevisions>
    </reviewItem>
    <reviewItem>
      <errorID>bd840d3c-dfc5-401a-88d6-3f7d40f5d190</errorID>
      <errorWord>;</errorWord>
      <group>L1_Format</group>
      <groupName>格式问题</groupName>
      <ability>L2_HalfPunc</ability>
      <abilityName>全半角检查</abilityName>
      <candidateList>
        <item>；</item>
      </candidateList>
      <explain>文本全半角错误。</explain>
      <paraID> 6CD41AC</paraID>
      <start>58</start>
      <end>59</end>
      <status>modified</status>
      <modifiedWord>；</modifiedWord>
      <trackRevisions>false</trackRevisions>
    </reviewItem>
    <reviewItem>
      <errorID>4af23205-0173-4edb-9c53-19c6f4f92a94</errorID>
      <errorWord>(</errorWord>
      <group>L1_Format</group>
      <groupName>格式问题</groupName>
      <ability>L2_HalfPunc</ability>
      <abilityName>全半角检查</abilityName>
      <candidateList>
        <item>（</item>
      </candidateList>
      <explain>文本全半角错误。</explain>
      <paraID>684AE879</paraID>
      <start>33</start>
      <end>34</end>
      <status>modified</status>
      <modifiedWord>（</modifiedWord>
      <trackRevisions>false</trackRevisions>
    </reviewItem>
    <reviewItem>
      <errorID>51fac0b9-83e6-4ecc-b6b7-366ac7654fe6</errorID>
      <errorWord>)</errorWord>
      <group>L1_Format</group>
      <groupName>格式问题</groupName>
      <ability>L2_HalfPunc</ability>
      <abilityName>全半角检查</abilityName>
      <candidateList>
        <item>）</item>
      </candidateList>
      <explain>文本全半角错误。</explain>
      <paraID>684AE879</paraID>
      <start>99</start>
      <end>100</end>
      <status>modified</status>
      <modifiedWord>）</modifiedWord>
      <trackRevisions>false</trackRevisions>
    </reviewItem>
    <reviewItem>
      <errorID>b968a8c0-9539-4790-825a-572b0c130516</errorID>
      <errorWord>:</errorWord>
      <group>L1_Format</group>
      <groupName>格式问题</groupName>
      <ability>L2_HalfPunc</ability>
      <abilityName>全半角检查</abilityName>
      <candidateList>
        <item>：</item>
      </candidateList>
      <explain>文本全半角错误。</explain>
      <paraID> B201C61</paraID>
      <start>48</start>
      <end>49</end>
      <status>modified</status>
      <modifiedWord>：</modifiedWord>
      <trackRevisions>false</trackRevisions>
    </reviewItem>
    <reviewItem>
      <errorID>4be94440-b5d5-40e4-a1f9-a186577a87f9</errorID>
      <errorWord>(</errorWord>
      <group>L1_Format</group>
      <groupName>格式问题</groupName>
      <ability>L2_HalfPunc</ability>
      <abilityName>全半角检查</abilityName>
      <candidateList>
        <item>（</item>
      </candidateList>
      <explain>文本全半角错误。</explain>
      <paraID>4E9819DE</paraID>
      <start>33</start>
      <end>34</end>
      <status>modified</status>
      <modifiedWord>（</modifiedWord>
      <trackRevisions>false</trackRevisions>
    </reviewItem>
    <reviewItem>
      <errorID>ac11768c-f18e-4b90-857c-173d59982f62</errorID>
      <errorWord>)</errorWord>
      <group>L1_Format</group>
      <groupName>格式问题</groupName>
      <ability>L2_HalfPunc</ability>
      <abilityName>全半角检查</abilityName>
      <candidateList>
        <item>）</item>
      </candidateList>
      <explain>文本全半角错误。</explain>
      <paraID>4E9819DE</paraID>
      <start>99</start>
      <end>100</end>
      <status>modified</status>
      <modifiedWord>）</modifiedWord>
      <trackRevisions>false</trackRevisions>
    </reviewItem>
    <reviewItem>
      <errorID>816f99f5-c7bc-496a-a6ec-564572df829f</errorID>
      <errorWord>(</errorWord>
      <group>L1_Format</group>
      <groupName>格式问题</groupName>
      <ability>L2_HalfPunc</ability>
      <abilityName>全半角检查</abilityName>
      <candidateList>
        <item>（</item>
      </candidateList>
      <explain>文本全半角错误。</explain>
      <paraID>426DAB84</paraID>
      <start>33</start>
      <end>34</end>
      <status>modified</status>
      <modifiedWord>（</modifiedWord>
      <trackRevisions>false</trackRevisions>
    </reviewItem>
    <reviewItem>
      <errorID>9976b924-fd40-4ae3-affc-227503845e7b</errorID>
      <errorWord>)</errorWord>
      <group>L1_Format</group>
      <groupName>格式问题</groupName>
      <ability>L2_HalfPunc</ability>
      <abilityName>全半角检查</abilityName>
      <candidateList>
        <item>）</item>
      </candidateList>
      <explain>文本全半角错误。</explain>
      <paraID>426DAB84</paraID>
      <start>99</start>
      <end>100</end>
      <status>modified</status>
      <modifiedWord>）</modifiedWord>
      <trackRevisions>false</trackRevisions>
    </reviewItem>
    <reviewItem>
      <errorID>92a9e681-07f4-4d8e-a53d-5fdbb098e0ec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68B734D7</paraID>
      <start>0</start>
      <end>2</end>
      <status>modified</status>
      <modifiedWord>1.</modifiedWord>
      <trackRevisions>false</trackRevisions>
    </reviewItem>
    <reviewItem>
      <errorID>68eacb15-1a45-4101-a1c6-0f635f0a7517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2E48470</paraID>
      <start>0</start>
      <end>2</end>
      <status>modified</status>
      <modifiedWord>2.</modifiedWord>
      <trackRevisions>false</trackRevisions>
    </reviewItem>
    <reviewItem>
      <errorID>4cd97a33-4289-46f1-a7f2-aade674b27a5</errorID>
      <errorWord>(</errorWord>
      <group>L1_Format</group>
      <groupName>格式问题</groupName>
      <ability>L2_HalfPunc</ability>
      <abilityName>全半角检查</abilityName>
      <candidateList>
        <item>（</item>
      </candidateList>
      <explain>文本全半角错误。</explain>
      <paraID>1C623D5C</paraID>
      <start>49</start>
      <end>50</end>
      <status>modified</status>
      <modifiedWord>（</modifiedWord>
      <trackRevisions>false</trackRevisions>
    </reviewItem>
    <reviewItem>
      <errorID>114474e0-7d37-47ce-a940-d024e5a68a1b</errorID>
      <errorWord>)</errorWord>
      <group>L1_Format</group>
      <groupName>格式问题</groupName>
      <ability>L2_HalfPunc</ability>
      <abilityName>全半角检查</abilityName>
      <candidateList>
        <item>）</item>
      </candidateList>
      <explain>文本全半角错误。</explain>
      <paraID>1C623D5C</paraID>
      <start>52</start>
      <end>53</end>
      <status>modified</status>
      <modifiedWord>）</modifiedWord>
      <trackRevisions>false</trackRevisions>
    </reviewItem>
    <reviewItem>
      <errorID>01a898d1-6407-4905-a281-3c88b9fd14e3</errorID>
      <errorWord>,</errorWord>
      <group>L1_Format</group>
      <groupName>格式问题</groupName>
      <ability>L2_HalfPunc</ability>
      <abilityName>全半角检查</abilityName>
      <candidateList>
        <item>，</item>
      </candidateList>
      <explain>文本全半角错误。</explain>
      <paraID>4EAA1FE7</paraID>
      <start>8</start>
      <end>9</end>
      <status>modified</status>
      <modifiedWord>，</modifiedWord>
      <trackRevisions>false</trackRevisions>
    </reviewItem>
    <reviewItem>
      <errorID>da184d69-ebe3-44f7-b17e-84311b15fee8</errorID>
      <errorWord>,</errorWord>
      <group>L1_Format</group>
      <groupName>格式问题</groupName>
      <ability>L2_HalfPunc</ability>
      <abilityName>全半角检查</abilityName>
      <candidateList>
        <item>，</item>
      </candidateList>
      <explain>文本全半角错误。</explain>
      <paraID>4EAA1FE7</paraID>
      <start>34</start>
      <end>35</end>
      <status>modified</status>
      <modifiedWord>，</modifiedWord>
      <trackRevisions>false</trackRevisions>
    </reviewItem>
    <reviewItem>
      <errorID>cf0395a8-f796-435b-8a8c-514436d12020</errorID>
      <errorWord>间</errorWord>
      <group>L1_Word</group>
      <groupName>字词问题</groupName>
      <ability>L2_Typo</ability>
      <abilityName>字词错误</abilityName>
      <candidateList>
        <item>间内</item>
      </candidateList>
      <explain/>
      <paraID>4EAA1FE7</paraID>
      <start>47</start>
      <end>48</end>
      <status>unmodified</status>
      <modifiedWord/>
      <trackRevisions>false</trackRevisions>
    </reviewItem>
    <reviewItem>
      <errorID>80c321b2-3c01-4655-8a70-fad131441779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13A02C81</paraID>
      <start>0</start>
      <end>2</end>
      <status>unmodified</status>
      <modifiedWord/>
      <trackRevisions>false</trackRevisions>
    </reviewItem>
    <reviewItem>
      <errorID>7bd59677-d3ef-48dd-967a-ea35f6ef44ea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4F0922CE</paraID>
      <start>0</start>
      <end>2</end>
      <status>unmodified</status>
      <modifiedWord/>
      <trackRevisions>false</trackRevisions>
    </reviewItem>
    <reviewItem>
      <errorID>1024ae51-fcb3-4b41-8b85-563995aca518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5DC6464D</paraID>
      <start>0</start>
      <end>2</end>
      <status>unmodified</status>
      <modifiedWord/>
      <trackRevisions>false</trackRevisions>
    </reviewItem>
    <reviewItem>
      <errorID>467845f7-1cba-425b-9a96-905fdfd12eb1</errorID>
      <errorWord>虚假成份</errorWord>
      <group>L1_Word</group>
      <groupName>字词问题</groupName>
      <ability>L2_Variant</ability>
      <abilityName>异形词</abilityName>
      <candidateList>
        <item>虚假成分</item>
      </candidateList>
      <explain>词汇[虚假成份]的规范词形写作[虚假成分]。</explain>
      <paraID>5147828B</paraID>
      <start>92</start>
      <end>96</end>
      <status>unmodified</status>
      <modifiedWord/>
      <trackRevisions>false</trackRevisions>
    </reviewItem>
    <reviewItem>
      <errorID>6936d4b3-1757-4be5-8139-4389d17780b0</errorID>
      <errorWord>法律、法规</errorWord>
      <group>L1_Word</group>
      <groupName>字词问题</groupName>
      <ability>L2_Typo</ability>
      <abilityName>字词错误</abilityName>
      <candidateList>
        <item>法律法规</item>
      </candidateList>
      <explain/>
      <paraID> D735FB3</paraID>
      <start>22</start>
      <end>27</end>
      <status>unmodified</status>
      <modifiedWord/>
      <trackRevisions>false</trackRevisions>
    </reviewItem>
    <reviewItem>
      <errorID>76722c15-6466-4803-8f73-3d31fabe37a2</errorID>
      <errorWord>维护和更新维护和更新</errorWord>
      <group>L1_Word</group>
      <groupName>字词问题</groupName>
      <ability>L2_Typo</ability>
      <abilityName>字词错误</abilityName>
      <candidateList>
        <item>维护和更新</item>
      </candidateList>
      <explain/>
      <paraID>1B908F1A</paraID>
      <start>20</start>
      <end>30</end>
      <status>unmodified</status>
      <modifiedWord/>
      <trackRevisions>false</trackRevisions>
    </reviewItem>
    <reviewItem>
      <errorID>126eaab9-1faf-49c8-82bb-a3e7fe5b65bb</errorID>
      <errorWord>作</errorWord>
      <group>L1_Word</group>
      <groupName>字词问题</groupName>
      <ability>L2_Typo</ability>
      <abilityName>字词错误</abilityName>
      <candidateList>
        <item>做</item>
      </candidateList>
      <explain>存在发音相同字词的误用。</explain>
      <paraID> 604B610</paraID>
      <start>24</start>
      <end>25</end>
      <status>unmodified</status>
      <modifiedWord/>
      <trackRevisions>false</trackRevisions>
    </reviewItem>
    <reviewItem>
      <errorID>66b555e4-93f4-4ac0-8662-3c4f8af5fd00</errorID>
      <errorWord>(</errorWord>
      <group>L1_Format</group>
      <groupName>格式问题</groupName>
      <ability>L2_HalfPunc</ability>
      <abilityName>全半角检查</abilityName>
      <candidateList>
        <item>（</item>
      </candidateList>
      <explain>文本全半角错误。</explain>
      <paraID>6048DFA9</paraID>
      <start>2</start>
      <end>3</end>
      <status>modified</status>
      <modifiedWord>（</modifiedWord>
      <trackRevisions>false</trackRevisions>
    </reviewItem>
    <reviewItem>
      <errorID>2a89409c-3741-405d-9938-6a8f369e2e1f</errorID>
      <errorWord>)</errorWord>
      <group>L1_Format</group>
      <groupName>格式问题</groupName>
      <ability>L2_HalfPunc</ability>
      <abilityName>全半角检查</abilityName>
      <candidateList>
        <item>）</item>
      </candidateList>
      <explain>文本全半角错误。</explain>
      <paraID>6048DFA9</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bcdd3b-e484-41fd-89ca-20b71a575bc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54</Pages>
  <Words>23675</Words>
  <Characters>24935</Characters>
  <TotalTime>8</TotalTime>
  <ScaleCrop>false</ScaleCrop>
  <LinksUpToDate>false</LinksUpToDate>
  <CharactersWithSpaces>25241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2023-05-26T02:42:00Z</dcterms:created>
  <dc:creator>cgzx</dc:creator>
  <cp:lastModifiedBy>徐浛宁</cp:lastModifiedBy>
  <dcterms:modified xsi:type="dcterms:W3CDTF">2026-03-27T10:03:47Z</dcterms:modified>
  <dc:title>总  目  录</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06B1115143B74C20A979E0005429AD1D_13</vt:lpwstr>
  </property>
  <property fmtid="{D5CDD505-2E9C-101B-9397-08002B2CF9AE}" pid="4" name="KSOTemplateDocerSaveRecord">
    <vt:lpwstr>eyJoZGlkIjoiMTA3ZWVlMDg0ZmNlYTNlZThjYWM4NjljZWVmYzIyOTkiLCJ1c2VySWQiOiIzOTEwOTY3MjgifQ==</vt:lpwstr>
  </property>
</Properties>
</file>