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10"/>
        <w:spacing w:before="120" w:beforeAutospacing="0" w:after="120" w:afterAutospacing="0" w:line="360" w:lineRule="auto"/>
        <w:rPr>
          <w:highlight w:val="none"/>
        </w:rPr>
      </w:pPr>
      <w:r>
        <w:rPr>
          <w:highlight w:val="none"/>
        </w:rPr>
        <w:t xml:space="preserve"> </w:t>
      </w:r>
      <w:r/>
    </w:p>
    <w:p>
      <w:pPr>
        <w:pStyle w:val="710"/>
        <w:jc w:val="center"/>
        <w:spacing w:before="120" w:beforeAutospacing="0" w:after="120" w:afterAutospacing="0" w:line="360" w:lineRule="auto"/>
        <w:rPr>
          <w:highlight w:val="none"/>
        </w:rPr>
      </w:pPr>
      <w:r>
        <w:rPr>
          <w:rFonts w:ascii="Arial" w:hAnsi="Arial" w:cs="Arial"/>
          <w:b/>
          <w:color w:val="000000"/>
          <w:sz w:val="84"/>
          <w:szCs w:val="84"/>
          <w:highlight w:val="none"/>
        </w:rPr>
        <w:t xml:space="preserve">招 标 文 件</w:t>
      </w:r>
      <w:r/>
    </w:p>
    <w:p>
      <w:pPr>
        <w:pStyle w:val="710"/>
        <w:ind w:firstLine="2249"/>
        <w:spacing w:before="120" w:beforeAutospacing="0" w:after="120" w:afterAutospacing="0" w:line="360" w:lineRule="auto"/>
        <w:rPr>
          <w:rFonts w:ascii="Arial" w:hAnsi="Arial" w:cs="Arial"/>
          <w:b/>
          <w:color w:val="000000"/>
          <w:sz w:val="32"/>
          <w:szCs w:val="32"/>
          <w:highlight w:val="none"/>
        </w:rPr>
      </w:pPr>
      <w:r>
        <w:rPr>
          <w:rFonts w:ascii="Arial" w:hAnsi="Arial" w:cs="Arial"/>
          <w:b/>
          <w:color w:val="000000"/>
          <w:sz w:val="32"/>
          <w:szCs w:val="32"/>
          <w:highlight w:val="none"/>
        </w:rPr>
      </w:r>
      <w:r/>
    </w:p>
    <w:p>
      <w:pPr>
        <w:pStyle w:val="710"/>
        <w:ind w:firstLine="2249"/>
        <w:spacing w:before="120" w:beforeAutospacing="0" w:after="120" w:afterAutospacing="0" w:line="360" w:lineRule="auto"/>
        <w:rPr>
          <w:rFonts w:ascii="Arial" w:hAnsi="Arial" w:cs="Arial"/>
          <w:b/>
          <w:color w:val="000000"/>
          <w:sz w:val="32"/>
          <w:szCs w:val="32"/>
          <w:highlight w:val="none"/>
        </w:rPr>
      </w:pPr>
      <w:r>
        <w:rPr>
          <w:rFonts w:ascii="Arial" w:hAnsi="Arial" w:cs="Arial"/>
          <w:b/>
          <w:color w:val="000000"/>
          <w:sz w:val="32"/>
          <w:szCs w:val="32"/>
          <w:highlight w:val="none"/>
        </w:rPr>
      </w:r>
      <w:r/>
    </w:p>
    <w:p>
      <w:pPr>
        <w:pStyle w:val="710"/>
        <w:ind w:firstLine="2249"/>
        <w:spacing w:before="120" w:beforeAutospacing="0" w:after="120" w:afterAutospacing="0" w:line="360" w:lineRule="auto"/>
        <w:rPr>
          <w:rFonts w:ascii="Arial" w:hAnsi="Arial" w:cs="Arial"/>
          <w:b/>
          <w:color w:val="000000"/>
          <w:sz w:val="32"/>
          <w:szCs w:val="32"/>
          <w:highlight w:val="none"/>
        </w:rPr>
      </w:pPr>
      <w:r>
        <w:rPr>
          <w:rFonts w:ascii="Arial" w:hAnsi="Arial" w:cs="Arial"/>
          <w:b/>
          <w:color w:val="000000"/>
          <w:sz w:val="32"/>
          <w:szCs w:val="32"/>
          <w:highlight w:val="none"/>
        </w:rPr>
      </w:r>
      <w:r/>
    </w:p>
    <w:p>
      <w:pPr>
        <w:pStyle w:val="710"/>
        <w:jc w:val="center"/>
        <w:spacing w:before="120" w:beforeAutospacing="0" w:after="120" w:afterAutospacing="0" w:line="360" w:lineRule="auto"/>
        <w:rPr>
          <w:color w:val="000000" w:themeColor="text1"/>
          <w:highlight w:val="none"/>
          <w14:textFill>
            <w14:solidFill>
              <w14:schemeClr w14:val="tx1"/>
            </w14:solidFill>
          </w14:textFill>
        </w:rPr>
      </w:pPr>
      <w:r>
        <w:rPr>
          <w:rFonts w:ascii="Arial" w:hAnsi="Arial" w:cs="Arial"/>
          <w:b/>
          <w:color w:val="000000" w:themeColor="text1"/>
          <w:sz w:val="32"/>
          <w:szCs w:val="32"/>
          <w:highlight w:val="none"/>
          <w14:textFill>
            <w14:solidFill>
              <w14:schemeClr w14:val="tx1"/>
            </w14:solidFill>
          </w14:textFill>
        </w:rPr>
        <w:t xml:space="preserve">项目名称：</w:t>
      </w:r>
      <w:r>
        <w:rPr>
          <w:rFonts w:hint="eastAsia" w:ascii="Arial" w:hAnsi="Arial" w:eastAsia="宋体" w:cs="Arial"/>
          <w:b/>
          <w:color w:val="000000" w:themeColor="text1"/>
          <w:sz w:val="32"/>
          <w:szCs w:val="32"/>
          <w:highlight w:val="none"/>
          <w:lang w:val="en-US" w:eastAsia="zh-CN"/>
          <w14:textFill>
            <w14:solidFill>
              <w14:schemeClr w14:val="tx1"/>
            </w14:solidFill>
          </w14:textFill>
        </w:rPr>
        <w:t xml:space="preserve">阜宁</w:t>
      </w:r>
      <w:r>
        <w:rPr>
          <w:rFonts w:hint="eastAsia" w:ascii="Arial" w:hAnsi="Arial" w:cs="Arial"/>
          <w:b/>
          <w:color w:val="000000" w:themeColor="text1"/>
          <w:sz w:val="32"/>
          <w:szCs w:val="32"/>
          <w:highlight w:val="none"/>
          <w14:textFill>
            <w14:solidFill>
              <w14:schemeClr w14:val="tx1"/>
            </w14:solidFill>
          </w14:textFill>
        </w:rPr>
        <w:t xml:space="preserve">县市场监督管理局202</w:t>
      </w:r>
      <w:r>
        <w:rPr>
          <w:rFonts w:hint="eastAsia" w:ascii="Arial" w:hAnsi="Arial" w:eastAsia="宋体" w:cs="Arial"/>
          <w:b/>
          <w:color w:val="000000" w:themeColor="text1"/>
          <w:sz w:val="32"/>
          <w:szCs w:val="32"/>
          <w:highlight w:val="none"/>
          <w:lang w:val="en-US" w:eastAsia="zh-CN"/>
          <w14:textFill>
            <w14:solidFill>
              <w14:schemeClr w14:val="tx1"/>
            </w14:solidFill>
          </w14:textFill>
        </w:rPr>
        <w:t xml:space="preserve">6</w:t>
      </w:r>
      <w:r>
        <w:rPr>
          <w:rFonts w:hint="eastAsia" w:ascii="Arial" w:hAnsi="Arial" w:cs="Arial"/>
          <w:b/>
          <w:color w:val="000000" w:themeColor="text1"/>
          <w:sz w:val="32"/>
          <w:szCs w:val="32"/>
          <w:highlight w:val="none"/>
          <w14:textFill>
            <w14:solidFill>
              <w14:schemeClr w14:val="tx1"/>
            </w14:solidFill>
          </w14:textFill>
        </w:rPr>
        <w:t xml:space="preserve">-202</w:t>
      </w:r>
      <w:r>
        <w:rPr>
          <w:rFonts w:hint="eastAsia" w:ascii="Arial" w:hAnsi="Arial" w:eastAsia="宋体" w:cs="Arial"/>
          <w:b/>
          <w:color w:val="000000" w:themeColor="text1"/>
          <w:sz w:val="32"/>
          <w:szCs w:val="32"/>
          <w:highlight w:val="none"/>
          <w:lang w:val="en-US" w:eastAsia="zh-CN"/>
          <w14:textFill>
            <w14:solidFill>
              <w14:schemeClr w14:val="tx1"/>
            </w14:solidFill>
          </w14:textFill>
        </w:rPr>
        <w:t xml:space="preserve">7</w:t>
      </w:r>
      <w:r>
        <w:rPr>
          <w:rFonts w:hint="eastAsia" w:ascii="Arial" w:hAnsi="Arial" w:cs="Arial"/>
          <w:b/>
          <w:color w:val="000000" w:themeColor="text1"/>
          <w:sz w:val="32"/>
          <w:szCs w:val="32"/>
          <w:highlight w:val="none"/>
          <w14:textFill>
            <w14:solidFill>
              <w14:schemeClr w14:val="tx1"/>
            </w14:solidFill>
          </w14:textFill>
        </w:rPr>
        <w:t xml:space="preserve">年度农贸</w:t>
      </w:r>
      <w:r>
        <w:rPr>
          <w:rFonts w:hint="eastAsia" w:ascii="Arial" w:hAnsi="Arial" w:eastAsia="宋体" w:cs="Arial"/>
          <w:b/>
          <w:color w:val="000000" w:themeColor="text1"/>
          <w:sz w:val="32"/>
          <w:szCs w:val="32"/>
          <w:highlight w:val="none"/>
          <w:lang w:eastAsia="zh-CN"/>
          <w14:textFill>
            <w14:solidFill>
              <w14:schemeClr w14:val="tx1"/>
            </w14:solidFill>
          </w14:textFill>
        </w:rPr>
        <w:t xml:space="preserve">（</w:t>
      </w:r>
      <w:r>
        <w:rPr>
          <w:rFonts w:hint="eastAsia" w:ascii="Arial" w:hAnsi="Arial" w:eastAsia="宋体" w:cs="Arial"/>
          <w:b/>
          <w:color w:val="000000" w:themeColor="text1"/>
          <w:sz w:val="32"/>
          <w:szCs w:val="32"/>
          <w:highlight w:val="none"/>
          <w:lang w:val="en-US" w:eastAsia="zh-CN"/>
          <w14:textFill>
            <w14:solidFill>
              <w14:schemeClr w14:val="tx1"/>
            </w14:solidFill>
          </w14:textFill>
        </w:rPr>
        <w:t xml:space="preserve">农批</w:t>
      </w:r>
      <w:r>
        <w:rPr>
          <w:rFonts w:hint="eastAsia" w:ascii="Arial" w:hAnsi="Arial" w:eastAsia="宋体" w:cs="Arial"/>
          <w:b/>
          <w:color w:val="000000" w:themeColor="text1"/>
          <w:sz w:val="32"/>
          <w:szCs w:val="32"/>
          <w:highlight w:val="none"/>
          <w:lang w:eastAsia="zh-CN"/>
          <w14:textFill>
            <w14:solidFill>
              <w14:schemeClr w14:val="tx1"/>
            </w14:solidFill>
          </w14:textFill>
        </w:rPr>
        <w:t xml:space="preserve">）</w:t>
      </w:r>
      <w:r>
        <w:rPr>
          <w:rFonts w:hint="eastAsia" w:ascii="Arial" w:hAnsi="Arial" w:cs="Arial"/>
          <w:b/>
          <w:color w:val="000000" w:themeColor="text1"/>
          <w:sz w:val="32"/>
          <w:szCs w:val="32"/>
          <w:highlight w:val="none"/>
          <w14:textFill>
            <w14:solidFill>
              <w14:schemeClr w14:val="tx1"/>
            </w14:solidFill>
          </w14:textFill>
        </w:rPr>
        <w:t xml:space="preserve">市场</w:t>
      </w:r>
      <w:r>
        <w:rPr>
          <w:rFonts w:hint="eastAsia" w:ascii="Arial" w:hAnsi="Arial" w:eastAsia="宋体" w:cs="Arial"/>
          <w:b/>
          <w:color w:val="000000" w:themeColor="text1"/>
          <w:sz w:val="32"/>
          <w:szCs w:val="32"/>
          <w:highlight w:val="none"/>
          <w:lang w:val="en-US" w:eastAsia="zh-CN"/>
          <w14:textFill>
            <w14:solidFill>
              <w14:schemeClr w14:val="tx1"/>
            </w14:solidFill>
          </w14:textFill>
        </w:rPr>
        <w:t xml:space="preserve">快检</w:t>
      </w:r>
      <w:r>
        <w:rPr>
          <w:rFonts w:hint="eastAsia" w:ascii="Arial" w:hAnsi="Arial" w:cs="Arial"/>
          <w:b/>
          <w:color w:val="000000" w:themeColor="text1"/>
          <w:sz w:val="32"/>
          <w:szCs w:val="32"/>
          <w:highlight w:val="none"/>
          <w14:textFill>
            <w14:solidFill>
              <w14:schemeClr w14:val="tx1"/>
            </w14:solidFill>
          </w14:textFill>
        </w:rPr>
        <w:t xml:space="preserve">运维服务项目</w:t>
      </w:r>
      <w:r/>
    </w:p>
    <w:p>
      <w:pPr>
        <w:pStyle w:val="710"/>
        <w:ind w:left="2100" w:firstLine="161"/>
        <w:jc w:val="both"/>
        <w:spacing w:beforeAutospacing="0" w:afterAutospacing="0"/>
        <w:rPr>
          <w:rFonts w:ascii="Times New Roman" w:hAnsi="Times New Roman"/>
          <w:b/>
          <w:color w:val="000000"/>
          <w:sz w:val="32"/>
          <w:szCs w:val="32"/>
          <w:highlight w:val="none"/>
        </w:rPr>
      </w:pPr>
      <w:r>
        <w:rPr>
          <w:rFonts w:ascii="Times New Roman" w:hAnsi="Times New Roman"/>
          <w:b/>
          <w:color w:val="000000"/>
          <w:sz w:val="32"/>
          <w:szCs w:val="32"/>
          <w:highlight w:val="none"/>
        </w:rPr>
      </w:r>
      <w:r/>
    </w:p>
    <w:p>
      <w:pPr>
        <w:pStyle w:val="710"/>
        <w:ind w:left="2100" w:firstLine="161"/>
        <w:jc w:val="both"/>
        <w:spacing w:beforeAutospacing="0" w:afterAutospacing="0"/>
        <w:rPr>
          <w:rFonts w:ascii="Times New Roman" w:hAnsi="Times New Roman"/>
          <w:b/>
          <w:color w:val="auto"/>
          <w:sz w:val="32"/>
          <w:szCs w:val="32"/>
          <w:highlight w:val="none"/>
        </w:rPr>
      </w:pPr>
      <w:r>
        <w:rPr>
          <w:rFonts w:ascii="Times New Roman" w:hAnsi="Times New Roman"/>
          <w:b/>
          <w:color w:val="auto"/>
          <w:sz w:val="32"/>
          <w:szCs w:val="32"/>
          <w:highlight w:val="none"/>
        </w:rPr>
      </w:r>
      <w:r/>
    </w:p>
    <w:p>
      <w:pPr>
        <w:pStyle w:val="710"/>
        <w:jc w:val="both"/>
        <w:spacing w:before="120" w:beforeAutospacing="0" w:after="120" w:afterAutospacing="0" w:line="360" w:lineRule="auto"/>
        <w:rPr>
          <w:rFonts w:hint="eastAsia" w:ascii="Arial" w:hAnsi="Arial" w:eastAsia="宋体" w:cs="Arial"/>
          <w:b/>
          <w:color w:val="000000" w:themeColor="text1"/>
          <w:sz w:val="32"/>
          <w:szCs w:val="32"/>
          <w:highlight w:val="none"/>
          <w:lang w:eastAsia="zh-CN"/>
          <w14:textFill>
            <w14:solidFill>
              <w14:schemeClr w14:val="tx1"/>
            </w14:solidFill>
          </w14:textFill>
        </w:rPr>
      </w:pPr>
      <w:r>
        <w:rPr>
          <w:rFonts w:ascii="Times New Roman" w:hAnsi="Times New Roman"/>
          <w:b/>
          <w:color w:val="auto"/>
          <w:sz w:val="32"/>
          <w:szCs w:val="32"/>
          <w:highlight w:val="none"/>
        </w:rPr>
        <w:t xml:space="preserve">项目编</w:t>
      </w:r>
      <w:r>
        <w:rPr>
          <w:rFonts w:hint="eastAsia" w:ascii="Arial" w:hAnsi="Arial" w:eastAsia="宋体" w:cs="Arial"/>
          <w:b/>
          <w:color w:val="000000" w:themeColor="text1"/>
          <w:sz w:val="32"/>
          <w:szCs w:val="32"/>
          <w:highlight w:val="none"/>
          <w:lang w:val="en-US" w:eastAsia="zh-CN"/>
          <w14:textFill>
            <w14:solidFill>
              <w14:schemeClr w14:val="tx1"/>
            </w14:solidFill>
          </w14:textFill>
        </w:rPr>
        <w:t xml:space="preserve">号：</w:t>
      </w:r>
      <w:r>
        <w:rPr>
          <w:rFonts w:hint="eastAsia" w:ascii="Arial" w:hAnsi="Arial" w:eastAsia="宋体" w:cs="Arial"/>
          <w:b/>
          <w:color w:val="000000" w:themeColor="text1"/>
          <w:sz w:val="32"/>
          <w:szCs w:val="32"/>
          <w:highlight w:val="none"/>
          <w:lang w:eastAsia="zh-CN"/>
          <w14:textFill>
            <w14:solidFill>
              <w14:schemeClr w14:val="tx1"/>
            </w14:solidFill>
          </w14:textFill>
        </w:rPr>
        <w:t xml:space="preserve">JSZC-320923-ZCGL-G2026-0009</w:t>
      </w:r>
      <w:r/>
    </w:p>
    <w:p>
      <w:pPr>
        <w:pStyle w:val="710"/>
        <w:jc w:val="center"/>
        <w:spacing w:before="120" w:beforeAutospacing="0" w:after="120" w:afterAutospacing="0" w:line="360" w:lineRule="auto"/>
        <w:rPr>
          <w:rFonts w:hint="eastAsia" w:ascii="Arial" w:hAnsi="Arial" w:eastAsia="宋体" w:cs="Arial"/>
          <w:b/>
          <w:color w:val="000000" w:themeColor="text1"/>
          <w:sz w:val="32"/>
          <w:szCs w:val="32"/>
          <w:highlight w:val="none"/>
          <w:lang w:eastAsia="zh-CN"/>
          <w14:textFill>
            <w14:solidFill>
              <w14:schemeClr w14:val="tx1"/>
            </w14:solidFill>
          </w14:textFill>
        </w:rPr>
      </w:pPr>
      <w:r>
        <w:rPr>
          <w:rFonts w:hint="eastAsia" w:ascii="Arial" w:hAnsi="Arial" w:eastAsia="宋体" w:cs="Arial"/>
          <w:b/>
          <w:color w:val="000000" w:themeColor="text1"/>
          <w:sz w:val="32"/>
          <w:szCs w:val="32"/>
          <w:highlight w:val="none"/>
          <w:lang w:eastAsia="zh-CN"/>
          <w14:textFill>
            <w14:solidFill>
              <w14:schemeClr w14:val="tx1"/>
            </w14:solidFill>
          </w14:textFill>
        </w:rPr>
        <w:t xml:space="preserve"> </w:t>
      </w:r>
      <w:r/>
    </w:p>
    <w:p>
      <w:pPr>
        <w:pStyle w:val="710"/>
        <w:spacing w:beforeAutospacing="0" w:afterAutospacing="0" w:line="360" w:lineRule="auto"/>
        <w:rPr>
          <w:highlight w:val="none"/>
        </w:rPr>
      </w:pPr>
      <w:r>
        <w:rPr>
          <w:highlight w:val="none"/>
        </w:rPr>
        <w:t xml:space="preserve"> </w:t>
      </w:r>
      <w:r/>
    </w:p>
    <w:p>
      <w:pPr>
        <w:pStyle w:val="710"/>
        <w:spacing w:beforeAutospacing="0" w:afterAutospacing="0" w:line="360" w:lineRule="auto"/>
        <w:rPr>
          <w:highlight w:val="none"/>
        </w:rPr>
      </w:pPr>
      <w:r>
        <w:rPr>
          <w:highlight w:val="none"/>
        </w:rPr>
        <w:t xml:space="preserve"> </w:t>
      </w:r>
      <w:r/>
    </w:p>
    <w:p>
      <w:pPr>
        <w:pStyle w:val="710"/>
        <w:spacing w:beforeAutospacing="0" w:afterAutospacing="0" w:line="360" w:lineRule="auto"/>
        <w:rPr>
          <w:highlight w:val="none"/>
        </w:rPr>
      </w:pPr>
      <w:r>
        <w:rPr>
          <w:highlight w:val="none"/>
        </w:rPr>
        <w:t xml:space="preserve"> </w:t>
      </w:r>
      <w:r/>
    </w:p>
    <w:p>
      <w:pPr>
        <w:pStyle w:val="710"/>
        <w:spacing w:beforeAutospacing="0" w:afterAutospacing="0" w:line="360" w:lineRule="auto"/>
        <w:rPr>
          <w:highlight w:val="none"/>
        </w:rPr>
      </w:pPr>
      <w:r>
        <w:rPr>
          <w:highlight w:val="none"/>
        </w:rPr>
        <w:t xml:space="preserve"> </w:t>
      </w:r>
      <w:r/>
    </w:p>
    <w:p>
      <w:pPr>
        <w:pStyle w:val="710"/>
        <w:spacing w:beforeAutospacing="0" w:afterAutospacing="0" w:line="360" w:lineRule="auto"/>
        <w:rPr>
          <w:highlight w:val="none"/>
        </w:rPr>
      </w:pPr>
      <w:r>
        <w:rPr>
          <w:highlight w:val="none"/>
        </w:rPr>
        <w:t xml:space="preserve"> </w:t>
      </w:r>
      <w:r/>
    </w:p>
    <w:p>
      <w:pPr>
        <w:pStyle w:val="710"/>
        <w:jc w:val="center"/>
        <w:spacing w:before="120" w:beforeAutospacing="0" w:after="120" w:afterAutospacing="0" w:line="360" w:lineRule="auto"/>
        <w:rPr>
          <w:rFonts w:hint="default" w:ascii="Arial" w:hAnsi="Arial" w:cs="Arial" w:eastAsiaTheme="minorEastAsia"/>
          <w:b/>
          <w:color w:val="000000"/>
          <w:sz w:val="32"/>
          <w:szCs w:val="32"/>
          <w:highlight w:val="none"/>
          <w:lang w:val="en-US" w:eastAsia="zh-CN"/>
        </w:rPr>
      </w:pPr>
      <w:r>
        <w:rPr>
          <w:rFonts w:hint="eastAsia" w:ascii="Arial" w:hAnsi="Arial" w:cs="Arial"/>
          <w:b/>
          <w:color w:val="000000"/>
          <w:sz w:val="32"/>
          <w:szCs w:val="32"/>
          <w:highlight w:val="none"/>
        </w:rPr>
        <w:t xml:space="preserve">采购单位</w:t>
      </w:r>
      <w:r>
        <w:rPr>
          <w:rFonts w:hint="eastAsia" w:ascii="Arial" w:hAnsi="Arial" w:cs="Arial"/>
          <w:b/>
          <w:color w:val="000000"/>
          <w:sz w:val="32"/>
          <w:szCs w:val="32"/>
          <w:highlight w:val="none"/>
          <w:lang w:val="en-US" w:eastAsia="zh-CN"/>
        </w:rPr>
        <w:t xml:space="preserve">  阜宁县市场监督管理局</w:t>
      </w:r>
      <w:r/>
    </w:p>
    <w:p>
      <w:pPr>
        <w:pStyle w:val="710"/>
        <w:jc w:val="center"/>
        <w:spacing w:before="120" w:beforeAutospacing="0" w:after="120" w:afterAutospacing="0" w:line="360" w:lineRule="auto"/>
        <w:rPr>
          <w:rFonts w:hint="default" w:eastAsia="宋体"/>
          <w:color w:val="000000" w:themeColor="text1"/>
          <w:highlight w:val="none"/>
          <w:lang w:val="en-US" w:eastAsia="zh-CN"/>
          <w14:textFill>
            <w14:solidFill>
              <w14:schemeClr w14:val="tx1"/>
            </w14:solidFill>
          </w14:textFill>
        </w:rPr>
      </w:pPr>
      <w:r>
        <w:rPr>
          <w:rFonts w:hint="eastAsia" w:ascii="Arial" w:hAnsi="Arial" w:cs="Arial"/>
          <w:b/>
          <w:color w:val="000000" w:themeColor="text1"/>
          <w:sz w:val="32"/>
          <w:szCs w:val="32"/>
          <w:highlight w:val="none"/>
          <w:lang w:val="en-US" w:eastAsia="zh-CN"/>
          <w14:textFill>
            <w14:solidFill>
              <w14:schemeClr w14:val="tx1"/>
            </w14:solidFill>
          </w14:textFill>
        </w:rPr>
        <w:t xml:space="preserve">2026</w:t>
      </w:r>
      <w:r>
        <w:rPr>
          <w:rFonts w:ascii="Arial" w:hAnsi="Arial" w:cs="Arial"/>
          <w:b/>
          <w:color w:val="000000" w:themeColor="text1"/>
          <w:sz w:val="32"/>
          <w:szCs w:val="32"/>
          <w:highlight w:val="none"/>
          <w14:textFill>
            <w14:solidFill>
              <w14:schemeClr w14:val="tx1"/>
            </w14:solidFill>
          </w14:textFill>
        </w:rPr>
        <w:t xml:space="preserve">年</w:t>
      </w:r>
      <w:r>
        <w:rPr>
          <w:rFonts w:hint="eastAsia" w:ascii="Arial" w:hAnsi="Arial" w:cs="Arial"/>
          <w:b/>
          <w:color w:val="000000" w:themeColor="text1"/>
          <w:sz w:val="32"/>
          <w:szCs w:val="32"/>
          <w:highlight w:val="none"/>
          <w:lang w:val="en-US" w:eastAsia="zh-CN"/>
          <w14:textFill>
            <w14:solidFill>
              <w14:schemeClr w14:val="tx1"/>
            </w14:solidFill>
          </w14:textFill>
        </w:rPr>
        <w:t xml:space="preserve">09</w:t>
      </w:r>
      <w:r>
        <w:rPr>
          <w:rFonts w:ascii="Arial" w:hAnsi="Arial" w:cs="Arial"/>
          <w:b/>
          <w:color w:val="000000" w:themeColor="text1"/>
          <w:sz w:val="32"/>
          <w:szCs w:val="32"/>
          <w:highlight w:val="none"/>
          <w14:textFill>
            <w14:solidFill>
              <w14:schemeClr w14:val="tx1"/>
            </w14:solidFill>
          </w14:textFill>
        </w:rPr>
        <w:t xml:space="preserve">月</w:t>
      </w:r>
      <w:r>
        <w:rPr>
          <w:rFonts w:hint="eastAsia" w:ascii="Arial" w:hAnsi="Arial" w:eastAsia="宋体" w:cs="Arial"/>
          <w:b/>
          <w:color w:val="000000" w:themeColor="text1"/>
          <w:sz w:val="32"/>
          <w:szCs w:val="32"/>
          <w:highlight w:val="none"/>
          <w:lang w:val="en-US" w:eastAsia="zh-CN"/>
          <w14:textFill>
            <w14:solidFill>
              <w14:schemeClr w14:val="tx1"/>
            </w14:solidFill>
          </w14:textFill>
        </w:rPr>
        <w:t xml:space="preserve">17日</w:t>
      </w:r>
      <w:r/>
    </w:p>
    <w:p>
      <w:pPr>
        <w:pStyle w:val="710"/>
        <w:spacing w:before="120" w:beforeAutospacing="0" w:after="120" w:afterAutospacing="0" w:line="360" w:lineRule="auto"/>
        <w:rPr>
          <w:highlight w:val="none"/>
        </w:rPr>
      </w:pPr>
      <w:r>
        <w:rPr>
          <w:rFonts w:ascii="Arial" w:hAnsi="Arial" w:cs="Arial"/>
          <w:color w:val="000000"/>
          <w:highlight w:val="none"/>
        </w:rPr>
        <w:t xml:space="preserve">                        </w:t>
      </w:r>
      <w:r/>
    </w:p>
    <w:p>
      <w:pPr>
        <w:pStyle w:val="710"/>
        <w:jc w:val="center"/>
        <w:spacing w:beforeAutospacing="0" w:afterAutospacing="0" w:line="480" w:lineRule="auto"/>
        <w:rPr>
          <w:rFonts w:ascii="Times New Roman" w:hAnsi="Times New Roman"/>
          <w:color w:val="000000"/>
          <w:sz w:val="21"/>
          <w:szCs w:val="21"/>
          <w:highlight w:val="none"/>
        </w:rPr>
      </w:pPr>
      <w:r>
        <w:rPr>
          <w:rFonts w:ascii="Times New Roman" w:hAnsi="Times New Roman"/>
          <w:color w:val="000000"/>
          <w:sz w:val="21"/>
          <w:szCs w:val="21"/>
          <w:highlight w:val="none"/>
        </w:rPr>
        <w:t xml:space="preserve"> </w:t>
      </w:r>
      <w:bookmarkStart w:id="0" w:name="_Toc513029200"/>
      <w:r/>
      <w:bookmarkStart w:id="1" w:name="_Toc523127445"/>
      <w:r/>
      <w:bookmarkStart w:id="2" w:name="_Toc16938516"/>
      <w:r/>
      <w:bookmarkStart w:id="3" w:name="_Toc120614210"/>
      <w:r/>
      <w:bookmarkStart w:id="4" w:name="_Toc20823272"/>
      <w:r/>
      <w:bookmarkStart w:id="5" w:name="_Toc479757206"/>
      <w:r>
        <w:rPr>
          <w:rFonts w:ascii="Times New Roman" w:hAnsi="Times New Roman"/>
          <w:color w:val="000000"/>
          <w:sz w:val="21"/>
          <w:szCs w:val="21"/>
          <w:highlight w:val="none"/>
        </w:rPr>
        <w:t xml:space="preserve"> </w:t>
      </w:r>
      <w:r/>
    </w:p>
    <w:p>
      <w:pPr>
        <w:rPr>
          <w:rFonts w:ascii="Times New Roman" w:hAnsi="Times New Roman"/>
          <w:color w:val="000000"/>
          <w:sz w:val="21"/>
          <w:szCs w:val="21"/>
          <w:highlight w:val="none"/>
        </w:rPr>
      </w:pPr>
      <w:r>
        <w:rPr>
          <w:rFonts w:ascii="Times New Roman" w:hAnsi="Times New Roman"/>
          <w:color w:val="000000"/>
          <w:sz w:val="21"/>
          <w:szCs w:val="21"/>
          <w:highlight w:val="none"/>
        </w:rPr>
        <w:br w:type="page" w:clear="all"/>
      </w:r>
      <w:r/>
    </w:p>
    <w:p>
      <w:pPr>
        <w:pStyle w:val="710"/>
        <w:jc w:val="center"/>
        <w:spacing w:beforeAutospacing="0" w:afterAutospacing="0" w:line="480" w:lineRule="auto"/>
        <w:rPr>
          <w:rFonts w:ascii="黑体" w:hAnsi="宋体" w:eastAsia="黑体" w:cs="黑体"/>
          <w:b/>
          <w:color w:val="000000"/>
          <w:sz w:val="44"/>
          <w:szCs w:val="44"/>
          <w:highlight w:val="none"/>
        </w:rPr>
      </w:pPr>
      <w:r>
        <w:rPr>
          <w:rFonts w:ascii="黑体" w:hAnsi="宋体" w:eastAsia="黑体" w:cs="黑体"/>
          <w:b/>
          <w:color w:val="000000"/>
          <w:sz w:val="44"/>
          <w:szCs w:val="44"/>
          <w:highlight w:val="none"/>
        </w:rPr>
      </w:r>
      <w:r/>
    </w:p>
    <w:p>
      <w:pPr>
        <w:pStyle w:val="710"/>
        <w:jc w:val="center"/>
        <w:spacing w:beforeAutospacing="0" w:afterAutospacing="0" w:line="480" w:lineRule="auto"/>
        <w:rPr>
          <w:rFonts w:ascii="黑体" w:hAnsi="宋体" w:eastAsia="黑体" w:cs="黑体"/>
          <w:b/>
          <w:color w:val="000000"/>
          <w:sz w:val="44"/>
          <w:szCs w:val="44"/>
          <w:highlight w:val="none"/>
        </w:rPr>
      </w:pPr>
      <w:r>
        <w:rPr>
          <w:rFonts w:ascii="黑体" w:hAnsi="宋体" w:eastAsia="黑体" w:cs="黑体"/>
          <w:b/>
          <w:color w:val="000000"/>
          <w:sz w:val="44"/>
          <w:szCs w:val="44"/>
          <w:highlight w:val="none"/>
        </w:rPr>
      </w:r>
      <w:r/>
    </w:p>
    <w:p>
      <w:pPr>
        <w:pStyle w:val="710"/>
        <w:jc w:val="center"/>
        <w:spacing w:beforeAutospacing="0" w:afterAutospacing="0" w:line="480" w:lineRule="auto"/>
        <w:rPr>
          <w:highlight w:val="none"/>
        </w:rPr>
      </w:pPr>
      <w:r>
        <w:rPr>
          <w:rFonts w:ascii="黑体" w:hAnsi="宋体" w:eastAsia="黑体" w:cs="黑体"/>
          <w:b/>
          <w:color w:val="000000"/>
          <w:sz w:val="44"/>
          <w:szCs w:val="44"/>
          <w:highlight w:val="none"/>
        </w:rPr>
        <w:t xml:space="preserve">总  目  录</w:t>
      </w:r>
      <w:bookmarkEnd w:id="0"/>
      <w:r/>
      <w:bookmarkEnd w:id="1"/>
      <w:r/>
      <w:bookmarkEnd w:id="2"/>
      <w:r/>
      <w:bookmarkEnd w:id="3"/>
      <w:r/>
      <w:bookmarkEnd w:id="4"/>
      <w:r/>
      <w:bookmarkEnd w:id="5"/>
      <w:r/>
      <w:r/>
    </w:p>
    <w:p>
      <w:pPr>
        <w:pStyle w:val="710"/>
        <w:jc w:val="both"/>
        <w:spacing w:beforeAutospacing="0" w:afterAutospacing="0" w:line="480" w:lineRule="auto"/>
        <w:rPr>
          <w:highlight w:val="none"/>
        </w:rPr>
      </w:pPr>
      <w:r>
        <w:rPr>
          <w:highlight w:val="none"/>
        </w:rPr>
        <w:t xml:space="preserve"> </w:t>
      </w:r>
      <w:r/>
    </w:p>
    <w:p>
      <w:pPr>
        <w:pStyle w:val="710"/>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lang w:val="en-US" w:eastAsia="zh-CN"/>
        </w:rPr>
        <w:t xml:space="preserve">招标公告</w:t>
      </w:r>
      <w:r>
        <w:rPr>
          <w:rFonts w:hint="eastAsia" w:ascii="黑体" w:hAnsi="宋体" w:eastAsia="黑体" w:cs="黑体"/>
          <w:color w:val="000000"/>
          <w:sz w:val="36"/>
          <w:szCs w:val="36"/>
          <w:highlight w:val="none"/>
        </w:rPr>
        <w:t xml:space="preserve">…………………………………… </w:t>
      </w:r>
      <w:r/>
    </w:p>
    <w:p>
      <w:pPr>
        <w:pStyle w:val="710"/>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rPr>
        <w:t xml:space="preserve">投标人须知…………………………………  </w:t>
      </w:r>
      <w:r/>
    </w:p>
    <w:p>
      <w:pPr>
        <w:pStyle w:val="710"/>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rPr>
        <w:t xml:space="preserve">合同文本……………………………………</w:t>
      </w:r>
      <w:r/>
    </w:p>
    <w:p>
      <w:pPr>
        <w:pStyle w:val="710"/>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rPr>
        <w:t xml:space="preserve">采购需求……………………………………</w:t>
      </w:r>
      <w:r/>
    </w:p>
    <w:p>
      <w:pPr>
        <w:pStyle w:val="710"/>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rPr>
        <w:t xml:space="preserve">评标方法与评标标准………………………</w:t>
      </w:r>
      <w:r/>
    </w:p>
    <w:p>
      <w:pPr>
        <w:pStyle w:val="710"/>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rPr>
        <w:t xml:space="preserve">投标文件格式………………………………</w:t>
      </w:r>
      <w:r/>
    </w:p>
    <w:p>
      <w:pPr>
        <w:pStyle w:val="710"/>
        <w:jc w:val="both"/>
        <w:spacing w:beforeAutospacing="0" w:afterAutospacing="0"/>
        <w:rPr>
          <w:highlight w:val="none"/>
        </w:rPr>
      </w:pPr>
      <w:r>
        <w:rPr>
          <w:highlight w:val="none"/>
        </w:rPr>
        <w:t xml:space="preserve"> </w:t>
      </w:r>
      <w:r/>
    </w:p>
    <w:p>
      <w:pPr>
        <w:pStyle w:val="710"/>
        <w:jc w:val="both"/>
        <w:spacing w:beforeAutospacing="0" w:afterAutospacing="0"/>
        <w:rPr>
          <w:highlight w:val="none"/>
        </w:rPr>
      </w:pPr>
      <w:r>
        <w:rPr>
          <w:highlight w:val="none"/>
        </w:rPr>
        <w:t xml:space="preserve"> </w:t>
      </w:r>
      <w:r/>
    </w:p>
    <w:p>
      <w:pPr>
        <w:pStyle w:val="710"/>
        <w:jc w:val="both"/>
        <w:spacing w:beforeAutospacing="0" w:afterAutospacing="0"/>
        <w:rPr>
          <w:highlight w:val="none"/>
        </w:rPr>
      </w:pPr>
      <w:r>
        <w:rPr>
          <w:highlight w:val="none"/>
        </w:rPr>
        <w:t xml:space="preserve"> </w:t>
      </w:r>
      <w:r/>
    </w:p>
    <w:p>
      <w:pPr>
        <w:pStyle w:val="710"/>
        <w:jc w:val="both"/>
        <w:spacing w:beforeAutospacing="0" w:afterAutospacing="0"/>
        <w:rPr>
          <w:highlight w:val="none"/>
        </w:rPr>
      </w:pPr>
      <w:r>
        <w:rPr>
          <w:highlight w:val="none"/>
        </w:rPr>
        <w:t xml:space="preserve"> </w:t>
      </w:r>
      <w:r/>
    </w:p>
    <w:p>
      <w:pPr>
        <w:pStyle w:val="710"/>
        <w:jc w:val="both"/>
        <w:spacing w:beforeAutospacing="0" w:afterAutospacing="0"/>
        <w:rPr>
          <w:highlight w:val="none"/>
        </w:rPr>
      </w:pPr>
      <w:r>
        <w:rPr>
          <w:highlight w:val="none"/>
        </w:rPr>
        <w:t xml:space="preserve"> </w:t>
      </w:r>
      <w:r/>
    </w:p>
    <w:p>
      <w:pPr>
        <w:pStyle w:val="710"/>
        <w:jc w:val="both"/>
        <w:spacing w:beforeAutospacing="0" w:afterAutospacing="0"/>
        <w:rPr>
          <w:highlight w:val="none"/>
        </w:rPr>
      </w:pPr>
      <w:r>
        <w:rPr>
          <w:highlight w:val="none"/>
        </w:rPr>
        <w:t xml:space="preserve"> </w:t>
      </w:r>
      <w:r/>
    </w:p>
    <w:p>
      <w:pPr>
        <w:pStyle w:val="710"/>
        <w:jc w:val="both"/>
        <w:spacing w:beforeAutospacing="0" w:afterAutospacing="0"/>
        <w:rPr>
          <w:highlight w:val="none"/>
        </w:rPr>
      </w:pPr>
      <w:r>
        <w:rPr>
          <w:highlight w:val="none"/>
        </w:rPr>
        <w:t xml:space="preserve"> </w:t>
      </w:r>
      <w:r/>
    </w:p>
    <w:p>
      <w:pPr>
        <w:pStyle w:val="710"/>
        <w:jc w:val="both"/>
        <w:spacing w:beforeAutospacing="0" w:afterAutospacing="0"/>
        <w:rPr>
          <w:highlight w:val="none"/>
        </w:rPr>
      </w:pPr>
      <w:r>
        <w:rPr>
          <w:highlight w:val="none"/>
        </w:rPr>
        <w:t xml:space="preserve"> </w:t>
      </w:r>
      <w:r/>
    </w:p>
    <w:p>
      <w:pPr>
        <w:pStyle w:val="710"/>
        <w:jc w:val="both"/>
        <w:spacing w:beforeAutospacing="0" w:afterAutospacing="0"/>
        <w:rPr>
          <w:highlight w:val="none"/>
        </w:rPr>
      </w:pPr>
      <w:r>
        <w:rPr>
          <w:highlight w:val="none"/>
        </w:rPr>
        <w:t xml:space="preserve"> </w:t>
      </w:r>
      <w:r/>
    </w:p>
    <w:p>
      <w:pPr>
        <w:pStyle w:val="710"/>
        <w:jc w:val="both"/>
        <w:spacing w:beforeAutospacing="0" w:afterAutospacing="0"/>
        <w:rPr>
          <w:highlight w:val="none"/>
        </w:rPr>
      </w:pPr>
      <w:r>
        <w:rPr>
          <w:highlight w:val="none"/>
        </w:rPr>
        <w:t xml:space="preserve"> </w:t>
      </w:r>
      <w:r/>
    </w:p>
    <w:p>
      <w:pPr>
        <w:pStyle w:val="710"/>
        <w:jc w:val="both"/>
        <w:spacing w:beforeAutospacing="0" w:afterAutospacing="0"/>
        <w:rPr>
          <w:highlight w:val="none"/>
        </w:rPr>
      </w:pPr>
      <w:r>
        <w:rPr>
          <w:highlight w:val="none"/>
        </w:rPr>
        <w:t xml:space="preserve"> </w:t>
      </w:r>
      <w:r/>
    </w:p>
    <w:p>
      <w:pPr>
        <w:pStyle w:val="710"/>
        <w:jc w:val="both"/>
        <w:spacing w:beforeAutospacing="0" w:afterAutospacing="0"/>
        <w:rPr>
          <w:highlight w:val="none"/>
        </w:rPr>
      </w:pPr>
      <w:r>
        <w:rPr>
          <w:highlight w:val="none"/>
        </w:rPr>
        <w:t xml:space="preserve"> </w:t>
      </w:r>
      <w:r/>
    </w:p>
    <w:p>
      <w:pPr>
        <w:pStyle w:val="710"/>
        <w:jc w:val="both"/>
        <w:spacing w:beforeAutospacing="0" w:afterAutospacing="0"/>
        <w:rPr>
          <w:highlight w:val="none"/>
        </w:rPr>
      </w:pPr>
      <w:r>
        <w:rPr>
          <w:highlight w:val="none"/>
        </w:rPr>
        <w:t xml:space="preserve"> </w:t>
      </w:r>
      <w:r/>
    </w:p>
    <w:p>
      <w:pPr>
        <w:pStyle w:val="710"/>
        <w:jc w:val="both"/>
        <w:spacing w:beforeAutospacing="0" w:afterAutospacing="0"/>
        <w:rPr>
          <w:highlight w:val="none"/>
        </w:rPr>
      </w:pPr>
      <w:r>
        <w:rPr>
          <w:highlight w:val="none"/>
        </w:rPr>
        <w:t xml:space="preserve"> </w:t>
      </w:r>
      <w:r/>
    </w:p>
    <w:p>
      <w:pPr>
        <w:pStyle w:val="710"/>
        <w:jc w:val="center"/>
        <w:spacing w:beforeAutospacing="0" w:afterAutospacing="0"/>
        <w:rPr>
          <w:rFonts w:hint="default" w:eastAsia="黑体"/>
          <w:highlight w:val="none"/>
          <w:lang w:val="en-US" w:eastAsia="zh-CN"/>
        </w:rPr>
      </w:pPr>
      <w:r>
        <w:rPr>
          <w:rFonts w:hint="eastAsia" w:ascii="黑体" w:hAnsi="宋体" w:eastAsia="黑体" w:cs="黑体"/>
          <w:color w:val="000000"/>
          <w:sz w:val="44"/>
          <w:szCs w:val="44"/>
          <w:highlight w:val="none"/>
        </w:rPr>
        <w:t xml:space="preserve">第一章 </w:t>
      </w:r>
      <w:r>
        <w:rPr>
          <w:rFonts w:hint="eastAsia" w:ascii="黑体" w:hAnsi="宋体" w:eastAsia="黑体" w:cs="黑体"/>
          <w:color w:val="000000"/>
          <w:sz w:val="44"/>
          <w:szCs w:val="44"/>
          <w:highlight w:val="none"/>
          <w:lang w:val="en-US" w:eastAsia="zh-CN"/>
        </w:rPr>
        <w:t xml:space="preserve">招标公告</w:t>
      </w:r>
      <w:r/>
    </w:p>
    <w:p>
      <w:pPr>
        <w:pStyle w:val="710"/>
        <w:ind w:firstLine="480"/>
        <w:jc w:val="both"/>
        <w:spacing w:beforeAutospacing="0" w:afterAutospacing="0"/>
        <w:rPr>
          <w:rFonts w:hint="eastAsia" w:ascii="宋体" w:hAnsi="宋体" w:eastAsia="宋体" w:cs="宋体"/>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highlight w:val="none"/>
        </w:rPr>
        <w:t xml:space="preserve">项目概况</w:t>
      </w:r>
      <w:r/>
    </w:p>
    <w:p>
      <w:pPr>
        <w:pStyle w:val="710"/>
        <w:ind w:firstLine="480"/>
        <w:jc w:val="both"/>
        <w:spacing w:beforeAutospacing="0" w:afterAutospacing="0"/>
        <w:rPr>
          <w:rFonts w:hint="eastAsia" w:ascii="宋体" w:hAnsi="宋体" w:eastAsia="宋体" w:cs="宋体"/>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u w:val="single"/>
          <w:lang w:val="en-US" w:eastAsia="zh-CN"/>
        </w:rPr>
        <w:t xml:space="preserve">阜宁</w:t>
      </w:r>
      <w:r>
        <w:rPr>
          <w:rFonts w:hint="eastAsia" w:ascii="宋体" w:hAnsi="宋体" w:eastAsia="宋体" w:cs="宋体"/>
          <w:color w:val="auto"/>
          <w:sz w:val="24"/>
          <w:szCs w:val="24"/>
          <w:highlight w:val="none"/>
          <w:u w:val="single"/>
        </w:rPr>
        <w:t xml:space="preserve">县市场监督管理局202</w:t>
      </w:r>
      <w:r>
        <w:rPr>
          <w:rFonts w:hint="eastAsia" w:ascii="宋体" w:hAnsi="宋体" w:eastAsia="宋体" w:cs="宋体"/>
          <w:color w:val="auto"/>
          <w:sz w:val="24"/>
          <w:szCs w:val="24"/>
          <w:highlight w:val="none"/>
          <w:u w:val="single"/>
          <w:lang w:val="en-US" w:eastAsia="zh-CN"/>
        </w:rPr>
        <w:t xml:space="preserve">6</w:t>
      </w:r>
      <w:r>
        <w:rPr>
          <w:rFonts w:hint="eastAsia" w:ascii="宋体" w:hAnsi="宋体" w:eastAsia="宋体" w:cs="宋体"/>
          <w:color w:val="auto"/>
          <w:sz w:val="24"/>
          <w:szCs w:val="24"/>
          <w:highlight w:val="none"/>
          <w:u w:val="single"/>
        </w:rPr>
        <w:t xml:space="preserve">-202</w:t>
      </w:r>
      <w:r>
        <w:rPr>
          <w:rFonts w:hint="eastAsia" w:ascii="宋体" w:hAnsi="宋体" w:eastAsia="宋体" w:cs="宋体"/>
          <w:color w:val="auto"/>
          <w:sz w:val="24"/>
          <w:szCs w:val="24"/>
          <w:highlight w:val="none"/>
          <w:u w:val="single"/>
          <w:lang w:val="en-US" w:eastAsia="zh-CN"/>
        </w:rPr>
        <w:t xml:space="preserve">7</w:t>
      </w:r>
      <w:r>
        <w:rPr>
          <w:rFonts w:hint="eastAsia" w:ascii="宋体" w:hAnsi="宋体" w:eastAsia="宋体" w:cs="宋体"/>
          <w:color w:val="auto"/>
          <w:sz w:val="24"/>
          <w:szCs w:val="24"/>
          <w:highlight w:val="none"/>
          <w:u w:val="single"/>
        </w:rPr>
        <w:t xml:space="preserve">年度农贸（农批）市场快检运维服务项目</w:t>
      </w:r>
      <w:r>
        <w:rPr>
          <w:rFonts w:hint="eastAsia" w:ascii="宋体" w:hAnsi="宋体" w:eastAsia="宋体" w:cs="宋体"/>
          <w:color w:val="auto"/>
          <w:sz w:val="24"/>
          <w:szCs w:val="24"/>
          <w:highlight w:val="none"/>
        </w:rPr>
        <w:t xml:space="preserve">招</w:t>
      </w:r>
      <w:r>
        <w:rPr>
          <w:rFonts w:hint="eastAsia" w:ascii="宋体" w:hAnsi="宋体" w:eastAsia="宋体" w:cs="宋体"/>
          <w:color w:val="000000"/>
          <w:sz w:val="24"/>
          <w:szCs w:val="24"/>
          <w:highlight w:val="none"/>
        </w:rPr>
        <w:t xml:space="preserve">标项目的潜在投标人可在</w:t>
      </w:r>
      <w:r>
        <w:rPr>
          <w:rFonts w:hint="eastAsia" w:ascii="宋体" w:hAnsi="宋体" w:eastAsia="宋体" w:cs="宋体"/>
          <w:i w:val="0"/>
          <w:iCs w:val="0"/>
          <w:caps w:val="0"/>
          <w:color w:val="333333"/>
          <w:spacing w:val="0"/>
          <w:sz w:val="24"/>
          <w:szCs w:val="24"/>
          <w:highlight w:val="none"/>
          <w:shd w:val="clear" w:color="auto" w:fill="ffffff"/>
        </w:rPr>
        <w:t xml:space="preserve">“苏采云”系统内免费下载（投标人必须在苏采云系统中获取采购文件，方能参与政府采购项目）</w:t>
      </w:r>
      <w:r>
        <w:rPr>
          <w:rFonts w:hint="eastAsia" w:ascii="宋体" w:hAnsi="宋体" w:eastAsia="宋体" w:cs="宋体"/>
          <w:color w:val="000000"/>
          <w:sz w:val="24"/>
          <w:szCs w:val="24"/>
          <w:highlight w:val="none"/>
        </w:rPr>
        <w:t xml:space="preserve">，并于</w:t>
      </w:r>
      <w:r>
        <w:rPr>
          <w:rFonts w:hint="eastAsia" w:ascii="宋体" w:hAnsi="宋体" w:eastAsia="宋体" w:cs="宋体"/>
          <w:color w:val="auto"/>
          <w:sz w:val="24"/>
          <w:szCs w:val="24"/>
          <w:highlight w:val="none"/>
          <w:u w:val="single"/>
          <w:lang w:val="en-US" w:eastAsia="zh-CN"/>
        </w:rPr>
        <w:t xml:space="preserve">2026年10月8日15点00分</w:t>
      </w:r>
      <w:r>
        <w:rPr>
          <w:rFonts w:hint="eastAsia" w:ascii="宋体" w:hAnsi="宋体" w:eastAsia="宋体" w:cs="宋体"/>
          <w:color w:val="auto"/>
          <w:sz w:val="24"/>
          <w:szCs w:val="24"/>
          <w:highlight w:val="none"/>
          <w:u w:val="single"/>
          <w:lang w:val="en-US" w:eastAsia="zh-CN"/>
        </w:rPr>
        <w:t xml:space="preserve">（北京时间</w:t>
      </w:r>
      <w:r>
        <w:rPr>
          <w:rFonts w:hint="eastAsia" w:ascii="宋体" w:hAnsi="宋体" w:eastAsia="宋体" w:cs="宋体"/>
          <w:color w:val="auto"/>
          <w:sz w:val="24"/>
          <w:szCs w:val="24"/>
          <w:highlight w:val="none"/>
          <w:u w:val="none"/>
          <w:lang w:val="en-US" w:eastAsia="zh-CN"/>
        </w:rPr>
        <w:t xml:space="preserve">）前递交投标文件。</w:t>
      </w:r>
      <w:r/>
    </w:p>
    <w:p>
      <w:pPr>
        <w:pStyle w:val="710"/>
        <w:ind w:firstLine="498"/>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6" w:name="_Toc35393790"/>
      <w:r/>
      <w:bookmarkStart w:id="7" w:name="_Toc35393621"/>
      <w:r/>
      <w:bookmarkStart w:id="8" w:name="_Toc28359002"/>
      <w:r/>
      <w:bookmarkStart w:id="9" w:name="_Toc28359079"/>
      <w:r/>
      <w:bookmarkStart w:id="10" w:name="_Toc38985263"/>
      <w:r/>
      <w:bookmarkStart w:id="11" w:name="_Hlk24379207"/>
      <w:r>
        <w:rPr>
          <w:rFonts w:hint="eastAsia" w:ascii="宋体" w:hAnsi="宋体" w:eastAsia="宋体" w:cs="宋体"/>
          <w:b/>
          <w:color w:val="000000"/>
          <w:sz w:val="24"/>
          <w:szCs w:val="24"/>
          <w:highlight w:val="none"/>
        </w:rPr>
        <w:t xml:space="preserve">一、项目基本情况</w:t>
      </w:r>
      <w:bookmarkEnd w:id="6"/>
      <w:r/>
      <w:bookmarkEnd w:id="7"/>
      <w:r/>
      <w:bookmarkEnd w:id="8"/>
      <w:r/>
      <w:bookmarkEnd w:id="9"/>
      <w:r/>
      <w:bookmarkEnd w:id="10"/>
      <w:r/>
      <w:bookmarkEnd w:id="11"/>
      <w:r/>
      <w:r/>
    </w:p>
    <w:p>
      <w:pPr>
        <w:pStyle w:val="710"/>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1.项目编号：</w:t>
      </w:r>
      <w:r>
        <w:rPr>
          <w:rFonts w:ascii="Segoe UI" w:hAnsi="Segoe UI" w:eastAsia="Segoe UI" w:cs="Segoe UI"/>
          <w:i w:val="0"/>
          <w:iCs w:val="0"/>
          <w:caps w:val="0"/>
          <w:spacing w:val="0"/>
          <w:sz w:val="21"/>
          <w:szCs w:val="21"/>
          <w:shd w:val="clear" w:color="auto" w:fill="ffffff"/>
        </w:rPr>
        <w:t xml:space="preserve">JSZC-320923-ZCGL-G2026-0009</w:t>
      </w:r>
      <w:r/>
    </w:p>
    <w:p>
      <w:pPr>
        <w:pStyle w:val="710"/>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2.项目名称：</w:t>
      </w:r>
      <w:r>
        <w:rPr>
          <w:rFonts w:hint="eastAsia" w:ascii="宋体" w:hAnsi="宋体" w:eastAsia="宋体" w:cs="宋体"/>
          <w:color w:val="auto"/>
          <w:sz w:val="24"/>
          <w:szCs w:val="24"/>
          <w:highlight w:val="none"/>
          <w:u w:val="single"/>
          <w:lang w:val="en-US" w:eastAsia="zh-CN"/>
        </w:rPr>
        <w:t xml:space="preserve">阜宁</w:t>
      </w:r>
      <w:r>
        <w:rPr>
          <w:rFonts w:hint="eastAsia" w:ascii="宋体" w:hAnsi="宋体" w:eastAsia="宋体" w:cs="宋体"/>
          <w:color w:val="auto"/>
          <w:sz w:val="24"/>
          <w:szCs w:val="24"/>
          <w:highlight w:val="none"/>
          <w:u w:val="single"/>
        </w:rPr>
        <w:t xml:space="preserve">县市场监督管理局202</w:t>
      </w:r>
      <w:r>
        <w:rPr>
          <w:rFonts w:hint="eastAsia" w:ascii="宋体" w:hAnsi="宋体" w:eastAsia="宋体" w:cs="宋体"/>
          <w:color w:val="auto"/>
          <w:sz w:val="24"/>
          <w:szCs w:val="24"/>
          <w:highlight w:val="none"/>
          <w:u w:val="single"/>
          <w:lang w:val="en-US" w:eastAsia="zh-CN"/>
        </w:rPr>
        <w:t xml:space="preserve">6</w:t>
      </w:r>
      <w:r>
        <w:rPr>
          <w:rFonts w:hint="eastAsia" w:ascii="宋体" w:hAnsi="宋体" w:eastAsia="宋体" w:cs="宋体"/>
          <w:color w:val="auto"/>
          <w:sz w:val="24"/>
          <w:szCs w:val="24"/>
          <w:highlight w:val="none"/>
          <w:u w:val="single"/>
        </w:rPr>
        <w:t xml:space="preserve">-202</w:t>
      </w:r>
      <w:r>
        <w:rPr>
          <w:rFonts w:hint="eastAsia" w:ascii="宋体" w:hAnsi="宋体" w:eastAsia="宋体" w:cs="宋体"/>
          <w:color w:val="auto"/>
          <w:sz w:val="24"/>
          <w:szCs w:val="24"/>
          <w:highlight w:val="none"/>
          <w:u w:val="single"/>
          <w:lang w:val="en-US" w:eastAsia="zh-CN"/>
        </w:rPr>
        <w:t xml:space="preserve">7</w:t>
      </w:r>
      <w:r>
        <w:rPr>
          <w:rFonts w:hint="eastAsia" w:ascii="宋体" w:hAnsi="宋体" w:eastAsia="宋体" w:cs="宋体"/>
          <w:color w:val="auto"/>
          <w:sz w:val="24"/>
          <w:szCs w:val="24"/>
          <w:highlight w:val="none"/>
          <w:u w:val="single"/>
        </w:rPr>
        <w:t xml:space="preserve">年度农贸（农批）市场快检运维服务项目</w:t>
      </w:r>
      <w:r/>
    </w:p>
    <w:p>
      <w:pPr>
        <w:pStyle w:val="710"/>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w:t>
      </w:r>
      <w:r>
        <w:rPr>
          <w:rFonts w:hint="eastAsia" w:ascii="宋体" w:hAnsi="宋体" w:eastAsia="宋体" w:cs="宋体"/>
          <w:i w:val="0"/>
          <w:iCs w:val="0"/>
          <w:caps w:val="0"/>
          <w:color w:val="auto"/>
          <w:spacing w:val="0"/>
          <w:sz w:val="24"/>
          <w:szCs w:val="24"/>
          <w:highlight w:val="none"/>
          <w:shd w:val="clear" w:color="auto" w:fill="ffffff"/>
        </w:rPr>
        <w:t xml:space="preserve">采购方式：</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公开招标</w:t>
      </w:r>
      <w:r/>
    </w:p>
    <w:p>
      <w:pPr>
        <w:pStyle w:val="710"/>
        <w:ind w:firstLine="480"/>
        <w:jc w:val="both"/>
        <w:keepLines w:val="0"/>
        <w:keepNext w:val="0"/>
        <w:pageBreakBefore w:val="0"/>
        <w:spacing w:beforeAutospacing="0" w:afterAutospacing="0"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.预算金额：</w:t>
      </w:r>
      <w:r>
        <w:rPr>
          <w:rFonts w:hint="eastAsia" w:ascii="宋体" w:hAnsi="宋体" w:eastAsia="宋体" w:cs="宋体"/>
          <w:color w:val="auto"/>
          <w:sz w:val="24"/>
          <w:szCs w:val="24"/>
          <w:highlight w:val="none"/>
          <w:lang w:val="en-US" w:eastAsia="zh-CN"/>
        </w:rPr>
        <w:t xml:space="preserve">500万元</w:t>
      </w:r>
      <w:r/>
    </w:p>
    <w:p>
      <w:pPr>
        <w:ind w:firstLine="480"/>
        <w:keepLines w:val="0"/>
        <w:keepNext w:val="0"/>
        <w:pageBreakBefore w:val="0"/>
        <w:spacing w:line="360" w:lineRule="auto"/>
        <w:widowControl w:val="off"/>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最高限价（如有）：</w:t>
      </w:r>
      <w:r>
        <w:rPr>
          <w:rFonts w:hint="eastAsia" w:ascii="宋体" w:hAnsi="宋体" w:eastAsia="宋体" w:cs="宋体"/>
          <w:color w:val="auto"/>
          <w:sz w:val="24"/>
          <w:szCs w:val="24"/>
          <w:highlight w:val="none"/>
          <w:u w:val="single"/>
          <w:lang w:val="en-US" w:eastAsia="zh-CN"/>
        </w:rPr>
        <w:t xml:space="preserve">500万元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.采购需求（简介）</w:t>
      </w:r>
      <w:r>
        <w:rPr>
          <w:rFonts w:hint="eastAsia" w:ascii="宋体" w:hAnsi="宋体" w:eastAsia="宋体" w:cs="宋体"/>
          <w:color w:val="auto"/>
          <w:sz w:val="24"/>
          <w:szCs w:val="24"/>
          <w:highlight w:val="none"/>
          <w:u w:val="single"/>
          <w:lang w:val="en-US" w:eastAsia="zh-CN"/>
        </w:rPr>
        <w:t xml:space="preserve">：阜宁县市场监督管理局2026-2027年度农贸（农批）市场快检运维服务项目：负责44个农贸（农批）市场快检室正常运维工作。新建沟墩七一河市场快检室，设备由中标单位自带，装修风格和其他市场接近，中标后2个月内投入运维。</w:t>
      </w:r>
      <w:r>
        <w:rPr>
          <w:rFonts w:hint="eastAsia" w:ascii="宋体" w:hAnsi="宋体" w:eastAsia="宋体" w:cs="宋体"/>
          <w:color w:val="auto"/>
          <w:sz w:val="24"/>
          <w:highlight w:val="none"/>
        </w:rPr>
        <w:t xml:space="preserve">主要负责</w:t>
      </w:r>
      <w:r>
        <w:rPr>
          <w:rFonts w:hint="eastAsia" w:ascii="宋体" w:hAnsi="宋体" w:eastAsia="宋体" w:cs="宋体"/>
          <w:color w:val="auto"/>
          <w:sz w:val="24"/>
          <w:highlight w:val="none"/>
          <w:lang w:val="en-US" w:eastAsia="zh-CN"/>
        </w:rPr>
        <w:t xml:space="preserve">44个</w:t>
      </w:r>
      <w:r>
        <w:rPr>
          <w:rFonts w:hint="eastAsia" w:ascii="宋体" w:hAnsi="宋体" w:eastAsia="宋体" w:cs="宋体"/>
          <w:color w:val="auto"/>
          <w:sz w:val="24"/>
          <w:highlight w:val="none"/>
        </w:rPr>
        <w:t xml:space="preserve">农贸（农批）市场快检室的日常</w:t>
      </w:r>
      <w:r>
        <w:rPr>
          <w:rFonts w:hint="eastAsia" w:ascii="宋体" w:hAnsi="宋体" w:eastAsia="宋体" w:cs="宋体"/>
          <w:color w:val="auto"/>
          <w:sz w:val="24"/>
          <w:highlight w:val="none"/>
          <w:lang w:val="en-US" w:eastAsia="zh-CN"/>
        </w:rPr>
        <w:t xml:space="preserve">快检</w:t>
      </w:r>
      <w:r>
        <w:rPr>
          <w:rFonts w:hint="eastAsia" w:ascii="宋体" w:hAnsi="宋体" w:eastAsia="宋体" w:cs="宋体"/>
          <w:color w:val="auto"/>
          <w:sz w:val="24"/>
          <w:highlight w:val="none"/>
        </w:rPr>
        <w:t xml:space="preserve">、快检室水电费用、快检室网络费用、检测工具设备投入、样品购买、检测耗材、检测试剂、检测人员工资、检测数据公示、检测数据传输与储存</w:t>
      </w:r>
      <w:r>
        <w:rPr>
          <w:rFonts w:hint="eastAsia" w:ascii="宋体" w:hAnsi="宋体" w:eastAsia="宋体" w:cs="宋体"/>
          <w:color w:val="auto"/>
          <w:sz w:val="24"/>
          <w:highlight w:val="none"/>
          <w:lang w:val="en-US" w:eastAsia="zh-CN"/>
        </w:rPr>
        <w:t xml:space="preserve">及相关温控设备工作</w:t>
      </w:r>
      <w:r>
        <w:rPr>
          <w:rFonts w:hint="eastAsia" w:ascii="宋体" w:hAnsi="宋体" w:eastAsia="宋体" w:cs="宋体"/>
          <w:color w:val="auto"/>
          <w:sz w:val="24"/>
          <w:highlight w:val="none"/>
        </w:rPr>
        <w:t xml:space="preserve">等，</w:t>
      </w:r>
      <w:r>
        <w:rPr>
          <w:rFonts w:hint="eastAsia" w:ascii="宋体" w:hAnsi="宋体" w:eastAsia="宋体" w:cs="宋体"/>
          <w:color w:val="auto"/>
          <w:sz w:val="24"/>
          <w:szCs w:val="24"/>
          <w:highlight w:val="none"/>
          <w:lang w:bidi="ar"/>
        </w:rPr>
        <w:t xml:space="preserve">协助</w:t>
      </w:r>
      <w:r>
        <w:rPr>
          <w:rFonts w:hint="eastAsia" w:ascii="宋体" w:hAnsi="宋体" w:eastAsia="宋体" w:cs="宋体"/>
          <w:color w:val="auto"/>
          <w:sz w:val="24"/>
          <w:szCs w:val="24"/>
          <w:highlight w:val="none"/>
          <w:lang w:val="en-US" w:eastAsia="zh-CN" w:bidi="ar"/>
        </w:rPr>
        <w:t xml:space="preserve">阜宁</w:t>
      </w:r>
      <w:r>
        <w:rPr>
          <w:rFonts w:hint="eastAsia" w:ascii="宋体" w:hAnsi="宋体" w:eastAsia="宋体" w:cs="宋体"/>
          <w:color w:val="auto"/>
          <w:sz w:val="24"/>
          <w:szCs w:val="24"/>
          <w:highlight w:val="none"/>
          <w:lang w:bidi="ar"/>
        </w:rPr>
        <w:t xml:space="preserve">县市场监督管理局做好</w:t>
      </w:r>
      <w:r>
        <w:rPr>
          <w:rFonts w:hint="eastAsia" w:ascii="宋体" w:hAnsi="宋体" w:eastAsia="宋体" w:cs="宋体"/>
          <w:color w:val="auto"/>
          <w:sz w:val="24"/>
          <w:highlight w:val="none"/>
        </w:rPr>
        <w:t xml:space="preserve">相关快检结果后续处理工作，实现从样品抽取到完成后续处理的全周期服务</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 服</w:t>
      </w:r>
      <w:r>
        <w:rPr>
          <w:rFonts w:hint="eastAsia" w:ascii="宋体" w:hAnsi="宋体" w:eastAsia="宋体" w:cs="宋体"/>
          <w:color w:val="auto"/>
          <w:sz w:val="24"/>
          <w:highlight w:val="none"/>
          <w:lang w:eastAsia="zh-CN"/>
        </w:rPr>
        <w:t xml:space="preserve">务期内重点问题食用农产品检测样本数量不少于</w:t>
      </w:r>
      <w:r>
        <w:rPr>
          <w:rFonts w:hint="eastAsia" w:ascii="宋体" w:hAnsi="宋体" w:eastAsia="宋体" w:cs="宋体"/>
          <w:color w:val="auto"/>
          <w:sz w:val="24"/>
          <w:highlight w:val="none"/>
          <w:lang w:val="en-US" w:eastAsia="zh-CN"/>
        </w:rPr>
        <w:t xml:space="preserve">40000</w:t>
      </w:r>
      <w:r>
        <w:rPr>
          <w:rFonts w:hint="eastAsia" w:ascii="宋体" w:hAnsi="宋体" w:eastAsia="宋体" w:cs="宋体"/>
          <w:color w:val="auto"/>
          <w:sz w:val="24"/>
          <w:highlight w:val="none"/>
          <w:lang w:eastAsia="zh-CN"/>
        </w:rPr>
        <w:t xml:space="preserve">个</w:t>
      </w:r>
      <w:r>
        <w:rPr>
          <w:rFonts w:hint="eastAsia" w:ascii="宋体" w:hAnsi="宋体" w:eastAsia="宋体" w:cs="宋体"/>
          <w:color w:val="auto"/>
          <w:sz w:val="24"/>
          <w:highlight w:val="none"/>
          <w:lang w:val="en-US" w:eastAsia="zh-CN"/>
        </w:rPr>
        <w:t xml:space="preserve">（其中</w:t>
      </w:r>
      <w:r>
        <w:rPr>
          <w:rFonts w:hint="default" w:ascii="宋体" w:hAnsi="宋体" w:eastAsia="宋体" w:cs="宋体"/>
          <w:color w:val="auto"/>
          <w:sz w:val="24"/>
          <w:highlight w:val="none"/>
          <w:lang w:val="en-US" w:eastAsia="zh-CN"/>
        </w:rPr>
        <w:t xml:space="preserve">“七条鱼</w:t>
      </w:r>
      <w:r>
        <w:rPr>
          <w:rFonts w:hint="eastAsia" w:ascii="宋体" w:hAnsi="宋体" w:eastAsia="宋体" w:cs="宋体"/>
          <w:color w:val="auto"/>
          <w:sz w:val="24"/>
          <w:highlight w:val="none"/>
          <w:lang w:val="en-US" w:eastAsia="zh-CN"/>
        </w:rPr>
        <w:t xml:space="preserve">与海参</w:t>
      </w:r>
      <w:r>
        <w:rPr>
          <w:rFonts w:hint="default"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lang w:val="en-US" w:eastAsia="zh-CN"/>
        </w:rPr>
        <w:t xml:space="preserve">样本不少于24000个，其余重点问题食用农产品样本不少于16000个），总检测参数不少于172320参数（其中“七条鱼与海参”样本不少于60000参数，其余重点问题食用农产品样本不少于34000参数，猪肉、牛肉及其制品等临时调整品种10000个参数【由局里根据上级布置情况进行调整】）</w:t>
      </w:r>
      <w:r>
        <w:rPr>
          <w:rFonts w:hint="eastAsia" w:ascii="宋体" w:hAnsi="宋体" w:eastAsia="宋体" w:cs="宋体"/>
          <w:color w:val="auto"/>
          <w:sz w:val="24"/>
          <w:highlight w:val="none"/>
        </w:rPr>
        <w:t xml:space="preserve">，所有检测数据信息归采购方所有，不得外传并需为采购方保存检测数据至少2年</w:t>
      </w:r>
      <w:r>
        <w:rPr>
          <w:rFonts w:hint="eastAsia" w:ascii="宋体" w:hAnsi="宋体" w:eastAsia="宋体" w:cs="宋体"/>
          <w:color w:val="auto"/>
          <w:sz w:val="24"/>
          <w:highlight w:val="none"/>
          <w:lang w:eastAsia="zh-CN"/>
        </w:rPr>
        <w:t xml:space="preserve">，具体需求见招标文件</w:t>
      </w:r>
      <w:r>
        <w:rPr>
          <w:rFonts w:hint="eastAsia" w:ascii="宋体" w:hAnsi="宋体" w:eastAsia="宋体" w:cs="宋体"/>
          <w:color w:val="auto"/>
          <w:sz w:val="24"/>
          <w:highlight w:val="none"/>
          <w:lang w:val="en-US" w:eastAsia="zh-CN"/>
        </w:rPr>
        <w:t xml:space="preserve">项目需求</w:t>
      </w:r>
      <w:r>
        <w:rPr>
          <w:rFonts w:hint="eastAsia" w:ascii="宋体" w:hAnsi="宋体" w:eastAsia="宋体" w:cs="宋体"/>
          <w:color w:val="auto"/>
          <w:sz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.合同履行期限：</w:t>
      </w:r>
      <w:r>
        <w:rPr>
          <w:rFonts w:hint="eastAsia" w:ascii="宋体" w:hAnsi="宋体" w:eastAsia="宋体" w:cs="宋体"/>
          <w:color w:val="auto"/>
          <w:sz w:val="24"/>
          <w:szCs w:val="24"/>
          <w:highlight w:val="none"/>
          <w:lang w:val="en-US" w:eastAsia="zh-CN"/>
        </w:rPr>
        <w:t xml:space="preserve">44个市场运营服务期自2026年9月1日至2027年8月31日</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sz w:val="24"/>
          <w:szCs w:val="24"/>
          <w:highlight w:val="none"/>
        </w:rPr>
        <w:t xml:space="preserve">服务要求：</w:t>
      </w:r>
      <w:r/>
    </w:p>
    <w:p>
      <w:pPr>
        <w:numPr>
          <w:ilvl w:val="0"/>
          <w:numId w:val="0"/>
        </w:numPr>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阜宁</w:t>
      </w:r>
      <w:r>
        <w:rPr>
          <w:rFonts w:hint="eastAsia" w:ascii="宋体" w:hAnsi="宋体" w:eastAsia="宋体" w:cs="宋体"/>
          <w:color w:val="auto"/>
          <w:sz w:val="24"/>
          <w:highlight w:val="none"/>
        </w:rPr>
        <w:t xml:space="preserve">农贸（农批）市场：</w:t>
      </w:r>
      <w:r>
        <w:rPr>
          <w:rFonts w:hint="eastAsia" w:ascii="宋体" w:hAnsi="宋体" w:eastAsia="宋体" w:cs="宋体"/>
          <w:color w:val="auto"/>
          <w:sz w:val="24"/>
          <w:highlight w:val="none"/>
          <w:lang w:val="en-US" w:eastAsia="zh-CN"/>
        </w:rPr>
        <w:t xml:space="preserve">本项目中标单位与前中标单位做好工作衔接，无相关检测仪器及前处理设备的市场，</w:t>
      </w:r>
      <w:r>
        <w:rPr>
          <w:rFonts w:hint="eastAsia" w:ascii="宋体" w:hAnsi="宋体" w:eastAsia="宋体" w:cs="宋体"/>
          <w:color w:val="auto"/>
          <w:sz w:val="24"/>
          <w:highlight w:val="none"/>
        </w:rPr>
        <w:t xml:space="preserve">由</w:t>
      </w:r>
      <w:r>
        <w:rPr>
          <w:rFonts w:hint="eastAsia" w:ascii="宋体" w:hAnsi="宋体" w:eastAsia="宋体" w:cs="宋体"/>
          <w:color w:val="auto"/>
          <w:sz w:val="24"/>
          <w:highlight w:val="none"/>
          <w:lang w:val="en-US" w:eastAsia="zh-CN"/>
        </w:rPr>
        <w:t xml:space="preserve">本项目中标单位自行携带满足检测及公示需求的设施设备（设备租赁费用包含在中标价中）、</w:t>
      </w:r>
      <w:r>
        <w:rPr>
          <w:rFonts w:hint="eastAsia" w:ascii="宋体" w:hAnsi="宋体" w:eastAsia="宋体" w:cs="宋体"/>
          <w:color w:val="auto"/>
          <w:sz w:val="24"/>
          <w:highlight w:val="none"/>
        </w:rPr>
        <w:t xml:space="preserve">设置显示终端（检测结果公示在显示屏），在农贸市场合适位置摆放或安装</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且能正常使用</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服务期间发生检测室搬迁等情况，费用由乙方自行承担。</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）质量要求：运营期内按照采购人要求保质保量完成每一份检测，一年运营期满后投标人须将所有快检室</w:t>
      </w:r>
      <w:r>
        <w:rPr>
          <w:rFonts w:hint="eastAsia" w:ascii="宋体" w:hAnsi="宋体" w:eastAsia="宋体" w:cs="宋体"/>
          <w:color w:val="auto"/>
          <w:sz w:val="24"/>
          <w:szCs w:val="24"/>
          <w:highlight w:val="none"/>
          <w:lang w:val="en-US" w:eastAsia="zh-CN"/>
        </w:rPr>
        <w:t xml:space="preserve">原有的</w:t>
      </w:r>
      <w:r>
        <w:rPr>
          <w:rFonts w:hint="eastAsia" w:ascii="宋体" w:hAnsi="宋体" w:eastAsia="宋体" w:cs="宋体"/>
          <w:color w:val="auto"/>
          <w:sz w:val="24"/>
          <w:szCs w:val="24"/>
          <w:highlight w:val="none"/>
        </w:rPr>
        <w:t xml:space="preserve">固定资产、配套软件台账等无偿移交给采购人且能保证正常使用。</w:t>
      </w:r>
      <w:r/>
    </w:p>
    <w:p>
      <w:pPr>
        <w:pStyle w:val="712"/>
        <w:keepLines w:val="0"/>
        <w:keepNext w:val="0"/>
        <w:pageBreakBefore w:val="0"/>
        <w:spacing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（3）合同签订后，向中标单位支付合同金额的30%作为预付款。服务期满中标单位完成所有工作任务且验收通过后支付</w:t>
      </w:r>
      <w:r>
        <w:rPr>
          <w:rFonts w:hint="eastAsia" w:cs="宋体"/>
          <w:color w:val="auto"/>
          <w:sz w:val="24"/>
          <w:szCs w:val="24"/>
          <w:highlight w:val="none"/>
          <w:lang w:val="en-US" w:eastAsia="zh-CN" w:bidi="ar-SA"/>
        </w:rPr>
        <w:t xml:space="preserve">剩余</w:t>
      </w:r>
      <w:r>
        <w:rPr>
          <w:rFonts w:hint="eastAsia" w:ascii="宋体" w:hAnsi="宋体" w:eastAsia="宋体" w:cs="宋体"/>
          <w:color w:val="auto"/>
          <w:sz w:val="24"/>
          <w:szCs w:val="24"/>
          <w:highlight w:val="none"/>
          <w:lang w:val="en-US" w:eastAsia="zh-CN" w:bidi="ar-SA"/>
        </w:rPr>
        <w:t xml:space="preserve">服务费用（招标人在中标单位提供正式发票20个工作日内</w:t>
      </w:r>
      <w:r>
        <w:rPr>
          <w:rFonts w:hint="default" w:ascii="宋体" w:hAnsi="宋体" w:eastAsia="宋体" w:cs="宋体"/>
          <w:color w:val="auto"/>
          <w:sz w:val="24"/>
          <w:szCs w:val="24"/>
          <w:highlight w:val="none"/>
          <w:lang w:val="en-US" w:eastAsia="zh-CN" w:bidi="ar-SA"/>
        </w:rPr>
        <w:t xml:space="preserve">向政府采购支付部门提出办理财政支付申请手续，</w:t>
      </w:r>
      <w:r>
        <w:rPr>
          <w:rFonts w:hint="eastAsia" w:ascii="宋体" w:hAnsi="宋体" w:eastAsia="宋体" w:cs="宋体"/>
          <w:color w:val="auto"/>
          <w:sz w:val="24"/>
          <w:szCs w:val="24"/>
          <w:highlight w:val="none"/>
          <w:lang w:val="en-US" w:eastAsia="zh-CN" w:bidi="ar-SA"/>
        </w:rPr>
        <w:t xml:space="preserve">收到拨付资金后及时支付给中标单位</w:t>
      </w:r>
      <w:r>
        <w:rPr>
          <w:rFonts w:hint="default"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因故无法按时支付费用的，招标人应及时告知中标单位原因）</w:t>
      </w:r>
      <w:r/>
    </w:p>
    <w:p>
      <w:pPr>
        <w:ind w:left="0" w:right="1470" w:firstLine="480"/>
        <w:jc w:val="both"/>
        <w:keepLines w:val="0"/>
        <w:keepNext w:val="0"/>
        <w:pageBreakBefore w:val="0"/>
        <w:spacing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9.项目地点：阜宁县境内农贸（农批）市场。</w:t>
      </w:r>
      <w:r/>
    </w:p>
    <w:p>
      <w:pPr>
        <w:ind w:left="0" w:right="1470" w:firstLine="480"/>
        <w:jc w:val="both"/>
        <w:keepLines w:val="0"/>
        <w:keepNext w:val="0"/>
        <w:pageBreakBefore w:val="0"/>
        <w:spacing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10.标段划分：本项目共为一个标段。</w:t>
      </w:r>
      <w:r/>
    </w:p>
    <w:p>
      <w:pPr>
        <w:ind w:left="0" w:right="1470" w:firstLine="480"/>
        <w:jc w:val="both"/>
        <w:keepLines w:val="0"/>
        <w:keepNext w:val="0"/>
        <w:pageBreakBefore w:val="0"/>
        <w:spacing w:after="0" w:line="360" w:lineRule="auto"/>
        <w:widowControl w:val="off"/>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11.本项目（是/否）接受联合体参与招标：否。</w:t>
      </w:r>
      <w:r/>
    </w:p>
    <w:p>
      <w:pPr>
        <w:pStyle w:val="710"/>
        <w:ind w:firstLine="498"/>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12" w:name="_Toc28359080"/>
      <w:r/>
      <w:bookmarkStart w:id="13" w:name="_Toc35393622"/>
      <w:r/>
      <w:bookmarkStart w:id="14" w:name="_Toc35393791"/>
      <w:r/>
      <w:bookmarkStart w:id="15" w:name="_Toc38985264"/>
      <w:r/>
      <w:bookmarkStart w:id="16" w:name="_Toc28359003"/>
      <w:r>
        <w:rPr>
          <w:rFonts w:hint="eastAsia" w:ascii="宋体" w:hAnsi="宋体" w:eastAsia="宋体" w:cs="宋体"/>
          <w:b/>
          <w:color w:val="000000"/>
          <w:sz w:val="24"/>
          <w:szCs w:val="24"/>
          <w:highlight w:val="none"/>
        </w:rPr>
        <w:t xml:space="preserve">二、申请人的资格要求</w:t>
      </w:r>
      <w:bookmarkEnd w:id="12"/>
      <w:r/>
      <w:bookmarkEnd w:id="13"/>
      <w:r/>
      <w:bookmarkEnd w:id="14"/>
      <w:r/>
      <w:bookmarkEnd w:id="15"/>
      <w:r/>
      <w:bookmarkEnd w:id="16"/>
      <w:r/>
      <w:r/>
    </w:p>
    <w:p>
      <w:pPr>
        <w:pStyle w:val="710"/>
        <w:ind w:left="0" w:firstLine="480"/>
        <w:jc w:val="both"/>
        <w:keepLines w:val="0"/>
        <w:keepNext w:val="0"/>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1.满足《中华人民共和国政府采购法》第二十二条规定，并提供下列材料：</w:t>
      </w:r>
      <w:r/>
    </w:p>
    <w:p>
      <w:pPr>
        <w:pStyle w:val="710"/>
        <w:ind w:left="0" w:firstLine="480"/>
        <w:jc w:val="both"/>
        <w:keepLines w:val="0"/>
        <w:keepNext w:val="0"/>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 法人或者其他组织的营业执照等证明文件，自然人的身份证明；</w:t>
      </w:r>
      <w:r/>
    </w:p>
    <w:p>
      <w:pPr>
        <w:pStyle w:val="710"/>
        <w:ind w:left="0" w:firstLine="480"/>
        <w:jc w:val="both"/>
        <w:keepLines w:val="0"/>
        <w:keepNext w:val="0"/>
        <w:pageBreakBefore w:val="0"/>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w:t>
      </w:r>
      <w:r>
        <w:rPr>
          <w:rFonts w:hint="eastAsia" w:ascii="宋体" w:hAnsi="宋体" w:eastAsia="宋体" w:cs="宋体"/>
          <w:color w:val="000000"/>
          <w:sz w:val="24"/>
          <w:szCs w:val="24"/>
          <w:highlight w:val="none"/>
          <w:lang w:eastAsia="zh-CN"/>
        </w:rPr>
        <w:t xml:space="preserve">上一年度（2025年度）的财务状况报告（财务报告至少应当包括资产负债表、利润表，距投标截止之日止，成立不足一年的供应商，可不提供财务报告）</w:t>
      </w:r>
      <w:r>
        <w:rPr>
          <w:rFonts w:hint="eastAsia" w:ascii="宋体" w:hAnsi="宋体" w:eastAsia="宋体" w:cs="宋体"/>
          <w:color w:val="000000"/>
          <w:sz w:val="24"/>
          <w:szCs w:val="24"/>
          <w:highlight w:val="none"/>
        </w:rPr>
        <w:t xml:space="preserve">；</w:t>
      </w:r>
      <w:r/>
    </w:p>
    <w:p>
      <w:pPr>
        <w:pStyle w:val="710"/>
        <w:ind w:left="0" w:firstLine="480"/>
        <w:jc w:val="both"/>
        <w:keepLines w:val="0"/>
        <w:keepNext w:val="0"/>
        <w:pageBreakBefore w:val="0"/>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rPr>
        <w:t xml:space="preserve">具备履行合同所必需的设备和专业技术能力的书面声明；</w:t>
      </w:r>
      <w:r/>
    </w:p>
    <w:p>
      <w:pPr>
        <w:pStyle w:val="710"/>
        <w:ind w:left="0" w:firstLine="480"/>
        <w:jc w:val="both"/>
        <w:keepLines w:val="0"/>
        <w:keepNext w:val="0"/>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依法缴纳税收和社会保障资金的相关材料（提供提交响应文件截止时间前一年内至少一个月依法缴纳税收及缴纳社会保障资金的证明材料。供应商依</w:t>
      </w:r>
      <w:r>
        <w:rPr>
          <w:rFonts w:hint="eastAsia" w:ascii="宋体" w:hAnsi="宋体" w:eastAsia="宋体" w:cs="宋体"/>
          <w:color w:val="auto"/>
          <w:sz w:val="24"/>
          <w:szCs w:val="24"/>
          <w:highlight w:val="none"/>
        </w:rPr>
        <w:t xml:space="preserve">法享受缓缴、免缴税收、社会保障资金的提供证明材料）；</w:t>
      </w:r>
      <w:r/>
    </w:p>
    <w:p>
      <w:pPr>
        <w:pStyle w:val="710"/>
        <w:ind w:left="0" w:firstLine="480"/>
        <w:jc w:val="both"/>
        <w:keepLines w:val="0"/>
        <w:keepNext w:val="0"/>
        <w:pageBreakBefore w:val="0"/>
        <w:spacing w:beforeAutospacing="0" w:afterAutospacing="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.5参加政府采购活动前3年内在经营活动中没有重大违法记录的书面声明。</w:t>
      </w:r>
      <w:r/>
    </w:p>
    <w:p>
      <w:pPr>
        <w:pStyle w:val="710"/>
        <w:ind w:left="0" w:firstLine="480"/>
        <w:jc w:val="both"/>
        <w:keepLines w:val="0"/>
        <w:keepNext w:val="0"/>
        <w:pageBreakBefore w:val="0"/>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1.6法律、行政法规规定的其他条件；</w:t>
      </w:r>
      <w:r/>
    </w:p>
    <w:p>
      <w:pPr>
        <w:pStyle w:val="710"/>
        <w:ind w:left="0" w:firstLine="480"/>
        <w:jc w:val="both"/>
        <w:keepLines w:val="0"/>
        <w:keepNext w:val="0"/>
        <w:pageBreakBefore w:val="0"/>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1.7</w:t>
      </w:r>
      <w:r>
        <w:rPr>
          <w:rFonts w:hint="eastAsia" w:ascii="宋体" w:hAnsi="宋体" w:eastAsia="宋体" w:cs="宋体"/>
          <w:color w:val="000000"/>
          <w:sz w:val="24"/>
          <w:szCs w:val="24"/>
          <w:highlight w:val="none"/>
        </w:rPr>
        <w:t xml:space="preserve">在“信用中国”网站查询，无被列入失信被执行人、重大税收违法案件当事人名单、政府采购严重失信行为记录名单及其他不符合《中华人民共和国政府采购法》第二十二条规定条件的信用记录</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（响应文件中无需提供证明材料）</w:t>
      </w:r>
      <w:r/>
    </w:p>
    <w:p>
      <w:pPr>
        <w:pStyle w:val="710"/>
        <w:ind w:left="0" w:firstLine="480"/>
        <w:jc w:val="both"/>
        <w:keepLines w:val="0"/>
        <w:keepNext w:val="0"/>
        <w:pageBreakBefore w:val="0"/>
        <w:spacing w:beforeAutospacing="0" w:afterAutospacing="0"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1.8</w:t>
      </w:r>
      <w:r>
        <w:rPr>
          <w:rFonts w:hint="eastAsia" w:ascii="宋体" w:hAnsi="宋体" w:eastAsia="宋体" w:cs="宋体"/>
          <w:color w:val="000000"/>
          <w:sz w:val="24"/>
          <w:szCs w:val="24"/>
          <w:highlight w:val="none"/>
        </w:rPr>
        <w:t xml:space="preserve">单位负责人为同一人或者存在直接控股、管理关系的不同供应商，不得参加同一合同项下的政府采购活动</w:t>
      </w:r>
      <w:r>
        <w:rPr>
          <w:rFonts w:hint="eastAsia" w:ascii="宋体" w:hAnsi="宋体" w:eastAsia="宋体" w:cs="宋体"/>
          <w:color w:val="000000"/>
          <w:sz w:val="24"/>
          <w:szCs w:val="24"/>
          <w:highlight w:val="none"/>
          <w:lang w:eastAsia="zh-CN"/>
        </w:rPr>
        <w:t xml:space="preserve">；</w:t>
      </w:r>
      <w:r/>
    </w:p>
    <w:p>
      <w:pPr>
        <w:ind w:left="0" w:right="0" w:firstLine="720"/>
        <w:keepLines w:val="0"/>
        <w:keepNext w:val="0"/>
        <w:pageBreakBefore w:val="0"/>
        <w:spacing w:before="0" w:after="0"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落实政府采购政策需满足的资格要求：</w:t>
      </w:r>
      <w:r>
        <w:rPr>
          <w:rFonts w:ascii="宋体" w:hAnsi="宋体" w:eastAsia="宋体" w:cs="宋体"/>
          <w:color w:val="000000"/>
          <w:sz w:val="24"/>
        </w:rPr>
        <w:t xml:space="preserve">采购标的的所属行业为</w:t>
      </w:r>
      <w:r>
        <w:rPr>
          <w:rFonts w:ascii="宋体" w:hAnsi="宋体" w:eastAsia="宋体" w:cs="宋体"/>
          <w:color w:val="000000"/>
          <w:sz w:val="24"/>
          <w:u w:val="single"/>
        </w:rPr>
        <w:t xml:space="preserve">其他未列明行业</w:t>
      </w:r>
      <w:r>
        <w:rPr>
          <w:rFonts w:ascii="宋体" w:hAnsi="宋体" w:eastAsia="宋体" w:cs="宋体"/>
          <w:color w:val="000000"/>
          <w:sz w:val="24"/>
        </w:rPr>
        <w:t xml:space="preserve">，供应商需按照招标文件的要求提供相应的《中小企业声明函》。企业标准请参照《关于印发中小企业划型标准规定的通知》（工信部联企业[2011]300号）文件规定自行填写。</w:t>
      </w:r>
      <w:r/>
    </w:p>
    <w:p>
      <w:pPr>
        <w:pStyle w:val="710"/>
        <w:ind w:left="0"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本项目的特定资格要求</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i w:val="0"/>
          <w:iCs w:val="0"/>
          <w:caps w:val="0"/>
          <w:color w:val="333333"/>
          <w:spacing w:val="0"/>
          <w:sz w:val="24"/>
          <w:szCs w:val="24"/>
          <w:highlight w:val="none"/>
          <w:u w:val="single"/>
          <w:shd w:val="clear" w:color="auto" w:fill="ffffff"/>
          <w:lang w:val="en-US" w:eastAsia="zh-CN"/>
        </w:rPr>
        <w:t xml:space="preserve">无</w:t>
      </w:r>
      <w:r/>
    </w:p>
    <w:p>
      <w:pPr>
        <w:pStyle w:val="710"/>
        <w:ind w:firstLine="498"/>
        <w:jc w:val="both"/>
        <w:keepLines/>
        <w:keepNext/>
        <w:spacing w:before="145" w:beforeAutospacing="0" w:after="145" w:afterAutospacing="0" w:line="360" w:lineRule="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三、获取招标文件</w:t>
      </w:r>
      <w:r/>
    </w:p>
    <w:p>
      <w:pPr>
        <w:ind w:firstLine="480"/>
        <w:jc w:val="left"/>
        <w:keepLines w:val="0"/>
        <w:keepNext w:val="0"/>
        <w:spacing w:line="360" w:lineRule="auto"/>
        <w:widowControl/>
        <w:rPr>
          <w:rFonts w:hint="eastAsia" w:ascii="宋体" w:hAnsi="宋体" w:eastAsia="宋体" w:cs="宋体"/>
          <w:color w:val="000000"/>
          <w:sz w:val="24"/>
          <w:szCs w:val="24"/>
          <w:highlight w:val="none"/>
          <w:lang w:val="en-US" w:eastAsia="zh-CN" w:bidi="ar-SA"/>
        </w:rPr>
        <w:suppressLineNumbers w:val="0"/>
      </w:pPr>
      <w:r/>
      <w:bookmarkStart w:id="17" w:name="_Toc28359082"/>
      <w:r/>
      <w:bookmarkStart w:id="18" w:name="_Toc28359005"/>
      <w:r/>
      <w:bookmarkStart w:id="19" w:name="_Toc35393793"/>
      <w:r/>
      <w:bookmarkStart w:id="20" w:name="_Toc38985266"/>
      <w:r/>
      <w:bookmarkStart w:id="21" w:name="_Toc35393624"/>
      <w:r>
        <w:rPr>
          <w:rFonts w:hint="eastAsia" w:ascii="宋体" w:hAnsi="宋体" w:eastAsia="宋体" w:cs="宋体"/>
          <w:color w:val="000000"/>
          <w:sz w:val="24"/>
          <w:szCs w:val="24"/>
          <w:highlight w:val="none"/>
        </w:rPr>
        <w:t xml:space="preserve">1.时间</w:t>
      </w:r>
      <w:r>
        <w:rPr>
          <w:rFonts w:hint="eastAsia" w:ascii="宋体" w:hAnsi="宋体" w:eastAsia="宋体" w:cs="宋体"/>
          <w:color w:val="000000"/>
          <w:sz w:val="24"/>
          <w:szCs w:val="24"/>
          <w:highlight w:val="none"/>
          <w:lang w:val="en-US" w:eastAsia="zh-CN" w:bidi="ar-SA"/>
        </w:rPr>
        <w:t xml:space="preserve">：</w:t>
      </w:r>
      <w:bookmarkEnd w:id="17"/>
      <w:r/>
      <w:bookmarkEnd w:id="18"/>
      <w:r/>
      <w:bookmarkEnd w:id="19"/>
      <w:r/>
      <w:bookmarkEnd w:id="20"/>
      <w:r/>
      <w:bookmarkEnd w:id="21"/>
      <w:r>
        <w:rPr>
          <w:rFonts w:hint="eastAsia" w:ascii="宋体" w:hAnsi="宋体" w:eastAsia="宋体" w:cs="宋体"/>
          <w:color w:val="000000"/>
          <w:sz w:val="24"/>
          <w:szCs w:val="24"/>
          <w:highlight w:val="none"/>
          <w:lang w:val="en-US" w:eastAsia="zh-CN" w:bidi="ar-SA"/>
        </w:rPr>
        <w:t xml:space="preserve">自招标文件公告发布之日起5个工作日。</w:t>
      </w:r>
      <w:r/>
    </w:p>
    <w:p>
      <w:pPr>
        <w:ind w:firstLine="480"/>
        <w:jc w:val="left"/>
        <w:keepLines w:val="0"/>
        <w:keepNext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2.地点：“苏采云”系统内免费下载（投标人必须在苏采云系统中获取采购文件，方能参与政府采购项目）；</w:t>
      </w:r>
      <w:r/>
    </w:p>
    <w:p>
      <w:pPr>
        <w:ind w:firstLine="480"/>
        <w:jc w:val="left"/>
        <w:keepLines w:val="0"/>
        <w:keepNext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3.方式：本项目采用网上注册登记方式。 </w:t>
      </w:r>
      <w:r/>
    </w:p>
    <w:p>
      <w:pPr>
        <w:ind w:firstLine="480"/>
        <w:jc w:val="left"/>
        <w:keepLines w:val="0"/>
        <w:keepNext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4.售价：0元</w:t>
      </w:r>
      <w:r/>
    </w:p>
    <w:p>
      <w:pPr>
        <w:pStyle w:val="710"/>
        <w:ind w:firstLine="498"/>
        <w:jc w:val="both"/>
        <w:keepLines/>
        <w:keepNext/>
        <w:spacing w:before="145" w:beforeAutospacing="0" w:after="145" w:afterAutospacing="0" w:line="360" w:lineRule="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四、提交投标文件截止时间、开标时间和地点</w:t>
      </w:r>
      <w:r/>
    </w:p>
    <w:p>
      <w:pPr>
        <w:ind w:firstLine="480"/>
        <w:jc w:val="left"/>
        <w:keepLines w:val="0"/>
        <w:keepNext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1.时间：2026年10月8日15点00分（北京时间）</w:t>
      </w:r>
      <w:r/>
    </w:p>
    <w:p>
      <w:pPr>
        <w:ind w:firstLine="480"/>
        <w:jc w:val="left"/>
        <w:keepLines w:val="0"/>
        <w:keepNext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2.地点：苏采云“不见面”开标大厅 。</w:t>
      </w:r>
      <w:r/>
    </w:p>
    <w:p>
      <w:pPr>
        <w:pStyle w:val="710"/>
        <w:ind w:firstLine="498"/>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22" w:name="_Toc35393794"/>
      <w:r/>
      <w:bookmarkStart w:id="23" w:name="_Toc28359007"/>
      <w:r/>
      <w:bookmarkStart w:id="24" w:name="_Toc38985267"/>
      <w:r/>
      <w:bookmarkStart w:id="25" w:name="_Toc35393625"/>
      <w:r/>
      <w:bookmarkStart w:id="26" w:name="_Toc28359084"/>
      <w:r>
        <w:rPr>
          <w:rFonts w:hint="eastAsia" w:ascii="宋体" w:hAnsi="宋体" w:eastAsia="宋体" w:cs="宋体"/>
          <w:b/>
          <w:color w:val="000000"/>
          <w:sz w:val="24"/>
          <w:szCs w:val="24"/>
          <w:highlight w:val="none"/>
        </w:rPr>
        <w:t xml:space="preserve">五、公告期限</w:t>
      </w:r>
      <w:bookmarkEnd w:id="22"/>
      <w:r/>
      <w:bookmarkEnd w:id="23"/>
      <w:r/>
      <w:bookmarkEnd w:id="24"/>
      <w:r/>
      <w:bookmarkEnd w:id="25"/>
      <w:r/>
      <w:bookmarkEnd w:id="26"/>
      <w:r/>
      <w:r/>
    </w:p>
    <w:p>
      <w:pPr>
        <w:pStyle w:val="710"/>
        <w:ind w:left="0" w:right="0" w:firstLine="560"/>
        <w:jc w:val="both"/>
        <w:keepLines w:val="0"/>
        <w:keepNext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27" w:name="_Toc35393626"/>
      <w:r/>
      <w:bookmarkStart w:id="28" w:name="_Toc35393795"/>
      <w:r/>
      <w:bookmarkStart w:id="29" w:name="_Toc38985268"/>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自本公告发布之日起5个工作日。</w:t>
      </w:r>
      <w:bookmarkEnd w:id="27"/>
      <w:r/>
      <w:bookmarkEnd w:id="28"/>
      <w:r/>
      <w:bookmarkEnd w:id="29"/>
      <w:r/>
      <w:r/>
    </w:p>
    <w:p>
      <w:pPr>
        <w:pStyle w:val="710"/>
        <w:ind w:firstLine="498"/>
        <w:jc w:val="both"/>
        <w:keepLines/>
        <w:keepNext/>
        <w:spacing w:before="145" w:beforeAutospacing="0" w:after="145" w:afterAutospacing="0"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六、其他补充事宜</w:t>
      </w:r>
      <w:r/>
    </w:p>
    <w:p>
      <w:pPr>
        <w:ind w:firstLine="480"/>
        <w:jc w:val="left"/>
        <w:keepLines w:val="0"/>
        <w:keepNext w:val="0"/>
        <w:spacing w:line="360" w:lineRule="auto"/>
        <w:widowControl/>
        <w:rPr>
          <w:rFonts w:hint="eastAsia" w:ascii="宋体" w:hAnsi="宋体" w:eastAsia="宋体" w:cs="宋体"/>
          <w:color w:val="000000"/>
          <w:sz w:val="24"/>
          <w:szCs w:val="24"/>
          <w:highlight w:val="none"/>
          <w:lang w:val="en-US" w:eastAsia="zh-CN" w:bidi="ar-SA"/>
        </w:rPr>
        <w:suppressLineNumbers w:val="0"/>
      </w:pPr>
      <w:r/>
      <w:bookmarkStart w:id="30" w:name="_Toc28359018"/>
      <w:r>
        <w:rPr>
          <w:rFonts w:hint="eastAsia" w:ascii="宋体" w:hAnsi="宋体" w:eastAsia="宋体" w:cs="宋体"/>
          <w:color w:val="000000"/>
          <w:sz w:val="24"/>
          <w:szCs w:val="24"/>
          <w:highlight w:val="none"/>
          <w:lang w:val="en-US" w:eastAsia="zh-CN" w:bidi="ar-SA"/>
        </w:rPr>
        <w:t xml:space="preserve">1. 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ind w:firstLine="480"/>
        <w:jc w:val="left"/>
        <w:keepLines w:val="0"/>
        <w:keepNext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领取CA和办理电子签章（请至盐城市府西路1号盐城市公共资源交易中心四楼大厅10号，11号窗办理，联系电话：15051556883，办理邮箱：yancheng@ideabank.net.cn，具体联系方式见《苏采云系统供应商操作手册》（以下简称《操作手册》））、进行注册并按《操作手册》要求制作、上传电子响应文件,《苏采云系统供应商操作手册》：在盐城市政府采购网点击【办事指南】-【供应商参与政府采购活动相关资料】。</w:t>
      </w:r>
      <w:r/>
    </w:p>
    <w:p>
      <w:pPr>
        <w:ind w:firstLine="480"/>
        <w:jc w:val="left"/>
        <w:keepLines w:val="0"/>
        <w:keepNext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2.潜在供应商访问电子招标响应交易平台的网络地址和方法： </w:t>
      </w:r>
      <w:r/>
    </w:p>
    <w:p>
      <w:pPr>
        <w:ind w:firstLine="480"/>
        <w:jc w:val="left"/>
        <w:keepLines w:val="0"/>
        <w:keepNext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2.1“苏采云”系统用户注册--获取“CA 数字证书”--CA 绑定与登录--参与投 标--下载询价文件（后缀名为“.kedt”）--将后缀名为“.kedt”的询价文件导入政府采购客户端工具--制作响应文件--导出加密的响应文件（后缀名为 zip）--通过“苏采云”系统上传响应文件。具体见《“苏采云”系统供应商操作手册》 （手册下载地址：苏采云系统-右侧消息通知栏）。 </w:t>
      </w:r>
      <w:r/>
    </w:p>
    <w:p>
      <w:pPr>
        <w:ind w:firstLine="480"/>
        <w:jc w:val="left"/>
        <w:keepLines w:val="0"/>
        <w:keepNext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2.2 潜在投标人访问“苏采云”系统方法：江苏省政府采购网首页-“苏采云”链接。 </w:t>
      </w:r>
      <w:r/>
    </w:p>
    <w:p>
      <w:pPr>
        <w:ind w:firstLine="480"/>
        <w:jc w:val="left"/>
        <w:keepLines w:val="0"/>
        <w:keepNext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2.3 询价文件（后缀名为“.kedt”）、供应商操作手册及政府采购客户端 工具可通过“苏采云”系统相应链接进行下载。 </w:t>
      </w:r>
      <w:r/>
    </w:p>
    <w:p>
      <w:pPr>
        <w:ind w:firstLine="480"/>
        <w:jc w:val="left"/>
        <w:keepLines w:val="0"/>
        <w:keepNext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2.4 采购代理机构将数据电文形式的询价文件加载至“苏采云”系统，供潜在供应商下载或者查阅。 </w:t>
      </w:r>
      <w:r/>
    </w:p>
    <w:p>
      <w:pPr>
        <w:ind w:firstLine="480"/>
        <w:jc w:val="left"/>
        <w:keepLines w:val="0"/>
        <w:keepNext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2.5 请潜在投标单位提前安装相应的控件（详见《“苏采云”系统供应商操作手册》）并使用谷歌浏览器登录“苏采云”系统参与不见面开评标。 </w:t>
      </w:r>
      <w:r/>
    </w:p>
    <w:p>
      <w:pPr>
        <w:ind w:firstLine="480"/>
        <w:jc w:val="left"/>
        <w:keepLines w:val="0"/>
        <w:keepNext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如潜在投标人未按上述要求操作，将自行承担所产生的风险。</w:t>
      </w:r>
      <w:r/>
    </w:p>
    <w:p>
      <w:pPr>
        <w:ind w:firstLine="480"/>
        <w:jc w:val="left"/>
        <w:keepLines w:val="0"/>
        <w:keepNext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3.有关本次询价的事项若存在变动或修改，敬请及时关注采购代理机构在“中国政府采购网”、“江苏政府采购网”、“盐城市政府采购网”、“阜宁县公共资源电子化综合交易平台”发布的更正公告。</w:t>
      </w:r>
      <w:r/>
    </w:p>
    <w:p>
      <w:pPr>
        <w:ind w:firstLine="480"/>
        <w:jc w:val="left"/>
        <w:keepLines w:val="0"/>
        <w:keepNext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4.本次本次询价不收取询价保证金，不收取质量保证金。</w:t>
      </w:r>
      <w:r/>
    </w:p>
    <w:p>
      <w:pPr>
        <w:pStyle w:val="710"/>
        <w:ind w:firstLine="498"/>
        <w:jc w:val="both"/>
        <w:keepLines/>
        <w:keepNext/>
        <w:spacing w:before="145" w:beforeAutospacing="0" w:after="145" w:afterAutospacing="0"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七、对本次招标提出询问，请按以下方式联系。</w:t>
      </w:r>
      <w:bookmarkEnd w:id="30"/>
      <w:r/>
      <w:r/>
    </w:p>
    <w:p>
      <w:pPr>
        <w:pStyle w:val="710"/>
        <w:ind w:left="0"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1" w:name="_Toc28359009"/>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1.采购人信息</w:t>
      </w:r>
      <w:r/>
    </w:p>
    <w:p>
      <w:pPr>
        <w:pStyle w:val="710"/>
        <w:ind w:left="0"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名 称：阜宁县市场监督管理局 </w:t>
      </w:r>
      <w:r/>
    </w:p>
    <w:p>
      <w:pPr>
        <w:pStyle w:val="710"/>
        <w:ind w:left="0"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地址：阜宁县兴隆路2号</w:t>
      </w:r>
      <w:r/>
    </w:p>
    <w:p>
      <w:pPr>
        <w:pStyle w:val="710"/>
        <w:ind w:left="0"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联系人：刘先生              </w:t>
      </w:r>
      <w:r/>
    </w:p>
    <w:p>
      <w:pPr>
        <w:pStyle w:val="710"/>
        <w:ind w:left="0"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联系方式：18961992651            </w:t>
      </w:r>
      <w:r/>
    </w:p>
    <w:p>
      <w:pPr>
        <w:pStyle w:val="710"/>
        <w:ind w:left="0"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2.采购代理机构信息</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bookmarkStart w:id="32" w:name="_Toc28359021"/>
      <w:r>
        <w:rPr>
          <w:rFonts w:hint="eastAsia" w:ascii="宋体" w:hAnsi="宋体" w:eastAsia="宋体" w:cs="宋体"/>
          <w:color w:val="000000"/>
          <w:sz w:val="24"/>
          <w:szCs w:val="24"/>
          <w:highlight w:val="none"/>
        </w:rPr>
        <w:t xml:space="preserve">名 称： 江苏执策建设管理有限公司</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地 址：</w:t>
      </w:r>
      <w:r>
        <w:rPr>
          <w:rFonts w:hint="eastAsia" w:ascii="宋体" w:hAnsi="宋体" w:eastAsia="宋体" w:cs="宋体"/>
          <w:color w:val="000000"/>
          <w:sz w:val="24"/>
          <w:szCs w:val="24"/>
          <w:highlight w:val="none"/>
          <w:lang w:eastAsia="zh-CN"/>
        </w:rPr>
        <w:t xml:space="preserve">阜宁县天鹅湖国际商业中心9楼918室</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联系人：周丹丹</w:t>
      </w:r>
      <w:r/>
    </w:p>
    <w:p>
      <w:pPr>
        <w:ind w:firstLine="480"/>
        <w:keepLines w:val="0"/>
        <w:keepNext w:val="0"/>
        <w:pageBreakBefore w:val="0"/>
        <w:spacing w:line="360" w:lineRule="auto"/>
        <w:widowControl w:val="off"/>
        <w:rPr>
          <w:rStyle w:val="877"/>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联系</w:t>
      </w:r>
      <w:r>
        <w:rPr>
          <w:rFonts w:hint="eastAsia" w:ascii="宋体" w:hAnsi="宋体" w:eastAsia="宋体" w:cs="宋体"/>
          <w:color w:val="000000"/>
          <w:sz w:val="24"/>
          <w:szCs w:val="24"/>
          <w:highlight w:val="none"/>
          <w:lang w:val="en-US" w:eastAsia="zh-CN"/>
        </w:rPr>
        <w:t xml:space="preserve">电话</w:t>
      </w:r>
      <w:r>
        <w:rPr>
          <w:rFonts w:hint="eastAsia" w:ascii="宋体" w:hAnsi="宋体" w:eastAsia="宋体" w:cs="宋体"/>
          <w:color w:val="000000"/>
          <w:sz w:val="24"/>
          <w:szCs w:val="24"/>
          <w:highlight w:val="none"/>
        </w:rPr>
        <w:t xml:space="preserve">：</w:t>
      </w:r>
      <w:r>
        <w:rPr>
          <w:rStyle w:val="877"/>
          <w:rFonts w:hint="eastAsia" w:ascii="宋体" w:hAnsi="宋体" w:eastAsia="宋体" w:cs="宋体"/>
          <w:color w:val="000000"/>
          <w:sz w:val="24"/>
          <w:szCs w:val="24"/>
          <w:highlight w:val="none"/>
          <w:lang w:val="en-US" w:eastAsia="zh-CN"/>
        </w:rPr>
        <w:t xml:space="preserve">19941577053</w:t>
      </w:r>
      <w:r/>
    </w:p>
    <w:p>
      <w:pPr>
        <w:pStyle w:val="710"/>
        <w:ind w:left="0"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3.</w:t>
      </w:r>
      <w:bookmarkEnd w:id="32"/>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项目联系方式</w:t>
      </w:r>
      <w:r/>
    </w:p>
    <w:p>
      <w:pPr>
        <w:ind w:firstLine="480"/>
        <w:keepLines w:val="0"/>
        <w:keepNext w:val="0"/>
        <w:pageBreakBefore w:val="0"/>
        <w:spacing w:line="360" w:lineRule="auto"/>
        <w:widowControl w:val="off"/>
        <w:rPr>
          <w:rFonts w:hint="eastAsia" w:ascii="宋体" w:hAnsi="宋体" w:eastAsia="宋体" w:cs="宋体"/>
          <w:i w:val="0"/>
          <w:iCs w:val="0"/>
          <w:caps w:val="0"/>
          <w:color w:val="333333"/>
          <w:spacing w:val="0"/>
          <w:sz w:val="24"/>
          <w:szCs w:val="24"/>
          <w:highlight w:val="none"/>
          <w:shd w:val="clear" w:color="auto" w:fill="ffffff"/>
          <w:lang w:val="en-US" w:eastAsia="zh-CN" w:bidi="ar-SA"/>
        </w:rPr>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项目联系人：刘先生 周丹丹</w:t>
      </w:r>
      <w:r/>
    </w:p>
    <w:p>
      <w:pPr>
        <w:pStyle w:val="710"/>
        <w:ind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电　　 话：18961992651、19941577053</w:t>
      </w:r>
      <w:r/>
    </w:p>
    <w:p>
      <w:pPr>
        <w:pStyle w:val="710"/>
        <w:ind w:left="0" w:right="0" w:firstLine="72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r>
      <w:r/>
    </w:p>
    <w:p>
      <w:pPr>
        <w:pStyle w:val="710"/>
        <w:ind w:left="0" w:right="0" w:firstLine="72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r>
      <w:r/>
    </w:p>
    <w:p>
      <w:pPr>
        <w:pStyle w:val="710"/>
        <w:ind w:left="0" w:right="0" w:firstLine="6000"/>
        <w:jc w:val="both"/>
        <w:keepLines w:val="0"/>
        <w:keepNext w:val="0"/>
        <w:pageBreakBefore w:val="0"/>
        <w:spacing w:before="0" w:beforeAutospacing="0" w:after="0" w:afterAutospacing="0" w:line="360" w:lineRule="auto"/>
        <w:shd w:val="clear" w:color="auto" w:fill="ffffff"/>
        <w:widowControl/>
        <w:rPr>
          <w:rFonts w:hint="default" w:ascii="宋体" w:hAnsi="宋体" w:eastAsia="宋体" w:cs="宋体"/>
          <w:i w:val="0"/>
          <w:iCs w:val="0"/>
          <w:caps w:val="0"/>
          <w:color w:val="333333"/>
          <w:spacing w:val="0"/>
          <w:sz w:val="24"/>
          <w:szCs w:val="24"/>
          <w:highlight w:val="none"/>
          <w:shd w:val="clear" w:color="auto" w:fill="ffffff"/>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2026年9月17日</w:t>
      </w:r>
      <w:r/>
    </w:p>
    <w:p>
      <w:pPr>
        <w:rPr>
          <w:rFonts w:hint="eastAsia" w:ascii="宋体" w:hAnsi="宋体" w:eastAsia="宋体" w:cs="宋体"/>
          <w:i w:val="0"/>
          <w:iCs w:val="0"/>
          <w:caps w:val="0"/>
          <w:color w:val="333333"/>
          <w:spacing w:val="0"/>
          <w:sz w:val="24"/>
          <w:szCs w:val="24"/>
          <w:highlight w:val="none"/>
          <w:shd w:val="clear" w:color="auto" w:fill="ffffff"/>
          <w:lang w:val="en-US" w:eastAsia="zh-CN" w:bidi="ar-SA"/>
        </w:rPr>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 </w:t>
      </w:r>
      <w:r/>
    </w:p>
    <w:p>
      <w:pPr>
        <w:pStyle w:val="710"/>
        <w:ind w:right="840"/>
        <w:jc w:val="both"/>
        <w:spacing w:beforeAutospacing="0" w:afterAutospacing="0"/>
        <w:rPr>
          <w:highlight w:val="none"/>
        </w:rPr>
      </w:pPr>
      <w:r>
        <w:rPr>
          <w:rFonts w:hint="eastAsia" w:ascii="宋体" w:hAnsi="宋体" w:eastAsia="宋体" w:cs="宋体"/>
          <w:color w:val="000000"/>
          <w:sz w:val="24"/>
          <w:szCs w:val="24"/>
          <w:highlight w:val="none"/>
        </w:rPr>
        <w:br w:type="page" w:clear="all"/>
      </w:r>
      <w:r/>
    </w:p>
    <w:p>
      <w:pPr>
        <w:pStyle w:val="710"/>
        <w:ind w:firstLine="2429"/>
        <w:jc w:val="both"/>
        <w:keepLines/>
        <w:keepNext/>
        <w:spacing w:before="260" w:beforeAutospacing="0" w:after="260" w:afterAutospacing="0" w:line="415" w:lineRule="auto"/>
        <w:rPr>
          <w:highlight w:val="none"/>
        </w:rPr>
      </w:pPr>
      <w:r/>
      <w:bookmarkStart w:id="33" w:name="_Toc120614211"/>
      <w:r>
        <w:rPr>
          <w:rFonts w:hint="eastAsia" w:ascii="黑体" w:hAnsi="宋体" w:eastAsia="黑体" w:cs="黑体"/>
          <w:b/>
          <w:color w:val="000000"/>
          <w:sz w:val="44"/>
          <w:szCs w:val="44"/>
          <w:highlight w:val="none"/>
        </w:rPr>
        <w:t xml:space="preserve">第二章  </w:t>
      </w:r>
      <w:bookmarkEnd w:id="33"/>
      <w:r/>
      <w:bookmarkStart w:id="34" w:name="_Toc120614213"/>
      <w:r/>
      <w:bookmarkStart w:id="35" w:name="_Toc513029202"/>
      <w:r/>
      <w:bookmarkStart w:id="36" w:name="_Toc20823274"/>
      <w:r/>
      <w:bookmarkStart w:id="37" w:name="_Toc16938518"/>
      <w:r>
        <w:rPr>
          <w:rFonts w:hint="eastAsia" w:ascii="黑体" w:hAnsi="宋体" w:eastAsia="黑体" w:cs="黑体"/>
          <w:b/>
          <w:color w:val="000000"/>
          <w:sz w:val="44"/>
          <w:szCs w:val="44"/>
          <w:highlight w:val="none"/>
        </w:rPr>
        <w:t xml:space="preserve">投标人须知</w:t>
      </w:r>
      <w:bookmarkEnd w:id="34"/>
      <w:r/>
      <w:bookmarkEnd w:id="35"/>
      <w:r/>
      <w:bookmarkEnd w:id="36"/>
      <w:r/>
      <w:bookmarkEnd w:id="37"/>
      <w:r/>
      <w:r/>
    </w:p>
    <w:p>
      <w:pPr>
        <w:pStyle w:val="710"/>
        <w:ind w:firstLine="498"/>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38" w:name="_Toc513029203"/>
      <w:r/>
      <w:bookmarkStart w:id="39" w:name="_Toc16938519"/>
      <w:r/>
      <w:bookmarkStart w:id="40" w:name="_Toc120614214"/>
      <w:r/>
      <w:bookmarkStart w:id="41" w:name="_Toc20823275"/>
      <w:r>
        <w:rPr>
          <w:rFonts w:hint="eastAsia" w:ascii="宋体" w:hAnsi="宋体" w:eastAsia="宋体" w:cs="宋体"/>
          <w:b/>
          <w:color w:val="000000"/>
          <w:sz w:val="24"/>
          <w:szCs w:val="24"/>
          <w:highlight w:val="none"/>
        </w:rPr>
        <w:t xml:space="preserve">一、总则</w:t>
      </w:r>
      <w:bookmarkEnd w:id="38"/>
      <w:r/>
      <w:bookmarkEnd w:id="39"/>
      <w:r/>
      <w:bookmarkEnd w:id="40"/>
      <w:r/>
      <w:bookmarkEnd w:id="41"/>
      <w:r/>
      <w:r/>
    </w:p>
    <w:p>
      <w:pPr>
        <w:pStyle w:val="710"/>
        <w:ind w:firstLine="420"/>
        <w:jc w:val="both"/>
        <w:keepLines/>
        <w:keepNext/>
        <w:spacing w:beforeAutospacing="0" w:afterAutospacing="0"/>
        <w:rPr>
          <w:rFonts w:hint="default" w:ascii="宋体" w:hAnsi="宋体" w:eastAsia="宋体" w:cs="宋体"/>
          <w:sz w:val="24"/>
          <w:szCs w:val="24"/>
          <w:highlight w:val="none"/>
          <w:lang w:val="en-US" w:eastAsia="zh-CN"/>
        </w:rPr>
      </w:pPr>
      <w:r/>
      <w:bookmarkStart w:id="42" w:name="_Toc16938520"/>
      <w:r/>
      <w:bookmarkStart w:id="43" w:name="_Toc458694821"/>
      <w:r/>
      <w:bookmarkStart w:id="44" w:name="_Toc20823276"/>
      <w:r/>
      <w:bookmarkStart w:id="45" w:name="_Toc513029204"/>
      <w:r/>
      <w:bookmarkStart w:id="46" w:name="_Hlt16619475"/>
      <w:r>
        <w:rPr>
          <w:rFonts w:hint="eastAsia" w:ascii="宋体" w:hAnsi="宋体" w:eastAsia="宋体" w:cs="宋体"/>
          <w:color w:val="000000"/>
          <w:sz w:val="24"/>
          <w:szCs w:val="24"/>
          <w:highlight w:val="none"/>
        </w:rPr>
        <w:t xml:space="preserve">1</w:t>
      </w:r>
      <w:bookmarkEnd w:id="42"/>
      <w:r>
        <w:rPr>
          <w:rFonts w:hint="eastAsia" w:ascii="宋体" w:hAnsi="宋体" w:eastAsia="宋体" w:cs="宋体"/>
          <w:color w:val="000000"/>
          <w:sz w:val="24"/>
          <w:szCs w:val="24"/>
          <w:highlight w:val="none"/>
        </w:rPr>
        <w:t xml:space="preserve">、招标方式</w:t>
      </w:r>
      <w:bookmarkEnd w:id="43"/>
      <w:r/>
      <w:bookmarkEnd w:id="44"/>
      <w:r/>
      <w:bookmarkEnd w:id="45"/>
      <w:r/>
      <w:r/>
    </w:p>
    <w:p>
      <w:pPr>
        <w:pStyle w:val="710"/>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1.1本次招标采取公开招标方式，本招标文件仅适用于招标公告中所述项目。</w:t>
      </w:r>
      <w:r/>
    </w:p>
    <w:p>
      <w:pPr>
        <w:pStyle w:val="710"/>
        <w:ind w:firstLine="420"/>
        <w:jc w:val="both"/>
        <w:keepLines/>
        <w:keepNext/>
        <w:spacing w:beforeAutospacing="0" w:afterAutospacing="0"/>
        <w:rPr>
          <w:rFonts w:hint="eastAsia" w:ascii="宋体" w:hAnsi="宋体" w:eastAsia="宋体" w:cs="宋体"/>
          <w:sz w:val="24"/>
          <w:szCs w:val="24"/>
          <w:highlight w:val="none"/>
        </w:rPr>
      </w:pPr>
      <w:r/>
      <w:bookmarkStart w:id="47" w:name="_Toc20823277"/>
      <w:r/>
      <w:bookmarkStart w:id="48" w:name="_Toc16938521"/>
      <w:r/>
      <w:bookmarkStart w:id="49" w:name="_Toc513029205"/>
      <w:r>
        <w:rPr>
          <w:rFonts w:hint="eastAsia" w:ascii="宋体" w:hAnsi="宋体" w:eastAsia="宋体" w:cs="宋体"/>
          <w:color w:val="000000"/>
          <w:sz w:val="24"/>
          <w:szCs w:val="24"/>
          <w:highlight w:val="none"/>
        </w:rPr>
        <w:t xml:space="preserve">2、合格的投标人</w:t>
      </w:r>
      <w:bookmarkEnd w:id="47"/>
      <w:r/>
      <w:bookmarkEnd w:id="48"/>
      <w:r/>
      <w:bookmarkEnd w:id="49"/>
      <w:r/>
      <w:r/>
    </w:p>
    <w:p>
      <w:pPr>
        <w:pStyle w:val="710"/>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2.1满足招标公告中供应商的资格要求的规定。</w:t>
      </w:r>
      <w:r/>
    </w:p>
    <w:p>
      <w:pPr>
        <w:pStyle w:val="710"/>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2.2满足本文件实质性要求和条件的规定。</w:t>
      </w:r>
      <w:r/>
    </w:p>
    <w:p>
      <w:pPr>
        <w:pStyle w:val="710"/>
        <w:ind w:firstLine="420"/>
        <w:jc w:val="both"/>
        <w:keepLines/>
        <w:keepNext/>
        <w:spacing w:beforeAutospacing="0" w:afterAutospacing="0"/>
        <w:rPr>
          <w:rFonts w:hint="eastAsia" w:ascii="宋体" w:hAnsi="宋体" w:eastAsia="宋体" w:cs="宋体"/>
          <w:sz w:val="24"/>
          <w:szCs w:val="24"/>
          <w:highlight w:val="none"/>
        </w:rPr>
      </w:pPr>
      <w:r/>
      <w:bookmarkStart w:id="50" w:name="_Toc20823278"/>
      <w:r/>
      <w:bookmarkStart w:id="51" w:name="_Toc16938522"/>
      <w:r/>
      <w:bookmarkStart w:id="52" w:name="_Toc513029206"/>
      <w:r>
        <w:rPr>
          <w:rFonts w:hint="eastAsia" w:ascii="宋体" w:hAnsi="宋体" w:eastAsia="宋体" w:cs="宋体"/>
          <w:color w:val="000000"/>
          <w:sz w:val="24"/>
          <w:szCs w:val="24"/>
          <w:highlight w:val="none"/>
        </w:rPr>
        <w:t xml:space="preserve">3、适用法律</w:t>
      </w:r>
      <w:bookmarkEnd w:id="50"/>
      <w:r/>
      <w:bookmarkEnd w:id="51"/>
      <w:r/>
      <w:bookmarkEnd w:id="52"/>
      <w:r/>
      <w:r/>
    </w:p>
    <w:p>
      <w:pPr>
        <w:pStyle w:val="710"/>
        <w:ind w:firstLine="42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3.1本次招标及由此产生的合同受中华人民共和国有关的法律法规制约和保护。</w:t>
      </w:r>
      <w:r/>
    </w:p>
    <w:p>
      <w:pPr>
        <w:pStyle w:val="710"/>
        <w:ind w:firstLine="420"/>
        <w:jc w:val="both"/>
        <w:keepLines/>
        <w:keepNext/>
        <w:spacing w:beforeAutospacing="0" w:afterAutospacing="0"/>
        <w:rPr>
          <w:rFonts w:hint="eastAsia" w:ascii="宋体" w:hAnsi="宋体" w:eastAsia="宋体" w:cs="宋体"/>
          <w:sz w:val="24"/>
          <w:szCs w:val="24"/>
          <w:highlight w:val="none"/>
        </w:rPr>
      </w:pPr>
      <w:r/>
      <w:bookmarkStart w:id="53" w:name="_Toc20823279"/>
      <w:r/>
      <w:bookmarkStart w:id="54" w:name="_Toc513029207"/>
      <w:r/>
      <w:bookmarkStart w:id="55" w:name="_Toc462564067"/>
      <w:r/>
      <w:bookmarkStart w:id="56" w:name="_Toc16938523"/>
      <w:r>
        <w:rPr>
          <w:rFonts w:hint="eastAsia" w:ascii="宋体" w:hAnsi="宋体" w:eastAsia="宋体" w:cs="宋体"/>
          <w:color w:val="000000"/>
          <w:sz w:val="24"/>
          <w:szCs w:val="24"/>
          <w:highlight w:val="none"/>
        </w:rPr>
        <w:t xml:space="preserve">4、投标费用</w:t>
      </w:r>
      <w:bookmarkEnd w:id="53"/>
      <w:r/>
      <w:bookmarkEnd w:id="54"/>
      <w:r/>
      <w:bookmarkEnd w:id="55"/>
      <w:r/>
      <w:bookmarkEnd w:id="56"/>
      <w:r/>
      <w:r/>
    </w:p>
    <w:p>
      <w:pPr>
        <w:pStyle w:val="710"/>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4.1投标人应自行承担所有与参加投标有关的费用，无论投标过程中的做法和结果如何，</w:t>
      </w:r>
      <w:r>
        <w:rPr>
          <w:rFonts w:hint="eastAsia" w:ascii="宋体" w:hAnsi="宋体" w:eastAsia="宋体" w:cs="宋体"/>
          <w:color w:val="000000"/>
          <w:sz w:val="24"/>
          <w:szCs w:val="24"/>
          <w:highlight w:val="yellow"/>
          <w:lang w:eastAsia="zh-CN"/>
        </w:rPr>
        <w:t xml:space="preserve">江苏执策建设管理有限公司</w:t>
      </w:r>
      <w:r>
        <w:rPr>
          <w:rFonts w:hint="eastAsia" w:ascii="宋体" w:hAnsi="宋体" w:eastAsia="宋体" w:cs="宋体"/>
          <w:color w:val="000000"/>
          <w:sz w:val="24"/>
          <w:szCs w:val="24"/>
          <w:highlight w:val="none"/>
        </w:rPr>
        <w:t xml:space="preserve">（以下简称</w:t>
      </w:r>
      <w:r>
        <w:rPr>
          <w:rFonts w:hint="eastAsia" w:ascii="宋体" w:hAnsi="宋体" w:eastAsia="宋体" w:cs="宋体"/>
          <w:color w:val="000000"/>
          <w:sz w:val="24"/>
          <w:szCs w:val="24"/>
          <w:highlight w:val="none"/>
          <w:lang w:val="en-US" w:eastAsia="zh-CN"/>
        </w:rPr>
        <w:t xml:space="preserve">代理公司</w:t>
      </w:r>
      <w:r>
        <w:rPr>
          <w:rFonts w:hint="eastAsia" w:ascii="宋体" w:hAnsi="宋体" w:eastAsia="宋体" w:cs="宋体"/>
          <w:color w:val="000000"/>
          <w:sz w:val="24"/>
          <w:szCs w:val="24"/>
          <w:highlight w:val="none"/>
        </w:rPr>
        <w:t xml:space="preserve">）在任何情况下均无义务和责任承担这些费用。</w:t>
      </w:r>
      <w:r/>
    </w:p>
    <w:p>
      <w:pPr>
        <w:pStyle w:val="710"/>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4.2本次招标</w:t>
      </w:r>
      <w:r>
        <w:rPr>
          <w:rFonts w:hint="eastAsia" w:ascii="宋体" w:hAnsi="宋体" w:eastAsia="宋体" w:cs="宋体"/>
          <w:color w:val="auto"/>
          <w:sz w:val="24"/>
          <w:szCs w:val="24"/>
          <w:highlight w:val="none"/>
          <w:lang w:val="en-US" w:eastAsia="zh-CN"/>
        </w:rPr>
        <w:t xml:space="preserve">代理公司</w:t>
      </w:r>
      <w:r>
        <w:rPr>
          <w:rFonts w:hint="eastAsia" w:ascii="宋体" w:hAnsi="宋体" w:eastAsia="宋体" w:cs="宋体"/>
          <w:color w:val="auto"/>
          <w:sz w:val="24"/>
          <w:szCs w:val="24"/>
          <w:highlight w:val="none"/>
        </w:rPr>
        <w:t xml:space="preserve">和采购人不收取标书工本费。</w:t>
      </w:r>
      <w:r/>
    </w:p>
    <w:p>
      <w:pPr>
        <w:pStyle w:val="710"/>
        <w:ind w:firstLine="482"/>
        <w:jc w:val="both"/>
        <w:keepLines/>
        <w:keepNext/>
        <w:spacing w:beforeAutospacing="0" w:afterAutospacing="0" w:line="0" w:lineRule="atLeas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4.2代理机构将根据委托代理合同、《政府采购代理机构管理暂行办法》【财库（2018）2号】第十五条、苏政采协【2024】20号文件，按采购项目中标价的1.1%向中标供应商收取招标代理费，由中标供应商在领取中标通知书前一次性支付。各供应商报价时需充分考虑该项费用，但不单列，结算时采购人不再另行增加任何费用给中标供应商。</w:t>
      </w:r>
      <w:r/>
    </w:p>
    <w:p>
      <w:pPr>
        <w:pStyle w:val="710"/>
        <w:ind w:firstLine="482"/>
        <w:jc w:val="both"/>
        <w:keepLines/>
        <w:keepNext/>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5、</w:t>
      </w:r>
      <w:r>
        <w:rPr>
          <w:rFonts w:hint="eastAsia" w:ascii="宋体" w:hAnsi="宋体" w:eastAsia="宋体" w:cs="宋体"/>
          <w:color w:val="auto"/>
          <w:sz w:val="24"/>
          <w:szCs w:val="24"/>
          <w:highlight w:val="none"/>
        </w:rPr>
        <w:t xml:space="preserve">招标文件的约束力</w:t>
      </w:r>
      <w:r/>
    </w:p>
    <w:p>
      <w:pPr>
        <w:pStyle w:val="710"/>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5.1投标人一旦参加本项目采购活动，即被认为接受了本招标文件的规定和约束。</w:t>
      </w:r>
      <w:r/>
    </w:p>
    <w:p>
      <w:pPr>
        <w:pStyle w:val="710"/>
        <w:ind w:firstLine="321"/>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57" w:name="_Toc120614215"/>
      <w:r/>
      <w:bookmarkStart w:id="58" w:name="_Toc16938525"/>
      <w:r/>
      <w:bookmarkStart w:id="59" w:name="_Toc20823281"/>
      <w:r/>
      <w:bookmarkStart w:id="60" w:name="_Toc513029209"/>
      <w:r>
        <w:rPr>
          <w:rFonts w:hint="eastAsia" w:ascii="宋体" w:hAnsi="宋体" w:eastAsia="宋体" w:cs="宋体"/>
          <w:b/>
          <w:color w:val="000000"/>
          <w:sz w:val="24"/>
          <w:szCs w:val="24"/>
          <w:highlight w:val="none"/>
        </w:rPr>
        <w:t xml:space="preserve">二、招标文件</w:t>
      </w:r>
      <w:bookmarkEnd w:id="57"/>
      <w:r/>
      <w:bookmarkEnd w:id="58"/>
      <w:r/>
      <w:bookmarkEnd w:id="59"/>
      <w:r/>
      <w:bookmarkEnd w:id="60"/>
      <w:r/>
      <w:r/>
    </w:p>
    <w:p>
      <w:pPr>
        <w:pStyle w:val="710"/>
        <w:ind w:firstLine="480"/>
        <w:jc w:val="both"/>
        <w:keepLines/>
        <w:keepNext/>
        <w:spacing w:beforeAutospacing="0" w:afterAutospacing="0"/>
        <w:rPr>
          <w:rFonts w:hint="eastAsia" w:ascii="宋体" w:hAnsi="宋体" w:eastAsia="宋体" w:cs="宋体"/>
          <w:sz w:val="24"/>
          <w:szCs w:val="24"/>
          <w:highlight w:val="none"/>
        </w:rPr>
      </w:pPr>
      <w:r/>
      <w:bookmarkStart w:id="61" w:name="_Toc16938526"/>
      <w:r/>
      <w:bookmarkStart w:id="62" w:name="_Toc20823282"/>
      <w:r/>
      <w:bookmarkStart w:id="63" w:name="_Toc513029210"/>
      <w:r>
        <w:rPr>
          <w:rFonts w:hint="eastAsia" w:ascii="宋体" w:hAnsi="宋体" w:eastAsia="宋体" w:cs="宋体"/>
          <w:color w:val="000000"/>
          <w:sz w:val="24"/>
          <w:szCs w:val="24"/>
          <w:highlight w:val="none"/>
        </w:rPr>
        <w:t xml:space="preserve">6、招标文件构成</w:t>
      </w:r>
      <w:bookmarkEnd w:id="61"/>
      <w:r/>
      <w:bookmarkEnd w:id="62"/>
      <w:r/>
      <w:bookmarkEnd w:id="63"/>
      <w:r/>
      <w:r/>
    </w:p>
    <w:p>
      <w:pPr>
        <w:pStyle w:val="710"/>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6.1 招标文件由以下部分组成：</w:t>
      </w:r>
      <w:r/>
    </w:p>
    <w:p>
      <w:pPr>
        <w:pStyle w:val="710"/>
        <w:ind w:firstLine="360"/>
        <w:jc w:val="both"/>
        <w:spacing w:beforeAutospacing="0" w:afterAutospacing="0" w:line="0" w:lineRule="atLeast"/>
        <w:rPr>
          <w:rFonts w:hint="eastAsia" w:ascii="宋体" w:hAnsi="宋体" w:eastAsia="宋体" w:cs="宋体"/>
          <w:sz w:val="24"/>
          <w:szCs w:val="24"/>
          <w:highlight w:val="none"/>
          <w:lang w:val="en-US"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招标公告</w:t>
      </w:r>
      <w:r/>
    </w:p>
    <w:p>
      <w:pPr>
        <w:pStyle w:val="710"/>
        <w:ind w:firstLine="36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（2）投标人须知</w:t>
      </w:r>
      <w:r/>
    </w:p>
    <w:p>
      <w:pPr>
        <w:pStyle w:val="710"/>
        <w:ind w:firstLine="36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（3）合同文本</w:t>
      </w:r>
      <w:r/>
    </w:p>
    <w:p>
      <w:pPr>
        <w:pStyle w:val="710"/>
        <w:ind w:firstLine="36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（4）采购需求</w:t>
      </w:r>
      <w:r/>
    </w:p>
    <w:p>
      <w:pPr>
        <w:pStyle w:val="710"/>
        <w:ind w:firstLine="360"/>
        <w:jc w:val="both"/>
        <w:spacing w:beforeAutospacing="0" w:afterAutospacing="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（5）评标方法与评标标准</w:t>
      </w:r>
      <w:r/>
    </w:p>
    <w:p>
      <w:pPr>
        <w:pStyle w:val="710"/>
        <w:ind w:firstLine="36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（6）投标文件格式</w:t>
      </w:r>
      <w:r/>
    </w:p>
    <w:p>
      <w:pPr>
        <w:pStyle w:val="710"/>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请仔细检查招标文件是否齐全，如有缺漏请立即与</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联系解决。</w:t>
      </w:r>
      <w:r/>
    </w:p>
    <w:p>
      <w:pPr>
        <w:pStyle w:val="710"/>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10"/>
        <w:ind w:firstLine="480"/>
        <w:jc w:val="both"/>
        <w:keepLines/>
        <w:keepNext/>
        <w:spacing w:beforeAutospacing="0" w:afterAutospacing="0"/>
        <w:rPr>
          <w:rFonts w:hint="eastAsia" w:ascii="宋体" w:hAnsi="宋体" w:eastAsia="宋体" w:cs="宋体"/>
          <w:sz w:val="24"/>
          <w:szCs w:val="24"/>
          <w:highlight w:val="none"/>
        </w:rPr>
      </w:pPr>
      <w:r/>
      <w:bookmarkStart w:id="64" w:name="_Toc16938527"/>
      <w:r/>
      <w:bookmarkStart w:id="65" w:name="_Toc462564070"/>
      <w:r/>
      <w:bookmarkStart w:id="66" w:name="_Toc20823283"/>
      <w:r/>
      <w:bookmarkStart w:id="67" w:name="_Toc513029211"/>
      <w:r>
        <w:rPr>
          <w:rFonts w:hint="eastAsia" w:ascii="宋体" w:hAnsi="宋体" w:eastAsia="宋体" w:cs="宋体"/>
          <w:color w:val="000000"/>
          <w:sz w:val="24"/>
          <w:szCs w:val="24"/>
          <w:highlight w:val="none"/>
        </w:rPr>
        <w:t xml:space="preserve">7、招标文件的澄清</w:t>
      </w:r>
      <w:bookmarkEnd w:id="64"/>
      <w:r/>
      <w:bookmarkEnd w:id="65"/>
      <w:r/>
      <w:bookmarkEnd w:id="66"/>
      <w:r/>
      <w:bookmarkEnd w:id="67"/>
      <w:r/>
      <w:r/>
    </w:p>
    <w:p>
      <w:pPr>
        <w:pStyle w:val="710"/>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7.1任何要求对招标文件进行澄清的投标人，应在投标截止期</w:t>
      </w:r>
      <w:r>
        <w:rPr>
          <w:rFonts w:hint="eastAsia" w:ascii="宋体" w:hAnsi="宋体" w:eastAsia="宋体" w:cs="宋体"/>
          <w:b/>
          <w:color w:val="000000"/>
          <w:sz w:val="24"/>
          <w:szCs w:val="24"/>
          <w:highlight w:val="none"/>
        </w:rPr>
        <w:t xml:space="preserve">十日</w:t>
      </w:r>
      <w:r>
        <w:rPr>
          <w:rFonts w:hint="eastAsia" w:ascii="宋体" w:hAnsi="宋体" w:eastAsia="宋体" w:cs="宋体"/>
          <w:color w:val="000000"/>
          <w:sz w:val="24"/>
          <w:szCs w:val="24"/>
          <w:highlight w:val="none"/>
        </w:rPr>
        <w:t xml:space="preserve">前按招标公告中的通讯地址，以书面形式通知</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w:t>
      </w:r>
      <w:r/>
    </w:p>
    <w:p>
      <w:pPr>
        <w:pStyle w:val="710"/>
        <w:ind w:firstLine="480"/>
        <w:jc w:val="both"/>
        <w:keepLines/>
        <w:keepNext/>
        <w:spacing w:beforeAutospacing="0" w:afterAutospacing="0"/>
        <w:rPr>
          <w:rFonts w:hint="default" w:ascii="宋体" w:hAnsi="宋体" w:eastAsia="宋体" w:cs="宋体"/>
          <w:sz w:val="24"/>
          <w:szCs w:val="24"/>
          <w:highlight w:val="none"/>
          <w:lang w:val="en-US" w:eastAsia="zh-CN"/>
        </w:rPr>
      </w:pPr>
      <w:r/>
      <w:bookmarkStart w:id="68" w:name="_Toc462564071"/>
      <w:r/>
      <w:bookmarkStart w:id="69" w:name="_Toc513029212"/>
      <w:r/>
      <w:bookmarkStart w:id="70" w:name="_Toc16938528"/>
      <w:r/>
      <w:bookmarkStart w:id="71" w:name="_Toc20823284"/>
      <w:r>
        <w:rPr>
          <w:rFonts w:hint="eastAsia" w:ascii="宋体" w:hAnsi="宋体" w:eastAsia="宋体" w:cs="宋体"/>
          <w:color w:val="000000"/>
          <w:sz w:val="24"/>
          <w:szCs w:val="24"/>
          <w:highlight w:val="none"/>
        </w:rPr>
        <w:t xml:space="preserve">8、招标文件的修改</w:t>
      </w:r>
      <w:bookmarkEnd w:id="68"/>
      <w:r/>
      <w:bookmarkEnd w:id="69"/>
      <w:r/>
      <w:bookmarkEnd w:id="70"/>
      <w:r/>
      <w:bookmarkEnd w:id="71"/>
      <w:r/>
      <w:r/>
    </w:p>
    <w:p>
      <w:pPr>
        <w:pStyle w:val="710"/>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8.1在投标截止时间前，</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可以对招标文件进行修改。</w:t>
      </w:r>
      <w:r/>
    </w:p>
    <w:p>
      <w:pPr>
        <w:pStyle w:val="710"/>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8.2</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有权按照法定的要求推迟投标截止日期和开标日期。</w:t>
      </w:r>
      <w:r/>
    </w:p>
    <w:p>
      <w:pPr>
        <w:pStyle w:val="710"/>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8.3招标文件的修改将在江苏政府采购网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盐城市政府采购网公布，补充文件将作为招标文件的组成部分，并对投标人具有约束力。</w:t>
      </w:r>
      <w:r/>
    </w:p>
    <w:p>
      <w:pPr>
        <w:pStyle w:val="710"/>
        <w:ind w:firstLine="482"/>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72" w:name="_Toc513029213"/>
      <w:r/>
      <w:bookmarkStart w:id="73" w:name="_Toc20823285"/>
      <w:r/>
      <w:bookmarkStart w:id="74" w:name="_Toc16938529"/>
      <w:r/>
      <w:bookmarkStart w:id="75" w:name="_Toc462564072"/>
      <w:r/>
      <w:bookmarkStart w:id="76" w:name="_Toc120614216"/>
      <w:r>
        <w:rPr>
          <w:rFonts w:hint="eastAsia" w:ascii="宋体" w:hAnsi="宋体" w:eastAsia="宋体" w:cs="宋体"/>
          <w:b/>
          <w:color w:val="000000"/>
          <w:sz w:val="24"/>
          <w:szCs w:val="24"/>
          <w:highlight w:val="none"/>
        </w:rPr>
        <w:t xml:space="preserve">三、投标文件的编制</w:t>
      </w:r>
      <w:bookmarkEnd w:id="72"/>
      <w:r/>
      <w:bookmarkEnd w:id="73"/>
      <w:r/>
      <w:bookmarkEnd w:id="74"/>
      <w:r/>
      <w:bookmarkEnd w:id="75"/>
      <w:r/>
      <w:bookmarkEnd w:id="76"/>
      <w:r/>
      <w:r/>
    </w:p>
    <w:p>
      <w:pPr>
        <w:pStyle w:val="710"/>
        <w:ind w:firstLine="480"/>
        <w:jc w:val="both"/>
        <w:keepLines/>
        <w:keepNext/>
        <w:spacing w:beforeAutospacing="0" w:afterAutospacing="0"/>
        <w:rPr>
          <w:rFonts w:hint="eastAsia" w:ascii="宋体" w:hAnsi="宋体" w:eastAsia="宋体" w:cs="宋体"/>
          <w:sz w:val="24"/>
          <w:szCs w:val="24"/>
          <w:highlight w:val="none"/>
        </w:rPr>
      </w:pPr>
      <w:r/>
      <w:bookmarkStart w:id="77" w:name="_Toc462564073"/>
      <w:r/>
      <w:bookmarkStart w:id="78" w:name="_Toc16938530"/>
      <w:r/>
      <w:bookmarkStart w:id="79" w:name="_Toc513029214"/>
      <w:r/>
      <w:bookmarkStart w:id="80" w:name="_Toc20823286"/>
      <w:r>
        <w:rPr>
          <w:rFonts w:hint="eastAsia" w:ascii="宋体" w:hAnsi="宋体" w:eastAsia="宋体" w:cs="宋体"/>
          <w:color w:val="000000"/>
          <w:sz w:val="24"/>
          <w:szCs w:val="24"/>
          <w:highlight w:val="none"/>
        </w:rPr>
        <w:t xml:space="preserve">9、投标文件的语言及度量衡单位</w:t>
      </w:r>
      <w:bookmarkEnd w:id="77"/>
      <w:r/>
      <w:bookmarkEnd w:id="78"/>
      <w:r/>
      <w:bookmarkEnd w:id="79"/>
      <w:r/>
      <w:bookmarkEnd w:id="80"/>
      <w:r/>
      <w:r/>
    </w:p>
    <w:p>
      <w:pPr>
        <w:pStyle w:val="710"/>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9.1投标人提交的投标文件以及投标人与采购</w:t>
      </w:r>
      <w:r>
        <w:rPr>
          <w:rFonts w:hint="eastAsia" w:ascii="宋体" w:hAnsi="宋体" w:eastAsia="宋体" w:cs="宋体"/>
          <w:color w:val="000000"/>
          <w:sz w:val="24"/>
          <w:szCs w:val="24"/>
          <w:highlight w:val="none"/>
          <w:lang w:val="en-US" w:eastAsia="zh-CN"/>
        </w:rPr>
        <w:t xml:space="preserve">代理机构</w:t>
      </w:r>
      <w:r>
        <w:rPr>
          <w:rFonts w:hint="eastAsia" w:ascii="宋体" w:hAnsi="宋体" w:eastAsia="宋体" w:cs="宋体"/>
          <w:color w:val="000000"/>
          <w:sz w:val="24"/>
          <w:szCs w:val="24"/>
          <w:highlight w:val="none"/>
        </w:rPr>
        <w:t xml:space="preserve">就有关投标的所有来往通知、函件和文件均应使用</w:t>
      </w:r>
      <w:r>
        <w:rPr>
          <w:rFonts w:hint="eastAsia" w:ascii="宋体" w:hAnsi="宋体" w:eastAsia="宋体" w:cs="宋体"/>
          <w:b/>
          <w:color w:val="000000"/>
          <w:sz w:val="24"/>
          <w:szCs w:val="24"/>
          <w:highlight w:val="none"/>
        </w:rPr>
        <w:t xml:space="preserve">简体中文</w:t>
      </w:r>
      <w:r>
        <w:rPr>
          <w:rFonts w:hint="eastAsia" w:ascii="宋体" w:hAnsi="宋体" w:eastAsia="宋体" w:cs="宋体"/>
          <w:color w:val="000000"/>
          <w:sz w:val="24"/>
          <w:szCs w:val="24"/>
          <w:highlight w:val="none"/>
        </w:rPr>
        <w:t xml:space="preserve">。</w:t>
      </w:r>
      <w:r/>
    </w:p>
    <w:p>
      <w:pPr>
        <w:pStyle w:val="710"/>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9.2除技术性能另有规定外，投标文件所使用的度量衡单位，均须采用国家法定计量单位。</w:t>
      </w:r>
      <w:r/>
    </w:p>
    <w:p>
      <w:pPr>
        <w:pStyle w:val="710"/>
        <w:ind w:firstLine="480"/>
        <w:jc w:val="both"/>
        <w:keepLines/>
        <w:keepNext/>
        <w:spacing w:beforeAutospacing="0" w:afterAutospacing="0"/>
        <w:rPr>
          <w:rFonts w:hint="eastAsia" w:ascii="宋体" w:hAnsi="宋体" w:eastAsia="宋体" w:cs="宋体"/>
          <w:sz w:val="24"/>
          <w:szCs w:val="24"/>
          <w:highlight w:val="none"/>
        </w:rPr>
      </w:pPr>
      <w:r/>
      <w:bookmarkStart w:id="81" w:name="_Toc462564074"/>
      <w:r/>
      <w:bookmarkStart w:id="82" w:name="_Toc16938531"/>
      <w:r/>
      <w:bookmarkStart w:id="83" w:name="_Toc20823287"/>
      <w:r/>
      <w:bookmarkStart w:id="84" w:name="_Toc513029215"/>
      <w:r>
        <w:rPr>
          <w:rFonts w:hint="eastAsia" w:ascii="宋体" w:hAnsi="宋体" w:eastAsia="宋体" w:cs="宋体"/>
          <w:color w:val="000000"/>
          <w:sz w:val="24"/>
          <w:szCs w:val="24"/>
          <w:highlight w:val="none"/>
        </w:rPr>
        <w:t xml:space="preserve">10、投标文件构成</w:t>
      </w:r>
      <w:bookmarkEnd w:id="81"/>
      <w:r/>
      <w:bookmarkEnd w:id="82"/>
      <w:r/>
      <w:bookmarkEnd w:id="83"/>
      <w:r/>
      <w:bookmarkEnd w:id="84"/>
      <w:r/>
      <w:r/>
    </w:p>
    <w:p>
      <w:pPr>
        <w:pStyle w:val="710"/>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10.1投标人编写的投标文件应包括资格证明文件、符合性证明文件、投标分项报价表、技术要求响应及偏离表、商务要求响应及偏离表、其他证明文件、投标函、开标一览表等部分。</w:t>
      </w:r>
      <w:r/>
    </w:p>
    <w:p>
      <w:pPr>
        <w:pStyle w:val="710"/>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10.2如标书制作工具中格式和内容与</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盐城市政府采购网”发布的招标文件不一致，请以</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盐城市政府采购网”发布的招标文件为准。</w:t>
      </w:r>
      <w:r/>
    </w:p>
    <w:p>
      <w:pPr>
        <w:pStyle w:val="710"/>
        <w:ind w:firstLine="480"/>
        <w:jc w:val="both"/>
        <w:keepLines/>
        <w:keepNext/>
        <w:spacing w:beforeAutospacing="0" w:afterAutospacing="0"/>
        <w:rPr>
          <w:rFonts w:hint="eastAsia" w:ascii="宋体" w:hAnsi="宋体" w:eastAsia="宋体" w:cs="宋体"/>
          <w:sz w:val="24"/>
          <w:szCs w:val="24"/>
          <w:highlight w:val="none"/>
        </w:rPr>
      </w:pPr>
      <w:r/>
      <w:bookmarkStart w:id="85" w:name="_Toc49090509"/>
      <w:r/>
      <w:bookmarkStart w:id="86" w:name="_Toc49090507"/>
      <w:r/>
      <w:bookmarkStart w:id="87" w:name="_Toc513029216"/>
      <w:r/>
      <w:bookmarkStart w:id="88" w:name="_Toc513029219"/>
      <w:r/>
      <w:bookmarkStart w:id="89" w:name="_Toc14577354"/>
      <w:r/>
      <w:bookmarkStart w:id="90" w:name="_Toc14577357"/>
      <w:r/>
      <w:bookmarkStart w:id="91" w:name="_Hlt26954838"/>
      <w:r/>
      <w:bookmarkStart w:id="92" w:name="_Hlt26668975"/>
      <w:r/>
      <w:bookmarkStart w:id="93" w:name="_Hlt26670360"/>
      <w:r>
        <w:rPr>
          <w:rFonts w:hint="eastAsia" w:ascii="宋体" w:hAnsi="宋体" w:eastAsia="宋体" w:cs="宋体"/>
          <w:color w:val="000000"/>
          <w:sz w:val="24"/>
          <w:szCs w:val="24"/>
          <w:highlight w:val="none"/>
        </w:rPr>
        <w:t xml:space="preserve">11、证明投标人及投标标的符合招标文件规定的文件</w:t>
      </w:r>
      <w:bookmarkEnd w:id="85"/>
      <w:r/>
      <w:bookmarkEnd w:id="86"/>
      <w:r/>
      <w:bookmarkEnd w:id="87"/>
      <w:r/>
      <w:bookmarkEnd w:id="88"/>
      <w:r/>
      <w:bookmarkEnd w:id="89"/>
      <w:r/>
      <w:bookmarkEnd w:id="90"/>
      <w:r/>
      <w:r/>
    </w:p>
    <w:p>
      <w:pPr>
        <w:pStyle w:val="710"/>
        <w:jc w:val="both"/>
        <w:spacing w:beforeAutospacing="0" w:afterAutospacing="0" w:line="0" w:lineRule="atLeast"/>
        <w:rPr>
          <w:rFonts w:hint="eastAsia" w:ascii="宋体" w:hAnsi="宋体" w:eastAsia="宋体" w:cs="宋体"/>
          <w:sz w:val="24"/>
          <w:szCs w:val="24"/>
          <w:highlight w:val="none"/>
        </w:rPr>
      </w:pPr>
      <w:r/>
      <w:bookmarkStart w:id="94" w:name="_Toc49090508"/>
      <w:r/>
      <w:bookmarkStart w:id="95" w:name="_Toc14577355"/>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11.1投标人应按照法律、法规、规章和规范性文件以及招标文件要求提交证明文件，证明其及投标标的符合招标文件规定。</w:t>
      </w:r>
      <w:bookmarkEnd w:id="94"/>
      <w:r/>
      <w:bookmarkEnd w:id="95"/>
      <w:r/>
      <w:r/>
    </w:p>
    <w:p>
      <w:pPr>
        <w:pStyle w:val="710"/>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11.2招标文件对证明文件无明确形式要求的，证明文件可以以文字资料、图纸和数据等形式提交。</w:t>
      </w:r>
      <w:r/>
    </w:p>
    <w:p>
      <w:pPr>
        <w:pStyle w:val="710"/>
        <w:ind w:firstLine="480"/>
        <w:jc w:val="both"/>
        <w:keepLines/>
        <w:keepNext/>
        <w:spacing w:beforeAutospacing="0" w:afterAutospacing="0"/>
        <w:rPr>
          <w:rFonts w:hint="eastAsia" w:ascii="宋体" w:hAnsi="宋体" w:eastAsia="宋体" w:cs="宋体"/>
          <w:sz w:val="24"/>
          <w:szCs w:val="24"/>
          <w:highlight w:val="none"/>
          <w:lang w:eastAsia="zh-CN"/>
        </w:rPr>
      </w:pPr>
      <w:r>
        <w:rPr>
          <w:rFonts w:hint="eastAsia" w:ascii="宋体" w:hAnsi="宋体" w:eastAsia="宋体" w:cs="宋体"/>
          <w:color w:val="000000"/>
          <w:sz w:val="24"/>
          <w:szCs w:val="24"/>
          <w:highlight w:val="none"/>
        </w:rPr>
        <w:t xml:space="preserve">12、投标分项报价</w:t>
      </w:r>
      <w:bookmarkStart w:id="96" w:name="_Hlt26670373"/>
      <w:r>
        <w:rPr>
          <w:rFonts w:hint="eastAsia" w:ascii="宋体" w:hAnsi="宋体" w:eastAsia="宋体" w:cs="宋体"/>
          <w:color w:val="000000"/>
          <w:sz w:val="24"/>
          <w:szCs w:val="24"/>
          <w:highlight w:val="none"/>
        </w:rPr>
        <w:t xml:space="preserve">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本项目无需填写分项报价表</w:t>
      </w:r>
      <w:r>
        <w:rPr>
          <w:rFonts w:hint="eastAsia" w:ascii="宋体" w:hAnsi="宋体" w:eastAsia="宋体" w:cs="宋体"/>
          <w:color w:val="000000"/>
          <w:sz w:val="24"/>
          <w:szCs w:val="24"/>
          <w:highlight w:val="none"/>
          <w:lang w:eastAsia="zh-CN"/>
        </w:rPr>
        <w:t xml:space="preserve">）</w:t>
      </w:r>
      <w:r/>
    </w:p>
    <w:p>
      <w:pPr>
        <w:pStyle w:val="710"/>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12.1投</w:t>
      </w:r>
      <w:bookmarkStart w:id="97" w:name="_Hlt26954840"/>
      <w:r>
        <w:rPr>
          <w:rFonts w:hint="eastAsia" w:ascii="宋体" w:hAnsi="宋体" w:eastAsia="宋体" w:cs="宋体"/>
          <w:color w:val="000000"/>
          <w:sz w:val="24"/>
          <w:szCs w:val="24"/>
          <w:highlight w:val="none"/>
        </w:rPr>
        <w:t xml:space="preserve">标人应按照招标文件规定格式填报投标分项报价表</w:t>
      </w:r>
      <w:bookmarkStart w:id="98" w:name="_Hlt26670399"/>
      <w:r>
        <w:rPr>
          <w:rFonts w:hint="eastAsia" w:ascii="宋体" w:hAnsi="宋体" w:eastAsia="宋体" w:cs="宋体"/>
          <w:color w:val="000000"/>
          <w:sz w:val="24"/>
          <w:szCs w:val="24"/>
          <w:highlight w:val="none"/>
        </w:rPr>
        <w:t xml:space="preserve">。</w:t>
      </w:r>
      <w:r/>
    </w:p>
    <w:p>
      <w:pPr>
        <w:pStyle w:val="710"/>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12.2投标货币。投标文件中的单价和总价无特殊规定的采用人民币报价，以元为单位标注。招标文件中另有规定的按规定执行。</w:t>
      </w:r>
      <w:r/>
    </w:p>
    <w:p>
      <w:pPr>
        <w:pStyle w:val="710"/>
        <w:ind w:firstLine="480"/>
        <w:jc w:val="both"/>
        <w:keepLines/>
        <w:keepNext/>
        <w:spacing w:beforeAutospacing="0" w:afterAutospacing="0"/>
        <w:rPr>
          <w:rFonts w:hint="eastAsia" w:ascii="宋体" w:hAnsi="宋体" w:eastAsia="宋体" w:cs="宋体"/>
          <w:sz w:val="24"/>
          <w:szCs w:val="24"/>
          <w:highlight w:val="none"/>
        </w:rPr>
      </w:pPr>
      <w:r/>
      <w:bookmarkStart w:id="99" w:name="_Hlt26954844"/>
      <w:r/>
      <w:bookmarkStart w:id="100" w:name="_Hlt26954731"/>
      <w:r/>
      <w:bookmarkStart w:id="101" w:name="_Hlt26954842"/>
      <w:r/>
      <w:bookmarkStart w:id="102" w:name="_Hlt26670403"/>
      <w:r/>
      <w:bookmarkStart w:id="103" w:name="_Hlt26670486"/>
      <w:r/>
      <w:bookmarkStart w:id="104" w:name="_Hlt26670482"/>
      <w:r/>
      <w:bookmarkStart w:id="105" w:name="_Hlt26668983"/>
      <w:r/>
      <w:bookmarkStart w:id="106" w:name="_Hlt26954846"/>
      <w:r/>
      <w:bookmarkStart w:id="107" w:name="_Hlt26670425"/>
      <w:r/>
      <w:bookmarkStart w:id="108" w:name="_Hlt26954848"/>
      <w:r>
        <w:rPr>
          <w:rFonts w:hint="eastAsia" w:ascii="宋体" w:hAnsi="宋体" w:eastAsia="宋体" w:cs="宋体"/>
          <w:color w:val="000000"/>
          <w:sz w:val="24"/>
          <w:szCs w:val="24"/>
          <w:highlight w:val="none"/>
        </w:rPr>
        <w:t xml:space="preserve">13、技术要求响应及偏离表、商务要求响应及偏离表</w:t>
      </w:r>
      <w:r/>
    </w:p>
    <w:p>
      <w:pPr>
        <w:pStyle w:val="710"/>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13.1投标人需对招标文件中的技术要求与商务要求逐项作出响应或偏离，并说明原因。</w:t>
      </w:r>
      <w:r/>
    </w:p>
    <w:p>
      <w:pPr>
        <w:pStyle w:val="710"/>
        <w:ind w:firstLine="480"/>
        <w:jc w:val="both"/>
        <w:spacing w:beforeAutospacing="0" w:afterAutospacing="0" w:line="0" w:lineRule="atLeast"/>
        <w:tabs>
          <w:tab w:val="left" w:pos="1036" w:leader="none"/>
        </w:tabs>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13.2投标人可在投标文件中提供认为需要的其他技术文件或说明。</w:t>
      </w:r>
      <w:r/>
    </w:p>
    <w:p>
      <w:pPr>
        <w:pStyle w:val="710"/>
        <w:ind w:firstLine="480"/>
        <w:jc w:val="both"/>
        <w:keepLines/>
        <w:keepNext/>
        <w:spacing w:beforeAutospacing="0" w:afterAutospacing="0"/>
        <w:rPr>
          <w:rFonts w:hint="eastAsia" w:ascii="宋体" w:hAnsi="宋体" w:eastAsia="宋体" w:cs="宋体"/>
          <w:sz w:val="24"/>
          <w:szCs w:val="24"/>
          <w:highlight w:val="none"/>
        </w:rPr>
      </w:pPr>
      <w:r/>
      <w:bookmarkStart w:id="109" w:name="_Toc49090510"/>
      <w:r/>
      <w:bookmarkStart w:id="110" w:name="_Toc14577359"/>
      <w:r>
        <w:rPr>
          <w:rFonts w:hint="eastAsia" w:ascii="宋体" w:hAnsi="宋体" w:eastAsia="宋体" w:cs="宋体"/>
          <w:color w:val="000000"/>
          <w:sz w:val="24"/>
          <w:szCs w:val="24"/>
          <w:highlight w:val="none"/>
        </w:rPr>
        <w:t xml:space="preserve">14、投标函和开标一览表</w:t>
      </w:r>
      <w:bookmarkEnd w:id="109"/>
      <w:r/>
      <w:bookmarkEnd w:id="110"/>
      <w:r/>
      <w:r/>
    </w:p>
    <w:p>
      <w:pPr>
        <w:pStyle w:val="710"/>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14.1投标人应按照招标文件中提供的格式完整、正确填写投标函、开标一览表。</w:t>
      </w:r>
      <w:r/>
    </w:p>
    <w:p>
      <w:pPr>
        <w:pStyle w:val="710"/>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color w:val="000000"/>
          <w:sz w:val="24"/>
          <w:szCs w:val="24"/>
          <w:highlight w:val="none"/>
        </w:rPr>
        <w:t xml:space="preserve">。</w:t>
      </w:r>
      <w:r/>
    </w:p>
    <w:p>
      <w:pPr>
        <w:pStyle w:val="710"/>
        <w:ind w:firstLine="480"/>
        <w:jc w:val="both"/>
        <w:keepLines/>
        <w:keepNext/>
        <w:spacing w:beforeAutospacing="0" w:afterAutospacing="0"/>
        <w:rPr>
          <w:rFonts w:hint="eastAsia" w:ascii="宋体" w:hAnsi="宋体" w:eastAsia="宋体" w:cs="宋体"/>
          <w:sz w:val="24"/>
          <w:szCs w:val="24"/>
          <w:highlight w:val="none"/>
        </w:rPr>
      </w:pPr>
      <w:r/>
      <w:bookmarkStart w:id="111" w:name="_Toc14577360"/>
      <w:r/>
      <w:bookmarkStart w:id="112" w:name="_Toc49090511"/>
      <w:r/>
      <w:bookmarkStart w:id="113" w:name="_Hlt26954850"/>
      <w:r/>
      <w:bookmarkStart w:id="114" w:name="_Hlt26670489"/>
      <w:r/>
      <w:bookmarkStart w:id="115" w:name="_Hlt26954734"/>
      <w:r>
        <w:rPr>
          <w:rFonts w:hint="eastAsia" w:ascii="宋体" w:hAnsi="宋体" w:eastAsia="宋体" w:cs="宋体"/>
          <w:color w:val="000000"/>
          <w:sz w:val="24"/>
          <w:szCs w:val="24"/>
          <w:highlight w:val="none"/>
        </w:rPr>
        <w:t xml:space="preserve">15、投标有效期</w:t>
      </w:r>
      <w:bookmarkEnd w:id="111"/>
      <w:r/>
      <w:bookmarkEnd w:id="112"/>
      <w:r/>
      <w:r/>
    </w:p>
    <w:p>
      <w:pPr>
        <w:pStyle w:val="710"/>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15.1投标有效期为</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规定的开标之日后</w:t>
      </w:r>
      <w:r>
        <w:rPr>
          <w:rFonts w:hint="eastAsia" w:ascii="宋体" w:hAnsi="宋体" w:eastAsia="宋体" w:cs="宋体"/>
          <w:b/>
          <w:color w:val="auto"/>
          <w:sz w:val="24"/>
          <w:szCs w:val="24"/>
          <w:highlight w:val="none"/>
          <w:u w:val="single"/>
          <w:lang w:val="en-US" w:eastAsia="zh-CN"/>
        </w:rPr>
        <w:t xml:space="preserve">九</w:t>
      </w:r>
      <w:r>
        <w:rPr>
          <w:rFonts w:hint="eastAsia" w:ascii="宋体" w:hAnsi="宋体" w:eastAsia="宋体" w:cs="宋体"/>
          <w:b/>
          <w:color w:val="auto"/>
          <w:sz w:val="24"/>
          <w:szCs w:val="24"/>
          <w:highlight w:val="none"/>
          <w:u w:val="single"/>
        </w:rPr>
        <w:t xml:space="preserve">十（</w:t>
      </w:r>
      <w:r>
        <w:rPr>
          <w:rFonts w:hint="eastAsia" w:ascii="宋体" w:hAnsi="宋体" w:eastAsia="宋体" w:cs="宋体"/>
          <w:b/>
          <w:color w:val="auto"/>
          <w:sz w:val="24"/>
          <w:szCs w:val="24"/>
          <w:highlight w:val="none"/>
          <w:u w:val="single"/>
          <w:lang w:val="en-US" w:eastAsia="zh-CN"/>
        </w:rPr>
        <w:t xml:space="preserve">9</w:t>
      </w:r>
      <w:r>
        <w:rPr>
          <w:rFonts w:hint="eastAsia" w:ascii="宋体" w:hAnsi="宋体" w:eastAsia="宋体" w:cs="宋体"/>
          <w:b/>
          <w:color w:val="auto"/>
          <w:sz w:val="24"/>
          <w:szCs w:val="24"/>
          <w:highlight w:val="none"/>
          <w:u w:val="single"/>
        </w:rPr>
        <w:t xml:space="preserve">0）天</w:t>
      </w:r>
      <w:r>
        <w:rPr>
          <w:rFonts w:hint="eastAsia" w:ascii="宋体" w:hAnsi="宋体" w:eastAsia="宋体" w:cs="宋体"/>
          <w:color w:val="000000"/>
          <w:sz w:val="24"/>
          <w:szCs w:val="24"/>
          <w:highlight w:val="none"/>
        </w:rPr>
        <w:t xml:space="preserve">。投标有效期比规定短的将被视为未实质性响应招标文件而予以拒绝。</w:t>
      </w:r>
      <w:r/>
    </w:p>
    <w:p>
      <w:pPr>
        <w:pStyle w:val="710"/>
        <w:ind w:firstLine="480"/>
        <w:jc w:val="both"/>
        <w:keepLines/>
        <w:keepNext/>
        <w:spacing w:beforeAutospacing="0" w:afterAutospacing="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16、投标有效期的延长</w:t>
      </w:r>
      <w:r/>
    </w:p>
    <w:p>
      <w:pPr>
        <w:pStyle w:val="710"/>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16.1在特殊情况下，</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于原投标有效期满之前，可向投标人提出延长投标有效期的要求。这种要求与答复均应采用书面形式。投标人可以拒绝</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的这一要求而放弃投标。同意延长投标有效期的投标人既不能要求也不允许修改其投标文件，同时受投标有效期约束的所有权利与义务均延长至新的有效期。</w:t>
      </w:r>
      <w:r/>
    </w:p>
    <w:p>
      <w:pPr>
        <w:pStyle w:val="710"/>
        <w:ind w:firstLine="482"/>
        <w:jc w:val="both"/>
        <w:keepLines/>
        <w:keepNext/>
        <w:spacing w:before="145" w:beforeAutospacing="0" w:after="145" w:afterAutospacing="0" w:line="360" w:lineRule="auto"/>
        <w:rPr>
          <w:rFonts w:hint="eastAsia" w:ascii="宋体" w:hAnsi="宋体" w:eastAsia="宋体" w:cs="宋体"/>
          <w:sz w:val="24"/>
          <w:szCs w:val="24"/>
          <w:highlight w:val="yellow"/>
        </w:rPr>
      </w:pPr>
      <w:r/>
      <w:bookmarkStart w:id="116" w:name="_Toc513029224"/>
      <w:r/>
      <w:bookmarkStart w:id="117" w:name="_Toc120614217"/>
      <w:r/>
      <w:bookmarkStart w:id="118" w:name="_Toc20823296"/>
      <w:r/>
      <w:bookmarkStart w:id="119" w:name="_Toc16938540"/>
      <w:r/>
      <w:bookmarkStart w:id="120" w:name="_Hlt26954739"/>
      <w:r/>
      <w:bookmarkStart w:id="121" w:name="_Hlt26954852"/>
      <w:r>
        <w:rPr>
          <w:rFonts w:hint="eastAsia" w:ascii="宋体" w:hAnsi="宋体" w:eastAsia="宋体" w:cs="宋体"/>
          <w:b/>
          <w:color w:val="000000"/>
          <w:sz w:val="24"/>
          <w:szCs w:val="24"/>
          <w:highlight w:val="none"/>
        </w:rPr>
        <w:t xml:space="preserve">四、投标文件的递交</w:t>
      </w:r>
      <w:bookmarkEnd w:id="116"/>
      <w:r/>
      <w:bookmarkEnd w:id="117"/>
      <w:r/>
      <w:bookmarkEnd w:id="118"/>
      <w:r/>
      <w:bookmarkEnd w:id="119"/>
      <w:r/>
      <w:r/>
    </w:p>
    <w:p>
      <w:pPr>
        <w:pStyle w:val="710"/>
        <w:ind w:firstLine="480"/>
        <w:jc w:val="both"/>
        <w:keepLines/>
        <w:keepNext/>
        <w:spacing w:beforeAutospacing="0" w:afterAutospacing="0"/>
        <w:rPr>
          <w:rFonts w:hint="eastAsia" w:ascii="宋体" w:hAnsi="宋体" w:eastAsia="宋体" w:cs="宋体"/>
          <w:sz w:val="24"/>
          <w:szCs w:val="24"/>
          <w:highlight w:val="none"/>
        </w:rPr>
      </w:pPr>
      <w:r/>
      <w:bookmarkStart w:id="122" w:name="_Toc462564084"/>
      <w:r/>
      <w:bookmarkStart w:id="123" w:name="_Toc513029225"/>
      <w:r/>
      <w:bookmarkStart w:id="124" w:name="_Toc16938541"/>
      <w:r/>
      <w:bookmarkStart w:id="125" w:name="_Toc20823297"/>
      <w:r>
        <w:rPr>
          <w:rFonts w:hint="eastAsia" w:ascii="宋体" w:hAnsi="宋体" w:eastAsia="宋体" w:cs="宋体"/>
          <w:color w:val="000000"/>
          <w:sz w:val="24"/>
          <w:szCs w:val="24"/>
          <w:highlight w:val="none"/>
        </w:rPr>
        <w:t xml:space="preserve">17、投标文件</w:t>
      </w:r>
      <w:bookmarkEnd w:id="122"/>
      <w:r/>
      <w:bookmarkEnd w:id="123"/>
      <w:r/>
      <w:bookmarkEnd w:id="124"/>
      <w:r/>
      <w:bookmarkEnd w:id="125"/>
      <w:r>
        <w:rPr>
          <w:rFonts w:hint="eastAsia" w:ascii="宋体" w:hAnsi="宋体" w:eastAsia="宋体" w:cs="宋体"/>
          <w:color w:val="000000"/>
          <w:sz w:val="24"/>
          <w:szCs w:val="24"/>
          <w:highlight w:val="none"/>
        </w:rPr>
        <w:t xml:space="preserve">的递交</w:t>
      </w:r>
      <w:r/>
    </w:p>
    <w:p>
      <w:pPr>
        <w:pStyle w:val="710"/>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17.1 电子投标文件的递交</w:t>
      </w:r>
      <w:r/>
    </w:p>
    <w:p>
      <w:pPr>
        <w:pStyle w:val="710"/>
        <w:ind w:left="525"/>
        <w:jc w:val="both"/>
        <w:spacing w:beforeAutospacing="0" w:afterAutospacing="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投标人应当按照《操作手册》规定，在投标截止时间前制作并上传电子投标文件。</w:t>
      </w:r>
      <w:bookmarkStart w:id="126" w:name="_Toc16938542"/>
      <w:r/>
      <w:bookmarkEnd w:id="126"/>
      <w:r/>
      <w:bookmarkStart w:id="127" w:name="_Toc20823298"/>
      <w:r/>
      <w:bookmarkEnd w:id="127"/>
      <w:r/>
      <w:bookmarkStart w:id="128" w:name="_Toc513029226"/>
      <w:r/>
      <w:r/>
    </w:p>
    <w:p>
      <w:pPr>
        <w:pStyle w:val="710"/>
        <w:ind w:firstLine="420"/>
        <w:jc w:val="both"/>
        <w:keepLines/>
        <w:keepNext/>
        <w:spacing w:before="280" w:beforeAutospacing="0" w:after="290" w:afterAutospacing="0" w:line="374"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18、投标截止时间</w:t>
      </w:r>
      <w:r/>
    </w:p>
    <w:p>
      <w:pPr>
        <w:pStyle w:val="710"/>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i/>
          <w:color w:val="000000"/>
          <w:sz w:val="24"/>
          <w:szCs w:val="24"/>
          <w:highlight w:val="none"/>
          <w:u w:val="single"/>
        </w:rPr>
        <w:t xml:space="preserve">18.1投标人上传电子投标文件的时间不得迟于招标公告中规定的投标截止时间。</w:t>
      </w:r>
      <w:r/>
    </w:p>
    <w:p>
      <w:pPr>
        <w:pStyle w:val="710"/>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投标人应充分考虑到网络环境、网络带宽等风险因素，如因投标人自身原因造成的电子投标文件上传不成功的按照本招标文件第二章第26.1.2条规定做无效投标处理。</w:t>
      </w:r>
      <w:r/>
    </w:p>
    <w:p>
      <w:pPr>
        <w:pStyle w:val="710"/>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18.2</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可以按照规定，通过修改招标文件酌情延长投标截止时间，在此情况下，投标人的所有权利和义务以及投标人受制的截止时间均应以延长后新的截止时间为准。</w:t>
      </w:r>
      <w:r/>
    </w:p>
    <w:p>
      <w:pPr>
        <w:pStyle w:val="710"/>
        <w:ind w:firstLine="480"/>
        <w:jc w:val="both"/>
        <w:keepLines/>
        <w:keepNext/>
        <w:spacing w:beforeAutospacing="0" w:afterAutospacing="0"/>
        <w:rPr>
          <w:rFonts w:hint="eastAsia" w:ascii="宋体" w:hAnsi="宋体" w:eastAsia="宋体" w:cs="宋体"/>
          <w:sz w:val="24"/>
          <w:szCs w:val="24"/>
          <w:highlight w:val="none"/>
        </w:rPr>
      </w:pPr>
      <w:r/>
      <w:bookmarkStart w:id="129" w:name="_Toc20823299"/>
      <w:r/>
      <w:bookmarkStart w:id="130" w:name="_Toc16938543"/>
      <w:r/>
      <w:bookmarkStart w:id="131" w:name="_Toc513029227"/>
      <w:r>
        <w:rPr>
          <w:rFonts w:hint="eastAsia" w:ascii="宋体" w:hAnsi="宋体" w:eastAsia="宋体" w:cs="宋体"/>
          <w:color w:val="000000"/>
          <w:sz w:val="24"/>
          <w:szCs w:val="24"/>
          <w:highlight w:val="none"/>
        </w:rPr>
        <w:t xml:space="preserve">19、投标文件</w:t>
      </w:r>
      <w:bookmarkEnd w:id="129"/>
      <w:r/>
      <w:bookmarkEnd w:id="130"/>
      <w:r/>
      <w:bookmarkEnd w:id="131"/>
      <w:r>
        <w:rPr>
          <w:rFonts w:hint="eastAsia" w:ascii="宋体" w:hAnsi="宋体" w:eastAsia="宋体" w:cs="宋体"/>
          <w:color w:val="000000"/>
          <w:sz w:val="24"/>
          <w:szCs w:val="24"/>
          <w:highlight w:val="none"/>
        </w:rPr>
        <w:t xml:space="preserve">的拒收</w:t>
      </w:r>
      <w:r/>
    </w:p>
    <w:p>
      <w:pPr>
        <w:pStyle w:val="710"/>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19.1</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拒绝接收在其规定的投标截止时间后上传的任何投标文件。</w:t>
      </w:r>
      <w:r/>
    </w:p>
    <w:p>
      <w:pPr>
        <w:pStyle w:val="710"/>
        <w:ind w:firstLine="480"/>
        <w:jc w:val="both"/>
        <w:keepLines/>
        <w:keepNext/>
        <w:spacing w:beforeAutospacing="0" w:afterAutospacing="0"/>
        <w:rPr>
          <w:rFonts w:hint="eastAsia" w:ascii="宋体" w:hAnsi="宋体" w:eastAsia="宋体" w:cs="宋体"/>
          <w:sz w:val="24"/>
          <w:szCs w:val="24"/>
          <w:highlight w:val="none"/>
        </w:rPr>
      </w:pPr>
      <w:r/>
      <w:bookmarkStart w:id="132" w:name="_Toc16938544"/>
      <w:r/>
      <w:bookmarkStart w:id="133" w:name="_Toc513029228"/>
      <w:r/>
      <w:bookmarkStart w:id="134" w:name="_Toc20823300"/>
      <w:r>
        <w:rPr>
          <w:rFonts w:hint="eastAsia" w:ascii="宋体" w:hAnsi="宋体" w:eastAsia="宋体" w:cs="宋体"/>
          <w:color w:val="000000"/>
          <w:sz w:val="24"/>
          <w:szCs w:val="24"/>
          <w:highlight w:val="none"/>
        </w:rPr>
        <w:t xml:space="preserve">20、投标文件的撤回和修改</w:t>
      </w:r>
      <w:bookmarkEnd w:id="132"/>
      <w:r/>
      <w:bookmarkEnd w:id="133"/>
      <w:r/>
      <w:bookmarkEnd w:id="134"/>
      <w:r/>
      <w:r/>
    </w:p>
    <w:p>
      <w:pPr>
        <w:pStyle w:val="710"/>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20.1投标文件的撤回</w:t>
      </w:r>
      <w:r/>
    </w:p>
    <w:p>
      <w:pPr>
        <w:pStyle w:val="710"/>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.1.1电子投标文件的撤回</w:t>
      </w:r>
      <w:r/>
    </w:p>
    <w:p>
      <w:pPr>
        <w:pStyle w:val="710"/>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投标人可在投标截止时间前，撤回其电子投标文件，具体操作方法见《操作手册》。</w:t>
      </w:r>
      <w:r/>
    </w:p>
    <w:p>
      <w:pPr>
        <w:pStyle w:val="710"/>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.1.2投标人撤回电子投标文件，则认为其不再参与本项目投标活动。</w:t>
      </w:r>
      <w:r/>
    </w:p>
    <w:p>
      <w:pPr>
        <w:pStyle w:val="710"/>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20.2 投标文件的修改</w:t>
      </w:r>
      <w:r/>
    </w:p>
    <w:p>
      <w:pPr>
        <w:pStyle w:val="710"/>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20.2.1投标人可在投标截止时间前，对其电子投标文件进行修改，具体操作方法见《操作手册》。</w:t>
      </w:r>
      <w:r/>
    </w:p>
    <w:p>
      <w:pPr>
        <w:pStyle w:val="710"/>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20.2.2在投标截止时间之后，投标人不得对其电子投标文件作任何修改。</w:t>
      </w:r>
      <w:r/>
    </w:p>
    <w:p>
      <w:pPr>
        <w:pStyle w:val="710"/>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20.3在投标截止时间至招标文件中规定的投标有效期满之间的这段时间内，投标人不得撤回其投标。</w:t>
      </w:r>
      <w:r/>
    </w:p>
    <w:p>
      <w:pPr>
        <w:pStyle w:val="710"/>
        <w:ind w:firstLine="482"/>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135" w:name="_Toc513029229"/>
      <w:r/>
      <w:bookmarkStart w:id="136" w:name="_Toc120614218"/>
      <w:r/>
      <w:bookmarkStart w:id="137" w:name="_Toc20823301"/>
      <w:r/>
      <w:bookmarkStart w:id="138" w:name="_Toc16938545"/>
      <w:r>
        <w:rPr>
          <w:rFonts w:hint="eastAsia" w:ascii="宋体" w:hAnsi="宋体" w:eastAsia="宋体" w:cs="宋体"/>
          <w:b/>
          <w:color w:val="000000"/>
          <w:sz w:val="24"/>
          <w:szCs w:val="24"/>
          <w:highlight w:val="none"/>
        </w:rPr>
        <w:t xml:space="preserve">五、开标与评标</w:t>
      </w:r>
      <w:bookmarkEnd w:id="135"/>
      <w:r/>
      <w:bookmarkEnd w:id="136"/>
      <w:r/>
      <w:bookmarkEnd w:id="137"/>
      <w:r/>
      <w:bookmarkEnd w:id="138"/>
      <w:r/>
      <w:r/>
    </w:p>
    <w:p>
      <w:pPr>
        <w:pStyle w:val="710"/>
        <w:ind w:firstLine="480"/>
        <w:jc w:val="both"/>
        <w:keepLines/>
        <w:keepNext/>
        <w:spacing w:beforeAutospacing="0" w:afterAutospacing="0"/>
        <w:rPr>
          <w:rFonts w:hint="eastAsia" w:ascii="宋体" w:hAnsi="宋体" w:eastAsia="宋体" w:cs="宋体"/>
          <w:color w:val="auto"/>
          <w:sz w:val="24"/>
          <w:szCs w:val="24"/>
          <w:highlight w:val="none"/>
        </w:rPr>
      </w:pPr>
      <w:r/>
      <w:bookmarkStart w:id="139" w:name="_Toc20823302"/>
      <w:r/>
      <w:bookmarkStart w:id="140" w:name="_Toc513029230"/>
      <w:r/>
      <w:bookmarkStart w:id="141" w:name="_Toc16938546"/>
      <w:r>
        <w:rPr>
          <w:rFonts w:hint="eastAsia" w:ascii="宋体" w:hAnsi="宋体" w:eastAsia="宋体" w:cs="宋体"/>
          <w:color w:val="auto"/>
          <w:sz w:val="24"/>
          <w:szCs w:val="24"/>
          <w:highlight w:val="none"/>
        </w:rPr>
        <w:t xml:space="preserve">21、开标</w:t>
      </w:r>
      <w:bookmarkEnd w:id="139"/>
      <w:r/>
      <w:bookmarkEnd w:id="140"/>
      <w:r/>
      <w:bookmarkEnd w:id="141"/>
      <w:r/>
      <w:r/>
    </w:p>
    <w:p>
      <w:pPr>
        <w:pStyle w:val="710"/>
        <w:ind w:firstLine="480"/>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将在招标公告中规定的时间和地点组织公开开标。投标人应当按照《操作手册》规定，参加开标活动和在苏采云系统规定的时间内对投标文件进行解密。</w:t>
      </w:r>
      <w:r/>
    </w:p>
    <w:p>
      <w:pPr>
        <w:pStyle w:val="710"/>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21.2开标仪式由</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组织。苏采云系统将自动对项目进行开标，并宣布各投标人名称和投标价格。</w:t>
      </w:r>
      <w:r/>
    </w:p>
    <w:p>
      <w:pPr>
        <w:pStyle w:val="710"/>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21.3投标人在开标过程中涉及到的投标文件解密、开标结果确认等工作，应按照《操作手册》规定执行。</w:t>
      </w:r>
      <w:r/>
    </w:p>
    <w:p>
      <w:pPr>
        <w:pStyle w:val="710"/>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21.4投标人如果对开标过程和开标记录有疑义，应当根据《操作手册》规定提出，如苏采云系统中《开标记录表》宣布后5分钟内未提出的，视同认可开标结果。</w:t>
      </w:r>
      <w:r/>
    </w:p>
    <w:p>
      <w:pPr>
        <w:pStyle w:val="710"/>
        <w:ind w:firstLine="480"/>
        <w:jc w:val="both"/>
        <w:keepLines/>
        <w:keepNext/>
        <w:spacing w:beforeAutospacing="0" w:afterAutospacing="0"/>
        <w:rPr>
          <w:rFonts w:hint="eastAsia" w:ascii="宋体" w:hAnsi="宋体" w:eastAsia="宋体" w:cs="宋体"/>
          <w:color w:val="auto"/>
          <w:sz w:val="24"/>
          <w:szCs w:val="24"/>
          <w:highlight w:val="none"/>
        </w:rPr>
      </w:pPr>
      <w:r/>
      <w:bookmarkStart w:id="142" w:name="_Toc513029231"/>
      <w:r/>
      <w:bookmarkStart w:id="143" w:name="_Toc16938547"/>
      <w:r/>
      <w:bookmarkStart w:id="144" w:name="_Toc20823303"/>
      <w:r>
        <w:rPr>
          <w:rFonts w:hint="eastAsia" w:ascii="宋体" w:hAnsi="宋体" w:eastAsia="宋体" w:cs="宋体"/>
          <w:color w:val="auto"/>
          <w:sz w:val="24"/>
          <w:szCs w:val="24"/>
          <w:highlight w:val="none"/>
        </w:rPr>
        <w:t xml:space="preserve">22、评标委员会</w:t>
      </w:r>
      <w:bookmarkEnd w:id="142"/>
      <w:r/>
      <w:bookmarkEnd w:id="143"/>
      <w:r/>
      <w:bookmarkEnd w:id="144"/>
      <w:r/>
      <w:r/>
    </w:p>
    <w:p>
      <w:pPr>
        <w:pStyle w:val="710"/>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22.1开标后，</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将立即组织评标委员会（以下简称评委会）进行评标。</w:t>
      </w:r>
      <w:r/>
    </w:p>
    <w:p>
      <w:pPr>
        <w:pStyle w:val="710"/>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22.2评委会由有关技术、经济等方面的专家组成，且人员构成符合政府采购有关规定。</w:t>
      </w:r>
      <w:r/>
    </w:p>
    <w:p>
      <w:pPr>
        <w:pStyle w:val="710"/>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22.3评委会独立工作，负责评审所有投标文件并确定中标</w:t>
      </w:r>
      <w:r>
        <w:rPr>
          <w:rFonts w:hint="eastAsia" w:ascii="宋体" w:hAnsi="宋体" w:eastAsia="宋体" w:cs="宋体"/>
          <w:color w:val="000000"/>
          <w:sz w:val="24"/>
          <w:szCs w:val="24"/>
          <w:highlight w:val="none"/>
          <w:lang w:eastAsia="zh-CN"/>
        </w:rPr>
        <w:t xml:space="preserve">候选人</w:t>
      </w:r>
      <w:r>
        <w:rPr>
          <w:rFonts w:hint="eastAsia" w:ascii="宋体" w:hAnsi="宋体" w:eastAsia="宋体" w:cs="宋体"/>
          <w:color w:val="000000"/>
          <w:sz w:val="24"/>
          <w:szCs w:val="24"/>
          <w:highlight w:val="none"/>
        </w:rPr>
        <w:t xml:space="preserve">。</w:t>
      </w:r>
      <w:r/>
    </w:p>
    <w:p>
      <w:pPr>
        <w:pStyle w:val="710"/>
        <w:ind w:firstLine="480"/>
        <w:jc w:val="both"/>
        <w:keepLines/>
        <w:keepNext/>
        <w:spacing w:beforeAutospacing="0" w:afterAutospacing="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23、评标过程的保密与公正</w:t>
      </w:r>
      <w:r/>
    </w:p>
    <w:p>
      <w:pPr>
        <w:pStyle w:val="710"/>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23.1凡是与审查、澄清、评价和比较投标的有关资料以及授标建议等，采购人、评委、</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均不得向投标人或与评标无关的其他人员透露。</w:t>
      </w:r>
      <w:r/>
    </w:p>
    <w:p>
      <w:pPr>
        <w:pStyle w:val="710"/>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23.2在评标过程中，投标人不得以任何行为影响评标过程，否则其投标文件将被作为无效投标文件。</w:t>
      </w:r>
      <w:r/>
    </w:p>
    <w:p>
      <w:pPr>
        <w:pStyle w:val="710"/>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23.</w:t>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和评标委员会不向未中标的投标人解释未中标原因，也不公布评标过程中的相关细节。</w:t>
      </w:r>
      <w:r/>
    </w:p>
    <w:p>
      <w:pPr>
        <w:pStyle w:val="710"/>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auto"/>
          <w:sz w:val="24"/>
          <w:szCs w:val="24"/>
          <w:highlight w:val="none"/>
        </w:rPr>
        <w:t xml:space="preserve">23.4采用综合评分法的项目，未中标的</w:t>
      </w:r>
      <w:r>
        <w:rPr>
          <w:rFonts w:hint="eastAsia" w:ascii="宋体" w:hAnsi="宋体" w:eastAsia="宋体" w:cs="宋体"/>
          <w:color w:val="000000"/>
          <w:sz w:val="24"/>
          <w:szCs w:val="24"/>
          <w:highlight w:val="none"/>
        </w:rPr>
        <w:t xml:space="preserve">投标人可于中标结果公告期限届满之日起通过苏采云系统查看自己的评审得分及排序情况。</w:t>
      </w:r>
      <w:r/>
    </w:p>
    <w:p>
      <w:pPr>
        <w:pStyle w:val="710"/>
        <w:ind w:firstLine="480"/>
        <w:jc w:val="both"/>
        <w:keepLines/>
        <w:keepNext/>
        <w:spacing w:beforeAutospacing="0" w:afterAutospacing="0"/>
        <w:rPr>
          <w:rFonts w:hint="eastAsia" w:ascii="宋体" w:hAnsi="宋体" w:eastAsia="宋体" w:cs="宋体"/>
          <w:sz w:val="24"/>
          <w:szCs w:val="24"/>
          <w:highlight w:val="none"/>
        </w:rPr>
      </w:pPr>
      <w:r/>
      <w:bookmarkStart w:id="145" w:name="_Toc20823304"/>
      <w:r/>
      <w:bookmarkStart w:id="146" w:name="_Toc513029232"/>
      <w:r/>
      <w:bookmarkStart w:id="147" w:name="_Toc16938548"/>
      <w:r>
        <w:rPr>
          <w:rFonts w:hint="eastAsia" w:ascii="宋体" w:hAnsi="宋体" w:eastAsia="宋体" w:cs="宋体"/>
          <w:color w:val="000000"/>
          <w:sz w:val="24"/>
          <w:szCs w:val="24"/>
          <w:highlight w:val="none"/>
        </w:rPr>
        <w:t xml:space="preserve">24、投标文件的澄清</w:t>
      </w:r>
      <w:bookmarkEnd w:id="145"/>
      <w:r/>
      <w:bookmarkEnd w:id="146"/>
      <w:r/>
      <w:bookmarkEnd w:id="147"/>
      <w:r/>
      <w:r/>
    </w:p>
    <w:p>
      <w:pPr>
        <w:pStyle w:val="710"/>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24.1评标期间，评委会对投标文件中含义不明确、同类问题表述不一致或者有明显文字和计算错误的内容，有权要求投标人作出必要的澄清、说明或者补正。</w:t>
      </w:r>
      <w:r/>
    </w:p>
    <w:p>
      <w:pPr>
        <w:pStyle w:val="710"/>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投标人的澄清、说明或者补正不得超出投标文件的范围或者改变投标文件的实质性内容。</w:t>
      </w:r>
      <w:r/>
    </w:p>
    <w:p>
      <w:pPr>
        <w:pStyle w:val="710"/>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评标委员会并非对每个投标人都做澄清要求。</w:t>
      </w:r>
      <w:r/>
    </w:p>
    <w:p>
      <w:pPr>
        <w:pStyle w:val="710"/>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w:t>
      </w:r>
      <w:r>
        <w:rPr>
          <w:rFonts w:hint="eastAsia" w:ascii="宋体" w:hAnsi="宋体" w:eastAsia="宋体" w:cs="宋体"/>
          <w:color w:val="000000"/>
          <w:sz w:val="24"/>
          <w:szCs w:val="24"/>
          <w:highlight w:val="none"/>
        </w:rPr>
        <w:t xml:space="preserve">投标文件的补充部分，具体操作方式见《操作手册》。</w:t>
      </w:r>
      <w:r/>
    </w:p>
    <w:p>
      <w:pPr>
        <w:pStyle w:val="71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24.3接到评委会澄清、说明和补正要求的投标人如未按规定</w:t>
      </w:r>
      <w:r>
        <w:rPr>
          <w:rFonts w:hint="eastAsia" w:ascii="宋体" w:hAnsi="宋体" w:eastAsia="宋体" w:cs="宋体"/>
          <w:color w:val="000000"/>
          <w:sz w:val="24"/>
          <w:szCs w:val="24"/>
          <w:highlight w:val="none"/>
          <w:lang w:eastAsia="zh-CN"/>
        </w:rPr>
        <w:t xml:space="preserve">作出</w:t>
      </w:r>
      <w:r>
        <w:rPr>
          <w:rFonts w:hint="eastAsia" w:ascii="宋体" w:hAnsi="宋体" w:eastAsia="宋体" w:cs="宋体"/>
          <w:color w:val="000000"/>
          <w:sz w:val="24"/>
          <w:szCs w:val="24"/>
          <w:highlight w:val="none"/>
        </w:rPr>
        <w:t xml:space="preserve">澄清、说明和补正，其风险由投标人自行承担。</w:t>
      </w:r>
      <w:r/>
    </w:p>
    <w:p>
      <w:pPr>
        <w:pStyle w:val="710"/>
        <w:ind w:firstLine="480"/>
        <w:jc w:val="both"/>
        <w:keepLines/>
        <w:keepNext/>
        <w:spacing w:beforeAutospacing="0" w:afterAutospacing="0"/>
        <w:rPr>
          <w:rFonts w:hint="eastAsia" w:ascii="宋体" w:hAnsi="宋体" w:eastAsia="宋体" w:cs="宋体"/>
          <w:sz w:val="24"/>
          <w:szCs w:val="24"/>
          <w:highlight w:val="none"/>
        </w:rPr>
      </w:pPr>
      <w:r/>
      <w:bookmarkStart w:id="148" w:name="_Toc20823305"/>
      <w:r/>
      <w:bookmarkStart w:id="149" w:name="_Toc513029233"/>
      <w:r/>
      <w:bookmarkStart w:id="150" w:name="_Toc16938549"/>
      <w:r>
        <w:rPr>
          <w:rFonts w:hint="eastAsia" w:ascii="宋体" w:hAnsi="宋体" w:eastAsia="宋体" w:cs="宋体"/>
          <w:color w:val="000000"/>
          <w:sz w:val="24"/>
          <w:szCs w:val="24"/>
          <w:highlight w:val="none"/>
        </w:rPr>
        <w:t xml:space="preserve">25、对投标文件的初审</w:t>
      </w:r>
      <w:bookmarkEnd w:id="148"/>
      <w:r/>
      <w:bookmarkEnd w:id="149"/>
      <w:r/>
      <w:bookmarkEnd w:id="150"/>
      <w:r/>
      <w:r/>
    </w:p>
    <w:p>
      <w:pPr>
        <w:pStyle w:val="710"/>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25.1投标文件初审分为资格审查和符合性审查。</w:t>
      </w:r>
      <w:r/>
    </w:p>
    <w:p>
      <w:pPr>
        <w:pStyle w:val="710"/>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25.1.1资格审查：依据法律法规和招标文件的规定，由采购人对投标文件中的资格证明文件进行审查。资格审查的结论，采购人以书面形式向评委会进行反馈。</w:t>
      </w:r>
      <w:r/>
    </w:p>
    <w:p>
      <w:pPr>
        <w:pStyle w:val="710"/>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采购人在进行资格性审查的同时，将在“信用中国”网站（www.creditchina.gov.cn）查询投标人的信用记录，以确定投标人是否具备投标资格,查询结果留存并归档。</w:t>
      </w:r>
      <w:r/>
    </w:p>
    <w:p>
      <w:pPr>
        <w:pStyle w:val="710"/>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710"/>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25.1.2符合性审查：依据招标文件的规定，由评委会从投标文件的有效性、完整性和对招标文件的响应程度进行审查，以确定是否对招标文件的实质性要求作出响应。</w:t>
      </w:r>
      <w:r/>
    </w:p>
    <w:p>
      <w:pPr>
        <w:pStyle w:val="710"/>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25.1.3未通过资格审查或符合性审查的投标人，</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将在苏采云系统中告知未通过资格审查或符合性审查的原因，评标结束后，</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将不再告知</w:t>
      </w:r>
      <w:r>
        <w:rPr>
          <w:rFonts w:hint="eastAsia" w:ascii="宋体" w:hAnsi="宋体" w:eastAsia="宋体" w:cs="宋体"/>
          <w:color w:val="000000"/>
          <w:sz w:val="24"/>
          <w:szCs w:val="24"/>
          <w:highlight w:val="none"/>
        </w:rPr>
        <w:t xml:space="preserve">未通过资格审查和符合性审查的原因。</w:t>
      </w:r>
      <w:r/>
    </w:p>
    <w:p>
      <w:pPr>
        <w:pStyle w:val="710"/>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25.2在详细评标之前</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评委会将首先审查每份投标文件是否实质性响应了招标文件的要求。实质性响应的投标应该是与招标文件要求的全部条款、条件和规格相符，没有重大偏离或保留的投标。</w:t>
      </w:r>
      <w:r/>
    </w:p>
    <w:p>
      <w:pPr>
        <w:pStyle w:val="710"/>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所谓重大偏离或保留是指与招标文件规定的实质性要求存在负偏离，或者在实质上与招标文件不一致，而且限制了合同中买方和</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710"/>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25.3如果投标文件实质上没有响应招标文件的要求，评委会将予以拒绝，投标人不得通过修改或撤销不合要求的偏离或保留而使其投标成为实质性响应的投标。</w:t>
      </w:r>
      <w:r/>
    </w:p>
    <w:p>
      <w:pPr>
        <w:pStyle w:val="710"/>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25.4评委会将对确定为实质性响应的投标进行进一步审核，确定其是否有计算上或累加上的算术错误，修正错误的原则如下：</w:t>
      </w:r>
      <w:r/>
    </w:p>
    <w:p>
      <w:pPr>
        <w:pStyle w:val="710"/>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（1）投标文件中开标一览表内容与投标文件中相应内容不一致的，以开标一览表为准。</w:t>
      </w:r>
      <w:r/>
    </w:p>
    <w:p>
      <w:pPr>
        <w:pStyle w:val="710"/>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（2）大写金额和小写金额不一致的，以大写金额为准。</w:t>
      </w:r>
      <w:r/>
    </w:p>
    <w:p>
      <w:pPr>
        <w:pStyle w:val="710"/>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（3）单价金额小数点或者百分比有明显错位的，以开标一览表的总价为准，并修改单价。</w:t>
      </w:r>
      <w:r/>
    </w:p>
    <w:p>
      <w:pPr>
        <w:pStyle w:val="710"/>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（4）总价金额与按单价汇总金额不一致的，以单价金额计算结果为准。</w:t>
      </w:r>
      <w:r/>
    </w:p>
    <w:p>
      <w:pPr>
        <w:pStyle w:val="710"/>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同时出现两种以上错误的，按照前款规定的顺序修正。</w:t>
      </w:r>
      <w:r/>
    </w:p>
    <w:p>
      <w:pPr>
        <w:pStyle w:val="710"/>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pStyle w:val="710"/>
        <w:ind w:firstLine="420"/>
        <w:jc w:val="both"/>
        <w:spacing w:beforeAutospacing="0" w:afterAutospacing="0" w:line="0" w:lineRule="atLeast"/>
        <w:rPr>
          <w:rFonts w:hint="eastAsia" w:ascii="宋体" w:hAnsi="宋体" w:eastAsia="宋体" w:cs="宋体"/>
          <w:color w:val="auto"/>
          <w:sz w:val="24"/>
          <w:szCs w:val="24"/>
          <w:highlight w:val="none"/>
        </w:rPr>
      </w:pPr>
      <w:r/>
      <w:bookmarkStart w:id="151" w:name="_Toc16938550"/>
      <w:r/>
      <w:bookmarkStart w:id="152" w:name="_Toc513029234"/>
      <w:r/>
      <w:bookmarkStart w:id="153" w:name="_Toc20823306"/>
      <w:r>
        <w:rPr>
          <w:rFonts w:hint="eastAsia" w:ascii="宋体" w:hAnsi="宋体" w:eastAsia="宋体" w:cs="宋体"/>
          <w:color w:val="auto"/>
          <w:sz w:val="24"/>
          <w:szCs w:val="24"/>
          <w:highlight w:val="none"/>
        </w:rPr>
        <w:t xml:space="preserve">25.6投标人在开、评标全过程中应</w:t>
      </w:r>
      <w:r>
        <w:rPr>
          <w:rFonts w:hint="eastAsia" w:ascii="宋体" w:hAnsi="宋体" w:eastAsia="宋体" w:cs="宋体"/>
          <w:color w:val="auto"/>
          <w:sz w:val="24"/>
          <w:szCs w:val="24"/>
          <w:highlight w:val="none"/>
          <w:lang w:eastAsia="zh-CN"/>
        </w:rPr>
        <w:t xml:space="preserve">保持通信畅通</w:t>
      </w:r>
      <w:r>
        <w:rPr>
          <w:rFonts w:hint="eastAsia" w:ascii="宋体" w:hAnsi="宋体" w:eastAsia="宋体" w:cs="宋体"/>
          <w:color w:val="auto"/>
          <w:sz w:val="24"/>
          <w:szCs w:val="24"/>
          <w:highlight w:val="none"/>
        </w:rPr>
        <w:t xml:space="preserve">，及时登录苏采云系统查阅、答复相关信息，并安排专人与</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及评标委员会联系。</w:t>
      </w:r>
      <w:bookmarkEnd w:id="151"/>
      <w:r/>
      <w:bookmarkEnd w:id="152"/>
      <w:r/>
      <w:bookmarkEnd w:id="153"/>
      <w:r/>
      <w:r/>
    </w:p>
    <w:p>
      <w:pPr>
        <w:pStyle w:val="710"/>
        <w:ind w:firstLine="480"/>
        <w:jc w:val="both"/>
        <w:keepLines/>
        <w:keepNext/>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26、无效投标条款和废标条款</w:t>
      </w:r>
      <w:r/>
    </w:p>
    <w:p>
      <w:pPr>
        <w:pStyle w:val="710"/>
        <w:ind w:left="479"/>
        <w:jc w:val="both"/>
        <w:spacing w:beforeAutospacing="0" w:afterAutospacing="0" w:line="0" w:lineRule="atLeast"/>
        <w:rPr>
          <w:rFonts w:hint="eastAsia" w:ascii="宋体" w:hAnsi="宋体" w:eastAsia="宋体" w:cs="宋体"/>
          <w:color w:val="auto"/>
          <w:sz w:val="24"/>
          <w:szCs w:val="24"/>
          <w:highlight w:val="none"/>
        </w:rPr>
      </w:pPr>
      <w:r/>
      <w:bookmarkStart w:id="154" w:name="_Toc20823307"/>
      <w:r/>
      <w:bookmarkStart w:id="155" w:name="_Toc513029235"/>
      <w:r/>
      <w:bookmarkStart w:id="156" w:name="_Toc16938551"/>
      <w:r>
        <w:rPr>
          <w:rFonts w:hint="eastAsia" w:ascii="宋体" w:hAnsi="宋体" w:eastAsia="宋体" w:cs="宋体"/>
          <w:color w:val="auto"/>
          <w:sz w:val="24"/>
          <w:szCs w:val="24"/>
          <w:highlight w:val="none"/>
        </w:rPr>
        <w:t xml:space="preserve">26.1无效投标条款</w:t>
      </w:r>
      <w:bookmarkEnd w:id="154"/>
      <w:r/>
      <w:bookmarkEnd w:id="155"/>
      <w:r/>
      <w:bookmarkEnd w:id="156"/>
      <w:r/>
      <w:r/>
    </w:p>
    <w:p>
      <w:pPr>
        <w:pStyle w:val="710"/>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26.1.1投标人在苏采云系统规定的时间内未成功解密电子投标文件的。</w:t>
      </w:r>
      <w:r/>
    </w:p>
    <w:p>
      <w:pPr>
        <w:pStyle w:val="710"/>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26.1.2投标人未按照招标文件要求上传电子投标文件的。</w:t>
      </w:r>
      <w:r/>
    </w:p>
    <w:p>
      <w:pPr>
        <w:pStyle w:val="710"/>
        <w:ind w:left="479"/>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26.1.3同一投标人提交两个（含两个）以上不同的投标报价的。</w:t>
      </w:r>
      <w:r/>
    </w:p>
    <w:p>
      <w:pPr>
        <w:pStyle w:val="710"/>
        <w:ind w:left="479"/>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26.1.4投标人不具备招标文件中规定资格要求的。</w:t>
      </w:r>
      <w:r/>
    </w:p>
    <w:p>
      <w:pPr>
        <w:pStyle w:val="710"/>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26.1.5投标人的报价超过了采购预算或最高限价的。</w:t>
      </w:r>
      <w:r/>
    </w:p>
    <w:p>
      <w:pPr>
        <w:pStyle w:val="710"/>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26.1.6未通过符合性审查的。</w:t>
      </w:r>
      <w:r/>
    </w:p>
    <w:p>
      <w:pPr>
        <w:pStyle w:val="710"/>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26.1.7不符合招标文件中规定的实质性要求和条件的（</w:t>
      </w:r>
      <w:r>
        <w:rPr>
          <w:rFonts w:hint="eastAsia" w:ascii="宋体" w:hAnsi="宋体" w:eastAsia="宋体" w:cs="宋体"/>
          <w:i/>
          <w:color w:val="000000"/>
          <w:sz w:val="24"/>
          <w:szCs w:val="24"/>
          <w:highlight w:val="none"/>
          <w:u w:val="single"/>
        </w:rPr>
        <w:t xml:space="preserve">本招标文件中斜体且有下划线部分为实质性要求和条件）。</w:t>
      </w:r>
      <w:r/>
    </w:p>
    <w:p>
      <w:pPr>
        <w:pStyle w:val="710"/>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710"/>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26.1.9投标文件含有采购人不能接受的附加条件的。</w:t>
      </w:r>
      <w:r/>
    </w:p>
    <w:p>
      <w:pPr>
        <w:pStyle w:val="710"/>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26.1.10</w:t>
      </w:r>
      <w:r>
        <w:rPr>
          <w:rFonts w:hint="eastAsia" w:ascii="宋体" w:hAnsi="宋体" w:eastAsia="宋体" w:cs="宋体"/>
          <w:color w:val="auto"/>
          <w:sz w:val="24"/>
          <w:szCs w:val="24"/>
          <w:highlight w:val="none"/>
        </w:rPr>
        <w:t xml:space="preserve">投标人不能证明其报价合理性的，评</w:t>
      </w:r>
      <w:r>
        <w:rPr>
          <w:rFonts w:hint="eastAsia" w:ascii="宋体" w:hAnsi="宋体" w:eastAsia="宋体" w:cs="宋体"/>
          <w:color w:val="auto"/>
          <w:sz w:val="24"/>
          <w:szCs w:val="24"/>
          <w:highlight w:val="none"/>
          <w:lang w:val="en-US" w:eastAsia="zh-CN"/>
        </w:rPr>
        <w:t xml:space="preserve">标</w:t>
      </w:r>
      <w:r>
        <w:rPr>
          <w:rFonts w:hint="eastAsia" w:ascii="宋体" w:hAnsi="宋体" w:eastAsia="宋体" w:cs="宋体"/>
          <w:color w:val="auto"/>
          <w:sz w:val="24"/>
          <w:szCs w:val="24"/>
          <w:highlight w:val="none"/>
        </w:rPr>
        <w:t xml:space="preserve">委员会应当将其作为无效投标处理。</w:t>
      </w:r>
      <w:r/>
    </w:p>
    <w:p>
      <w:pPr>
        <w:pStyle w:val="710"/>
        <w:ind w:firstLine="480"/>
        <w:jc w:val="both"/>
        <w:spacing w:beforeAutospacing="0" w:afterAutospacing="0" w:line="0" w:lineRule="atLeas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（一）评审过程中出现下列情形之一的，评标委员会应当启动异常低价投标审查程序：</w:t>
      </w:r>
      <w:r/>
    </w:p>
    <w:p>
      <w:pPr>
        <w:pStyle w:val="710"/>
        <w:ind w:firstLine="480"/>
        <w:jc w:val="both"/>
        <w:spacing w:beforeAutospacing="0" w:afterAutospacing="0" w:line="0" w:lineRule="atLeas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1.投标报价低于采购项目预算50% 的，即投标报价&lt;采购项目预算×50%；</w:t>
      </w:r>
      <w:r/>
    </w:p>
    <w:p>
      <w:pPr>
        <w:pStyle w:val="710"/>
        <w:ind w:firstLine="480"/>
        <w:jc w:val="both"/>
        <w:spacing w:beforeAutospacing="0" w:afterAutospacing="0" w:line="0" w:lineRule="atLeas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2.投标报价低于采购项目最高限价45% 的，即投标报价&lt;采购项目最高限价×45%；</w:t>
      </w:r>
      <w:r/>
    </w:p>
    <w:p>
      <w:pPr>
        <w:pStyle w:val="710"/>
        <w:ind w:firstLine="480"/>
        <w:jc w:val="both"/>
        <w:spacing w:beforeAutospacing="0" w:afterAutospacing="0" w:line="0" w:lineRule="atLeas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3.评标委员会认定的供应商报价过低、有可能影响产品质量或者不能诚信履约的其他情形。</w:t>
      </w:r>
      <w:r/>
    </w:p>
    <w:p>
      <w:pPr>
        <w:pStyle w:val="710"/>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lang w:val="en-US" w:eastAsia="zh-CN" w:bidi="ar-SA"/>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pStyle w:val="710"/>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26.1.11投标文件未按照招标文件要求加盖CA电子公章的。</w:t>
      </w:r>
      <w:r/>
    </w:p>
    <w:p>
      <w:pPr>
        <w:pStyle w:val="710"/>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26.1.12其他法律、法规及本招标文件规定的属无效投标的情形。</w:t>
      </w:r>
      <w:r/>
    </w:p>
    <w:p>
      <w:pPr>
        <w:pStyle w:val="710"/>
        <w:ind w:left="479"/>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26.2废标条款</w:t>
      </w:r>
      <w:r/>
    </w:p>
    <w:p>
      <w:pPr>
        <w:pStyle w:val="710"/>
        <w:ind w:left="479"/>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26.2.1符合专业条件的供应商或者对招标文件作实质响应的供应商不足三家的。</w:t>
      </w:r>
      <w:r/>
    </w:p>
    <w:p>
      <w:pPr>
        <w:pStyle w:val="710"/>
        <w:ind w:left="479"/>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26.2.2出现影响采购公正的违法、违规行为的。</w:t>
      </w:r>
      <w:r/>
    </w:p>
    <w:p>
      <w:pPr>
        <w:pStyle w:val="710"/>
        <w:ind w:left="479"/>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26.2.3因重大变故，采购任务取消的。</w:t>
      </w:r>
      <w:r/>
    </w:p>
    <w:p>
      <w:pPr>
        <w:pStyle w:val="710"/>
        <w:ind w:left="479"/>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26.2.4评标委员会认定招标文件存在歧义、重大缺陷导致评审工作无法进行。</w:t>
      </w:r>
      <w:r/>
    </w:p>
    <w:p>
      <w:pPr>
        <w:pStyle w:val="710"/>
        <w:ind w:left="479"/>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26.2.5因苏采云系统系统故障原因造成开标不成功的。</w:t>
      </w:r>
      <w:r/>
    </w:p>
    <w:p>
      <w:pPr>
        <w:pStyle w:val="710"/>
        <w:ind w:left="479"/>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 投标截止时间结束后参加投标的供应商不足三家的处理：</w:t>
      </w:r>
      <w:r/>
    </w:p>
    <w:p>
      <w:pPr>
        <w:pStyle w:val="710"/>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26.3.1如出现投标截止时间结束后参加投标的供应商或者在评标期间对招标文件做出实质响应的供应商不足三家情况，按政府采购相关规定执行。</w:t>
      </w:r>
      <w:r/>
    </w:p>
    <w:p>
      <w:pPr>
        <w:pStyle w:val="710"/>
        <w:ind w:firstLine="482"/>
        <w:jc w:val="both"/>
        <w:keepLines/>
        <w:keepNext/>
        <w:spacing w:before="145" w:beforeAutospacing="0" w:after="145" w:afterAutospacing="0" w:line="360" w:lineRule="auto"/>
        <w:rPr>
          <w:rFonts w:hint="eastAsia" w:ascii="宋体" w:hAnsi="宋体" w:eastAsia="宋体" w:cs="宋体"/>
          <w:sz w:val="24"/>
          <w:szCs w:val="24"/>
          <w:highlight w:val="yellow"/>
        </w:rPr>
      </w:pPr>
      <w:r/>
      <w:bookmarkStart w:id="157" w:name="_Toc120614219"/>
      <w:r>
        <w:rPr>
          <w:rFonts w:hint="eastAsia" w:ascii="宋体" w:hAnsi="宋体" w:eastAsia="宋体" w:cs="宋体"/>
          <w:b/>
          <w:color w:val="000000"/>
          <w:sz w:val="24"/>
          <w:szCs w:val="24"/>
          <w:highlight w:val="none"/>
        </w:rPr>
        <w:t xml:space="preserve">六、定标</w:t>
      </w:r>
      <w:bookmarkEnd w:id="157"/>
      <w:r/>
      <w:r/>
    </w:p>
    <w:p>
      <w:pPr>
        <w:pStyle w:val="710"/>
        <w:ind w:firstLine="480"/>
        <w:jc w:val="both"/>
        <w:keepLines/>
        <w:keepNext/>
        <w:spacing w:beforeAutospacing="0" w:afterAutospacing="0"/>
        <w:rPr>
          <w:rFonts w:hint="eastAsia" w:ascii="宋体" w:hAnsi="宋体" w:eastAsia="宋体" w:cs="宋体"/>
          <w:sz w:val="24"/>
          <w:szCs w:val="24"/>
          <w:highlight w:val="none"/>
        </w:rPr>
      </w:pPr>
      <w:r/>
      <w:bookmarkStart w:id="158" w:name="_Toc20823310"/>
      <w:r/>
      <w:bookmarkStart w:id="159" w:name="_Toc16938554"/>
      <w:r/>
      <w:bookmarkStart w:id="160" w:name="_Toc513029238"/>
      <w:r>
        <w:rPr>
          <w:rFonts w:hint="eastAsia" w:ascii="宋体" w:hAnsi="宋体" w:eastAsia="宋体" w:cs="宋体"/>
          <w:color w:val="000000"/>
          <w:sz w:val="24"/>
          <w:szCs w:val="24"/>
          <w:highlight w:val="none"/>
        </w:rPr>
        <w:t xml:space="preserve">27、</w:t>
      </w:r>
      <w:bookmarkEnd w:id="158"/>
      <w:r>
        <w:rPr>
          <w:rFonts w:hint="eastAsia" w:ascii="宋体" w:hAnsi="宋体" w:eastAsia="宋体" w:cs="宋体"/>
          <w:color w:val="000000"/>
          <w:sz w:val="24"/>
          <w:szCs w:val="24"/>
          <w:highlight w:val="none"/>
        </w:rPr>
        <w:t xml:space="preserve">确定</w:t>
      </w:r>
      <w:bookmarkEnd w:id="159"/>
      <w:r/>
      <w:bookmarkEnd w:id="160"/>
      <w:r>
        <w:rPr>
          <w:rFonts w:hint="eastAsia" w:ascii="宋体" w:hAnsi="宋体" w:eastAsia="宋体" w:cs="宋体"/>
          <w:color w:val="000000"/>
          <w:sz w:val="24"/>
          <w:szCs w:val="24"/>
          <w:highlight w:val="none"/>
        </w:rPr>
        <w:t xml:space="preserve">中标单位</w:t>
      </w:r>
      <w:r/>
    </w:p>
    <w:p>
      <w:pPr>
        <w:pStyle w:val="710"/>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27.1中标候选人的选取原则和数量见招标文件第五章规定。 </w:t>
      </w:r>
      <w:r/>
    </w:p>
    <w:p>
      <w:pPr>
        <w:pStyle w:val="710"/>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27.2采购人应根据评委会推荐的中标候选人确定中标人。</w:t>
      </w:r>
      <w:r/>
    </w:p>
    <w:p>
      <w:pPr>
        <w:pStyle w:val="710"/>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27.3</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将在</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盐城市政府采购网”发布中标公告，公告期限为1个工作日。</w:t>
      </w:r>
      <w:r/>
    </w:p>
    <w:p>
      <w:pPr>
        <w:pStyle w:val="710"/>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27.4若有充分证据证明，中标人出现下列情况之一的，一经查实，将被取消中标资格：</w:t>
      </w:r>
      <w:r/>
    </w:p>
    <w:p>
      <w:pPr>
        <w:pStyle w:val="710"/>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27.4.1提供虚假材料谋取中标的。</w:t>
      </w:r>
      <w:r/>
    </w:p>
    <w:p>
      <w:pPr>
        <w:pStyle w:val="710"/>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27.4.2向采购人、</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行贿或者提供其他不正当利益的。</w:t>
      </w:r>
      <w:r/>
    </w:p>
    <w:p>
      <w:pPr>
        <w:pStyle w:val="710"/>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27.4.3属于本文件规定的无效条件，但在评标过程中又未被评委会发现的。</w:t>
      </w:r>
      <w:r/>
    </w:p>
    <w:p>
      <w:pPr>
        <w:pStyle w:val="710"/>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27.4.4与采购人或者其他供应商恶意串通的。</w:t>
      </w:r>
      <w:r/>
    </w:p>
    <w:p>
      <w:pPr>
        <w:pStyle w:val="710"/>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27.4.5采取不正当手段诋毁、排挤其他供应商的。</w:t>
      </w:r>
      <w:r/>
    </w:p>
    <w:p>
      <w:pPr>
        <w:pStyle w:val="710"/>
        <w:ind w:firstLine="480"/>
        <w:jc w:val="both"/>
        <w:spacing w:beforeAutospacing="0" w:afterAutospacing="0" w:line="0" w:lineRule="atLeast"/>
        <w:rPr>
          <w:rFonts w:hint="eastAsia" w:ascii="宋体" w:hAnsi="宋体" w:eastAsia="宋体" w:cs="宋体"/>
          <w:sz w:val="24"/>
          <w:szCs w:val="24"/>
          <w:highlight w:val="none"/>
        </w:rPr>
      </w:pPr>
      <w:r/>
      <w:bookmarkStart w:id="161" w:name="_Toc200451960"/>
      <w:r>
        <w:rPr>
          <w:rFonts w:hint="eastAsia" w:ascii="宋体" w:hAnsi="宋体" w:eastAsia="宋体" w:cs="宋体"/>
          <w:color w:val="000000"/>
          <w:sz w:val="24"/>
          <w:szCs w:val="24"/>
          <w:highlight w:val="none"/>
        </w:rPr>
        <w:t xml:space="preserve">27.5 有下列情形之一的，视为投标人串通投标，投标无效：</w:t>
      </w:r>
      <w:bookmarkEnd w:id="161"/>
      <w:r/>
      <w:r/>
    </w:p>
    <w:p>
      <w:pPr>
        <w:pStyle w:val="710"/>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27.5.1不同投标人的投标文件由同一单位或者个人编制。</w:t>
      </w:r>
      <w:r/>
    </w:p>
    <w:p>
      <w:pPr>
        <w:pStyle w:val="710"/>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27.5.2不同投标人委托同一单位或者个人办理投标事宜。</w:t>
      </w:r>
      <w:r/>
    </w:p>
    <w:p>
      <w:pPr>
        <w:pStyle w:val="710"/>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27.5.3不同投标人的投标文件载明的项目管理成员或者联系人员为同一人。</w:t>
      </w:r>
      <w:r/>
    </w:p>
    <w:p>
      <w:pPr>
        <w:pStyle w:val="710"/>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27.5.4不同投标人的投标文件异常一致或者投标报价呈规律性差异。</w:t>
      </w:r>
      <w:r/>
    </w:p>
    <w:p>
      <w:pPr>
        <w:pStyle w:val="710"/>
        <w:ind w:firstLine="480"/>
        <w:jc w:val="both"/>
        <w:keepLines/>
        <w:keepNext/>
        <w:spacing w:beforeAutospacing="0" w:afterAutospacing="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28、质疑处理</w:t>
      </w:r>
      <w:r/>
    </w:p>
    <w:p>
      <w:pPr>
        <w:pStyle w:val="710"/>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28.1提出质疑的供应商应当是参与所质疑项目采购活动的供应商。潜在供应商依法获取其可质疑的采购文件的，可以对采购文件提出质疑。</w:t>
      </w:r>
      <w:r/>
    </w:p>
    <w:p>
      <w:pPr>
        <w:pStyle w:val="710"/>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28.2供应商认为采购文件、采购过程和采购结果使自己的权益受到损害的，可以在知道或应知其权益受到损害之日起七个工作日内，以书面形式根据下述28.4条款的规定向</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或采购人提出质疑。上述应知其权益受到损害之日，是指：</w:t>
      </w:r>
      <w:r/>
    </w:p>
    <w:p>
      <w:pPr>
        <w:pStyle w:val="710"/>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28.2.1对可以质疑的采购文件提出质疑的，为收到采购文件之日或者采购文件公告期限届满之日；</w:t>
      </w:r>
      <w:r/>
    </w:p>
    <w:p>
      <w:pPr>
        <w:pStyle w:val="710"/>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28.2.2对采购过程提出质疑的，为各采购程序环节结束之日；</w:t>
      </w:r>
      <w:r/>
    </w:p>
    <w:p>
      <w:pPr>
        <w:pStyle w:val="710"/>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28.2.3对中标或者成交结果提出质疑的，为中标或者成交结果公告期限届满之日。</w:t>
      </w:r>
      <w:r/>
    </w:p>
    <w:p>
      <w:pPr>
        <w:pStyle w:val="710"/>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、采购人将只对供应商第一次质疑作出答复。</w:t>
      </w:r>
      <w:r/>
    </w:p>
    <w:p>
      <w:pPr>
        <w:pStyle w:val="710"/>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710"/>
        <w:ind w:firstLine="482"/>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w:t>
      </w:r>
      <w:r>
        <w:rPr>
          <w:rFonts w:hint="eastAsia" w:ascii="宋体" w:hAnsi="宋体" w:eastAsia="宋体" w:cs="宋体"/>
          <w:color w:val="000000" w:themeColor="text1"/>
          <w:sz w:val="24"/>
          <w:szCs w:val="24"/>
          <w:highlight w:val="none"/>
          <w14:textFill>
            <w14:solidFill>
              <w14:schemeClr w14:val="tx1"/>
            </w14:solidFill>
          </w14:textFill>
        </w:rPr>
        <w:t xml:space="preserve">供应商（含潜在供应商）对采购方式、采购需求、供应商资格条件及审查结果、评标方法和评标标准、合同文本的询问、质疑请向采购人提出，由采购人负责答复。</w:t>
      </w:r>
      <w:r>
        <w:rPr>
          <w:rFonts w:hint="eastAsia" w:ascii="宋体" w:hAnsi="宋体" w:eastAsia="宋体" w:cs="宋体"/>
          <w:color w:val="000000"/>
          <w:sz w:val="24"/>
          <w:szCs w:val="24"/>
          <w:highlight w:val="none"/>
        </w:rPr>
        <w:t xml:space="preserve">供应商对除上述事项以外其他事项的询问、质疑请向</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提出，由</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负责答复。</w:t>
      </w:r>
      <w:r/>
    </w:p>
    <w:p>
      <w:pPr>
        <w:ind w:firstLine="720"/>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采购代理机构及采购人只接收以纸质原件形式送达的质疑,采购人和采购代理机构不接受未填写快递运单的快件。质疑接收部门为代理公司，联系地址：</w:t>
      </w:r>
      <w:r>
        <w:rPr>
          <w:rFonts w:hint="eastAsia" w:ascii="宋体" w:hAnsi="宋体" w:eastAsia="宋体" w:cs="宋体"/>
          <w:color w:val="000000"/>
          <w:sz w:val="24"/>
          <w:szCs w:val="24"/>
          <w:highlight w:val="none"/>
          <w:lang w:eastAsia="zh-CN"/>
        </w:rPr>
        <w:t xml:space="preserve">阜宁县天鹅湖国际商业中心9楼918室</w:t>
      </w:r>
      <w:r>
        <w:rPr>
          <w:rFonts w:hint="eastAsia" w:ascii="宋体" w:hAnsi="宋体" w:eastAsia="宋体" w:cs="宋体"/>
          <w:color w:val="000000"/>
          <w:sz w:val="24"/>
          <w:szCs w:val="24"/>
          <w:highlight w:val="none"/>
          <w:lang w:val="en-US" w:eastAsia="zh-CN" w:bidi="ar-SA"/>
        </w:rPr>
        <w:t xml:space="preserve"> ，联系电话：19941577053。</w:t>
      </w:r>
      <w:r/>
    </w:p>
    <w:p>
      <w:pPr>
        <w:pStyle w:val="710"/>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 以下情形的质疑不予受理</w:t>
      </w:r>
      <w:r/>
    </w:p>
    <w:p>
      <w:pPr>
        <w:pStyle w:val="710"/>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28.5.1内容不符合《政府采购质疑和投诉办法》第十二条规定的质疑。</w:t>
      </w:r>
      <w:r/>
    </w:p>
    <w:p>
      <w:pPr>
        <w:pStyle w:val="710"/>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28.5.2超出政府采购法定期限的质疑。</w:t>
      </w:r>
      <w:r/>
    </w:p>
    <w:p>
      <w:pPr>
        <w:pStyle w:val="710"/>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28.5.3以传真、电子邮件等方式递交的非原件形式的质疑。</w:t>
      </w:r>
      <w:r/>
    </w:p>
    <w:p>
      <w:pPr>
        <w:pStyle w:val="710"/>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28.5.4未参加投标活动的供应商或在投标活动中自身权益未受到损害的供应商所提出的质疑。</w:t>
      </w:r>
      <w:r/>
    </w:p>
    <w:p>
      <w:pPr>
        <w:pStyle w:val="710"/>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28.5.5供应商组成联合体参加投标，联合体中任何一方或多方未按要求签字、盖章、加盖公章的质疑。</w:t>
      </w:r>
      <w:r/>
    </w:p>
    <w:p>
      <w:pPr>
        <w:pStyle w:val="710"/>
        <w:ind w:firstLine="468"/>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28.6供应商提出书面质疑必须有理、有据，不得捏造事实、提供虚假材料进行恶意质疑。否则，一经查实，</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有权依据政府采购的有关规定，报请政府采购监管部门对该供应商进行相应的行政处罚和记录该供应商的失信信息。</w:t>
      </w:r>
      <w:r/>
    </w:p>
    <w:p>
      <w:pPr>
        <w:pStyle w:val="710"/>
        <w:ind w:firstLine="480"/>
        <w:jc w:val="both"/>
        <w:keepLines/>
        <w:keepNext/>
        <w:spacing w:beforeAutospacing="0" w:afterAutospacing="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29、中标通知书</w:t>
      </w:r>
      <w:r/>
    </w:p>
    <w:p>
      <w:pPr>
        <w:pStyle w:val="710"/>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29.l中标结果确定后，</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将向中标人发</w:t>
      </w:r>
      <w:r>
        <w:rPr>
          <w:rFonts w:hint="eastAsia" w:ascii="宋体" w:hAnsi="宋体" w:eastAsia="宋体" w:cs="宋体"/>
          <w:color w:val="auto"/>
          <w:sz w:val="24"/>
          <w:szCs w:val="24"/>
          <w:highlight w:val="none"/>
        </w:rPr>
        <w:t xml:space="preserve">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710"/>
        <w:ind w:firstLine="60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29.2中标通知书将是合同的一个组成部分。对采购人和中标人均具有法律</w:t>
      </w:r>
      <w:r>
        <w:rPr>
          <w:rFonts w:hint="eastAsia" w:ascii="宋体" w:hAnsi="宋体" w:eastAsia="宋体" w:cs="宋体"/>
          <w:color w:val="000000"/>
          <w:sz w:val="24"/>
          <w:szCs w:val="24"/>
          <w:highlight w:val="none"/>
        </w:rPr>
        <w:t xml:space="preserve">效力。中标通知书发出后，采购人改变中标结果的，或者中标人放弃中标项目的，应当依法承担法律责任。</w:t>
      </w:r>
      <w:r/>
    </w:p>
    <w:p>
      <w:pPr>
        <w:pStyle w:val="710"/>
        <w:ind w:firstLine="482"/>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162" w:name="_Toc120614220"/>
      <w:r/>
      <w:bookmarkStart w:id="163" w:name="_Toc513029236"/>
      <w:r/>
      <w:bookmarkStart w:id="164" w:name="_Toc20823308"/>
      <w:r/>
      <w:bookmarkStart w:id="165" w:name="_Toc16938552"/>
      <w:r>
        <w:rPr>
          <w:rFonts w:hint="eastAsia" w:ascii="宋体" w:hAnsi="宋体" w:eastAsia="宋体" w:cs="宋体"/>
          <w:b/>
          <w:color w:val="000000"/>
          <w:sz w:val="24"/>
          <w:szCs w:val="24"/>
          <w:highlight w:val="none"/>
        </w:rPr>
        <w:t xml:space="preserve">七、授予合同</w:t>
      </w:r>
      <w:bookmarkEnd w:id="162"/>
      <w:r/>
      <w:bookmarkEnd w:id="163"/>
      <w:r/>
      <w:bookmarkEnd w:id="164"/>
      <w:r/>
      <w:bookmarkEnd w:id="165"/>
      <w:r/>
      <w:r/>
    </w:p>
    <w:p>
      <w:pPr>
        <w:pStyle w:val="710"/>
        <w:ind w:firstLine="480"/>
        <w:jc w:val="both"/>
        <w:keepLines/>
        <w:keepNext/>
        <w:spacing w:beforeAutospacing="0" w:afterAutospacing="0"/>
        <w:rPr>
          <w:rFonts w:hint="eastAsia" w:ascii="宋体" w:hAnsi="宋体" w:eastAsia="宋体" w:cs="宋体"/>
          <w:sz w:val="24"/>
          <w:szCs w:val="24"/>
          <w:highlight w:val="none"/>
        </w:rPr>
      </w:pPr>
      <w:r/>
      <w:bookmarkStart w:id="166" w:name="_Toc16938553"/>
      <w:r/>
      <w:bookmarkStart w:id="167" w:name="_Toc20823309"/>
      <w:r/>
      <w:bookmarkStart w:id="168" w:name="_Toc513029237"/>
      <w:r>
        <w:rPr>
          <w:rFonts w:hint="eastAsia" w:ascii="宋体" w:hAnsi="宋体" w:eastAsia="宋体" w:cs="宋体"/>
          <w:color w:val="000000"/>
          <w:sz w:val="24"/>
          <w:szCs w:val="24"/>
          <w:highlight w:val="none"/>
        </w:rPr>
        <w:t xml:space="preserve">30.签订合同</w:t>
      </w:r>
      <w:bookmarkEnd w:id="166"/>
      <w:r/>
      <w:bookmarkEnd w:id="167"/>
      <w:r/>
      <w:bookmarkEnd w:id="168"/>
      <w:r/>
      <w:r/>
    </w:p>
    <w:p>
      <w:pPr>
        <w:pStyle w:val="710"/>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30.l中标人应当在中标通知书发出之日起三十日内，按照招标文件确定的事项与采购人签订政府采购合同。</w:t>
      </w:r>
      <w:r/>
    </w:p>
    <w:p>
      <w:pPr>
        <w:pStyle w:val="710"/>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30.2招标文件、中标人的投标文件及招标过程中有关澄清、承诺文件均应作为合同附件。</w:t>
      </w:r>
      <w:r/>
    </w:p>
    <w:p>
      <w:pPr>
        <w:pStyle w:val="710"/>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30.3签订合同后，</w:t>
      </w:r>
      <w:r>
        <w:rPr>
          <w:rFonts w:hint="eastAsia" w:ascii="宋体" w:hAnsi="宋体" w:eastAsia="宋体" w:cs="宋体"/>
          <w:i/>
          <w:color w:val="000000"/>
          <w:sz w:val="24"/>
          <w:szCs w:val="24"/>
          <w:highlight w:val="none"/>
          <w:u w:val="single"/>
        </w:rPr>
        <w:t xml:space="preserve">中标人不得将合同标的进行转包</w:t>
      </w:r>
      <w:r>
        <w:rPr>
          <w:rFonts w:hint="eastAsia" w:ascii="宋体" w:hAnsi="宋体" w:eastAsia="宋体" w:cs="宋体"/>
          <w:color w:val="000000"/>
          <w:sz w:val="24"/>
          <w:szCs w:val="24"/>
          <w:highlight w:val="none"/>
        </w:rPr>
        <w:t xml:space="preserve">。未经采购人同意，中标人也不得采用分包的形式履行合同，否则采购人有权终止合同。转包或分包造成采购人损失的，中标人应承担相应赔偿责任。</w:t>
      </w:r>
      <w:r/>
    </w:p>
    <w:p>
      <w:pPr>
        <w:pStyle w:val="710"/>
        <w:ind w:firstLine="480"/>
        <w:jc w:val="both"/>
        <w:keepLines/>
        <w:keepNext/>
        <w:spacing w:beforeAutospacing="0" w:afterAutospacing="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31、服务（包含与服务相关的货物）的追加</w:t>
      </w:r>
      <w:r/>
    </w:p>
    <w:p>
      <w:pPr>
        <w:pStyle w:val="710"/>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710"/>
        <w:ind w:firstLine="480"/>
        <w:jc w:val="both"/>
        <w:keepLines/>
        <w:keepNext/>
        <w:spacing w:beforeAutospacing="0" w:afterAutospacing="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32.政府采购政策功能落实</w:t>
      </w:r>
      <w:r/>
    </w:p>
    <w:p>
      <w:pPr>
        <w:pStyle w:val="710"/>
        <w:ind w:firstLine="480"/>
        <w:jc w:val="both"/>
        <w:keepLines/>
        <w:keepNext/>
        <w:spacing w:beforeAutospacing="0" w:afterAutospacing="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32.1</w:t>
      </w:r>
      <w:r>
        <w:rPr>
          <w:rFonts w:hint="eastAsia" w:ascii="宋体" w:hAnsi="宋体" w:eastAsia="宋体" w:cs="宋体"/>
          <w:color w:val="000000"/>
          <w:sz w:val="24"/>
          <w:szCs w:val="24"/>
          <w:highlight w:val="none"/>
        </w:rPr>
        <w:t xml:space="preserve">政府采购</w:t>
      </w:r>
      <w:r>
        <w:rPr>
          <w:rFonts w:hint="eastAsia" w:ascii="宋体" w:hAnsi="宋体" w:eastAsia="宋体" w:cs="宋体"/>
          <w:color w:val="000000"/>
          <w:sz w:val="24"/>
          <w:szCs w:val="24"/>
          <w:highlight w:val="none"/>
          <w:lang w:eastAsia="zh-CN"/>
        </w:rPr>
        <w:t xml:space="preserve">线上合同信用融资</w:t>
      </w:r>
      <w:r>
        <w:rPr>
          <w:rFonts w:hint="eastAsia" w:ascii="宋体" w:hAnsi="宋体" w:eastAsia="宋体" w:cs="宋体"/>
          <w:color w:val="000000"/>
          <w:sz w:val="24"/>
          <w:szCs w:val="24"/>
          <w:highlight w:val="none"/>
        </w:rPr>
        <w:t xml:space="preserve">政策</w:t>
      </w:r>
      <w:r/>
    </w:p>
    <w:p>
      <w:pPr>
        <w:pStyle w:val="710"/>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w:t>
      </w:r>
      <w:r>
        <w:rPr>
          <w:rFonts w:hint="eastAsia" w:ascii="宋体" w:hAnsi="宋体" w:eastAsia="宋体" w:cs="宋体"/>
          <w:color w:val="000000"/>
          <w:sz w:val="24"/>
          <w:szCs w:val="24"/>
          <w:highlight w:val="none"/>
          <w:lang w:val="en-US" w:eastAsia="zh-CN"/>
        </w:rPr>
        <w:t xml:space="preserve">江苏省</w:t>
      </w:r>
      <w:r>
        <w:rPr>
          <w:rFonts w:hint="eastAsia" w:ascii="宋体" w:hAnsi="宋体" w:eastAsia="宋体" w:cs="宋体"/>
          <w:color w:val="000000"/>
          <w:sz w:val="24"/>
          <w:szCs w:val="24"/>
          <w:highlight w:val="none"/>
        </w:rPr>
        <w:t xml:space="preserve">政府采购网“政采贷”栏目）申请贷款，相关金融机构按照双方自愿的原则提供便捷、优惠的贷款服务；具体操作流程请参考苏采云系统中操作手册。 </w:t>
      </w:r>
      <w:r/>
    </w:p>
    <w:p>
      <w:pPr>
        <w:ind w:firstLine="482"/>
        <w:spacing w:line="480" w:lineRule="exact"/>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32.2进口产品</w:t>
      </w:r>
      <w:r/>
    </w:p>
    <w:p>
      <w:pPr>
        <w:pStyle w:val="710"/>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进口产品</w:t>
      </w:r>
      <w:r>
        <w:rPr>
          <w:rFonts w:hint="eastAsia" w:ascii="宋体" w:hAnsi="宋体" w:eastAsia="宋体" w:cs="宋体"/>
          <w:color w:val="000000"/>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480" w:lineRule="exact"/>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32.3中小企业、监狱企业及残疾人福利性单位</w:t>
      </w:r>
      <w:r/>
    </w:p>
    <w:p>
      <w:pPr>
        <w:pStyle w:val="710"/>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32.3.1中小企业定义：</w:t>
      </w:r>
      <w:r/>
    </w:p>
    <w:p>
      <w:pPr>
        <w:pStyle w:val="710"/>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中小企业是</w:t>
      </w:r>
      <w:r>
        <w:rPr>
          <w:rFonts w:hint="eastAsia" w:ascii="宋体" w:hAnsi="宋体" w:eastAsia="宋体" w:cs="宋体"/>
          <w:color w:val="000000"/>
          <w:sz w:val="24"/>
          <w:szCs w:val="24"/>
          <w:highlight w:val="none"/>
          <w:lang w:val="en-US" w:eastAsia="zh-CN"/>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710"/>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32.3.2供应商提供的货物、工程或者服务符合下列情形的，享受中小企业扶持政策：</w:t>
      </w:r>
      <w:r/>
    </w:p>
    <w:p>
      <w:pPr>
        <w:pStyle w:val="710"/>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32.3.2.1在货物采购项目中，货物由中小企业制造，即货物由中小企业生产且使用该中小企业商号或者注册商标；</w:t>
      </w:r>
      <w:r/>
    </w:p>
    <w:p>
      <w:pPr>
        <w:pStyle w:val="710"/>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32.3.2.2在工程采购项目中，工程由中小企业承建，即工程施工单位为中小企业；</w:t>
      </w:r>
      <w:r/>
    </w:p>
    <w:p>
      <w:pPr>
        <w:pStyle w:val="710"/>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32.3.2.3在服务采购项目中，服务由中小企业承接，即提供服务的人员为中小企业依照《中华人民共和国劳动合同法》订立劳动合同的从业人员。</w:t>
      </w:r>
      <w:r/>
    </w:p>
    <w:p>
      <w:pPr>
        <w:pStyle w:val="710"/>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32.3.3在货物采购项目中，供应商提供的货物既有中小企业制造货物，也有大型企业制造货物的，不享受中小企业扶持政策。</w:t>
      </w:r>
      <w:r/>
    </w:p>
    <w:p>
      <w:pPr>
        <w:pStyle w:val="710"/>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32.3.4以联合体形式参加政府采购活动，联合体各方均为中小企业的，联合体视同中小企业。其中，联合体各方均为小微企业的，联合体视同小微企业。</w:t>
      </w:r>
      <w:r/>
    </w:p>
    <w:p>
      <w:pPr>
        <w:pStyle w:val="710"/>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710"/>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32.3.6残疾人福利单位定义：享受政府采购支持政策的残疾人福利性单位应当同时满足以下条件：</w:t>
      </w:r>
      <w:r/>
    </w:p>
    <w:p>
      <w:pPr>
        <w:pStyle w:val="710"/>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32.3.6.1安置的残疾人占本单位在职职工人数的比例不低于25%（含25%），并且安置的残疾人人数不少于10 人（含10 人）；</w:t>
      </w:r>
      <w:r/>
    </w:p>
    <w:p>
      <w:pPr>
        <w:pStyle w:val="710"/>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32.3.6.2依法与安置的每位残疾人签订了一年以上（含一年）的劳动合同或服务协议；</w:t>
      </w:r>
      <w:r/>
    </w:p>
    <w:p>
      <w:pPr>
        <w:pStyle w:val="710"/>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32.3.6.3为安置的每位残疾人按月足额缴纳了基本养老保险、基本医疗保险、失业保险、工伤保险和生育保险等社会保险费；</w:t>
      </w:r>
      <w:r/>
    </w:p>
    <w:p>
      <w:pPr>
        <w:pStyle w:val="710"/>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32.3.6.4通过银行等金融机构向安置的每位残疾人，按月支付了不低于单位所在区县适用的经省级人民政府批准的月最低工资标准的工资；</w:t>
      </w:r>
      <w:r/>
    </w:p>
    <w:p>
      <w:pPr>
        <w:pStyle w:val="710"/>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32.3.6.5提供本单位制造的货物、承担的工程或者服务（以下简称产品），或者提供其他残疾人福利性单位制造的货物（不包括使用非残疾人福利性单位注册商标的货物）；</w:t>
      </w:r>
      <w:r/>
    </w:p>
    <w:p>
      <w:pPr>
        <w:pStyle w:val="710"/>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710"/>
        <w:ind w:firstLine="480"/>
        <w:jc w:val="both"/>
        <w:spacing w:beforeAutospacing="0" w:afterAutospacing="0" w:line="0" w:lineRule="atLeast"/>
        <w:rPr>
          <w:rFonts w:hint="eastAsia" w:ascii="宋体" w:hAnsi="宋体" w:eastAsia="宋体" w:cs="宋体"/>
          <w:color w:val="000000"/>
          <w:sz w:val="24"/>
          <w:szCs w:val="24"/>
          <w:highlight w:val="yellow"/>
          <w:lang w:val="en-US" w:eastAsia="zh-CN"/>
        </w:rPr>
      </w:pPr>
      <w:r>
        <w:rPr>
          <w:rFonts w:hint="eastAsia" w:ascii="宋体" w:hAnsi="宋体" w:eastAsia="宋体" w:cs="宋体"/>
          <w:color w:val="000000"/>
          <w:sz w:val="24"/>
          <w:szCs w:val="24"/>
          <w:highlight w:val="none"/>
          <w:lang w:val="en-US" w:eastAsia="zh-CN"/>
        </w:rPr>
        <w:t xml:space="preserve">32.3.7本项目是否专门面向中小企业预留采购份额见第一章《</w:t>
      </w:r>
      <w:r>
        <w:rPr>
          <w:rFonts w:hint="eastAsia" w:ascii="宋体" w:hAnsi="宋体" w:eastAsia="宋体" w:cs="宋体"/>
          <w:color w:val="auto"/>
          <w:sz w:val="24"/>
          <w:szCs w:val="24"/>
          <w:highlight w:val="none"/>
          <w:lang w:val="en-US" w:eastAsia="zh-CN"/>
        </w:rPr>
        <w:t xml:space="preserve">招标公告</w:t>
      </w:r>
      <w:r>
        <w:rPr>
          <w:rFonts w:hint="eastAsia" w:ascii="宋体" w:hAnsi="宋体" w:eastAsia="宋体" w:cs="宋体"/>
          <w:color w:val="000000"/>
          <w:sz w:val="24"/>
          <w:szCs w:val="24"/>
          <w:highlight w:val="none"/>
          <w:lang w:val="en-US" w:eastAsia="zh-CN"/>
        </w:rPr>
        <w:t xml:space="preserve">》。</w:t>
      </w:r>
      <w:r/>
    </w:p>
    <w:p>
      <w:pPr>
        <w:pStyle w:val="710"/>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32.3.8采购标的对应的中小企业划分标准所属行业见第四章《采购需求》。</w:t>
      </w:r>
      <w:r/>
    </w:p>
    <w:p>
      <w:pPr>
        <w:pStyle w:val="710"/>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32.3.9小微企业价格评审优惠的政策：见第五章《评标方法和评标标准》。</w:t>
      </w:r>
      <w:r/>
    </w:p>
    <w:p>
      <w:pPr>
        <w:pStyle w:val="710"/>
        <w:ind w:firstLine="480"/>
        <w:jc w:val="both"/>
        <w:keepLines/>
        <w:keepNext/>
        <w:spacing w:beforeAutospacing="0" w:afterAutospacing="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32.4政府采购节能产品、环境标志产品</w:t>
      </w:r>
      <w:r/>
    </w:p>
    <w:p>
      <w:pPr>
        <w:pStyle w:val="710"/>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32.4.1严格执行政府采购关于支持</w:t>
      </w:r>
      <w:r>
        <w:rPr>
          <w:rFonts w:hint="eastAsia" w:ascii="宋体" w:hAnsi="宋体" w:eastAsia="宋体" w:cs="宋体"/>
          <w:color w:val="000000"/>
          <w:sz w:val="24"/>
          <w:szCs w:val="24"/>
          <w:highlight w:val="none"/>
          <w:lang w:val="en-US" w:eastAsia="zh-CN"/>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710"/>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710"/>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32.5绿色包装</w:t>
      </w:r>
      <w:r/>
    </w:p>
    <w:p>
      <w:pPr>
        <w:pStyle w:val="710"/>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spacing w:line="480" w:lineRule="exact"/>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32.6政府采购创新产品</w:t>
      </w:r>
      <w:r/>
    </w:p>
    <w:p>
      <w:pPr>
        <w:pStyle w:val="710"/>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采购人优先采购各级政府部门公开发布的有效期内的创新产品、创新服务、首台套、首购首用等《目录》的创新产品。</w:t>
      </w:r>
      <w:r/>
    </w:p>
    <w:p>
      <w:pPr>
        <w:ind w:firstLine="482"/>
        <w:spacing w:line="480" w:lineRule="exact"/>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32.7绿色数据中心政策 </w:t>
      </w:r>
      <w:r/>
    </w:p>
    <w:p>
      <w:pPr>
        <w:pStyle w:val="710"/>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本文件中若涉及到数据中心采购，采购人应依据《绿色数据中心政府采购需求标准（试行）》（财办库〔2023〕7号）文件精神</w:t>
      </w:r>
      <w:r>
        <w:rPr>
          <w:rFonts w:hint="eastAsia" w:ascii="宋体" w:hAnsi="宋体" w:eastAsia="宋体" w:cs="宋体"/>
          <w:color w:val="000000"/>
          <w:sz w:val="24"/>
          <w:szCs w:val="24"/>
          <w:highlight w:val="none"/>
          <w:lang w:val="en-US" w:eastAsia="zh-CN"/>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480" w:lineRule="exact"/>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32.8履约保证金政策</w:t>
      </w:r>
      <w:r/>
    </w:p>
    <w:p>
      <w:pPr>
        <w:pStyle w:val="710"/>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确需收取履约保证金的，履约保证金的缴纳形式：</w:t>
      </w:r>
      <w:r/>
    </w:p>
    <w:p>
      <w:pPr>
        <w:pStyle w:val="710"/>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710"/>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如以履约保函（保险）形式缴纳履约保证金，供应商可通过政府采购电子履约保函（保险）平台（www.jsdzbh.com）在线申请履约保函（保险）。</w:t>
      </w:r>
      <w:r/>
    </w:p>
    <w:p>
      <w:pPr>
        <w:pStyle w:val="710"/>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履约保证金金额不得超过合同金额的10%，采购人对第三方信用服务机构依据标准规范评定为AA 级及以上的政府采购供应商（需在签订采购合同前提供信用管理部门备案的第三方信用报告，且信用报告通过“信用盐城网”可查实），免收履约保证金或降低履约保证金缴纳比例。</w:t>
      </w:r>
      <w:r/>
    </w:p>
    <w:p>
      <w:pPr>
        <w:pStyle w:val="710"/>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 预付款制度</w:t>
      </w:r>
      <w:r/>
    </w:p>
    <w:p>
      <w:pPr>
        <w:pStyle w:val="710"/>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本项目落实预付款制度，预付款比例为30%</w:t>
      </w:r>
      <w:r>
        <w:rPr>
          <w:rFonts w:hint="eastAsia" w:ascii="宋体" w:hAnsi="宋体" w:eastAsia="宋体" w:cs="宋体"/>
          <w:color w:val="auto"/>
          <w:sz w:val="24"/>
          <w:szCs w:val="24"/>
          <w:highlight w:val="none"/>
          <w:shd w:val="clear" w:color="auto" w:fill="auto"/>
          <w:lang w:val="en-US" w:eastAsia="zh-CN" w:bidi="ar-SA"/>
        </w:rPr>
        <w:t xml:space="preserve">（原则上不低于合同金额的30%）</w:t>
      </w:r>
      <w:r>
        <w:rPr>
          <w:rFonts w:hint="eastAsia" w:ascii="宋体" w:hAnsi="宋体" w:eastAsia="宋体" w:cs="宋体"/>
          <w:color w:val="000000"/>
          <w:sz w:val="24"/>
          <w:szCs w:val="24"/>
          <w:highlight w:val="none"/>
          <w:lang w:val="en-US" w:eastAsia="zh-CN"/>
        </w:rPr>
        <w:t xml:space="preserve">。在签订合同时，中标、成交供应商明确书面表示无需预付款或者主动要求降低预付款比例的，采购人可就预付款比例作相应调整。</w:t>
      </w:r>
      <w:r/>
    </w:p>
    <w:p>
      <w:pPr>
        <w:rPr>
          <w:rFonts w:hint="eastAsia" w:ascii="黑体" w:hAnsi="宋体" w:eastAsia="黑体" w:cs="黑体"/>
          <w:color w:val="000000"/>
          <w:sz w:val="24"/>
          <w:szCs w:val="24"/>
          <w:highlight w:val="none"/>
        </w:rPr>
      </w:pPr>
      <w:r>
        <w:rPr>
          <w:rFonts w:hint="eastAsia" w:ascii="黑体" w:hAnsi="宋体" w:eastAsia="黑体" w:cs="黑体"/>
          <w:color w:val="000000"/>
          <w:sz w:val="24"/>
          <w:szCs w:val="24"/>
          <w:highlight w:val="none"/>
        </w:rPr>
        <w:br w:type="page" w:clear="all"/>
      </w:r>
      <w:r/>
    </w:p>
    <w:p>
      <w:pPr>
        <w:pStyle w:val="710"/>
        <w:ind w:firstLine="2429"/>
        <w:jc w:val="both"/>
        <w:keepLines/>
        <w:keepNext/>
        <w:spacing w:before="260" w:beforeAutospacing="0" w:after="260" w:afterAutospacing="0" w:line="415" w:lineRule="auto"/>
        <w:rPr>
          <w:rFonts w:hint="eastAsia" w:ascii="黑体" w:hAnsi="宋体" w:eastAsia="黑体" w:cs="黑体"/>
          <w:b/>
          <w:color w:val="000000"/>
          <w:sz w:val="44"/>
          <w:szCs w:val="44"/>
          <w:highlight w:val="none"/>
        </w:rPr>
      </w:pPr>
      <w:r>
        <w:rPr>
          <w:rFonts w:hint="eastAsia" w:ascii="黑体" w:hAnsi="宋体" w:eastAsia="黑体" w:cs="黑体"/>
          <w:b/>
          <w:color w:val="000000"/>
          <w:sz w:val="44"/>
          <w:szCs w:val="44"/>
          <w:highlight w:val="none"/>
        </w:rPr>
        <w:t xml:space="preserve">第三章  合同文本</w:t>
      </w:r>
      <w:r/>
    </w:p>
    <w:p>
      <w:pPr>
        <w:pStyle w:val="710"/>
        <w:ind w:firstLine="480"/>
        <w:jc w:val="both"/>
        <w:keepLines w:val="0"/>
        <w:keepNext w:val="0"/>
        <w:pageBreakBefore w:val="0"/>
        <w:spacing w:beforeAutospacing="0" w:afterAutospacing="0" w:line="500" w:lineRule="exact"/>
        <w:widowControl w:val="off"/>
        <w:rPr>
          <w:sz w:val="24"/>
          <w:szCs w:val="24"/>
          <w:highlight w:val="none"/>
        </w:rPr>
      </w:pPr>
      <w:r/>
      <w:bookmarkStart w:id="169" w:name="_Toc20823315"/>
      <w:r/>
      <w:bookmarkStart w:id="170" w:name="_Toc16938559"/>
      <w:r/>
      <w:bookmarkStart w:id="171" w:name="_Toc513029243"/>
      <w:r>
        <w:rPr>
          <w:rFonts w:hint="eastAsia" w:ascii="宋体" w:hAnsi="宋体" w:eastAsia="宋体" w:cs="宋体"/>
          <w:color w:val="000000"/>
          <w:sz w:val="24"/>
          <w:szCs w:val="24"/>
          <w:highlight w:val="none"/>
        </w:rPr>
        <w:t xml:space="preserve">以下为中标后</w:t>
      </w:r>
      <w:r>
        <w:rPr>
          <w:rFonts w:hint="eastAsia" w:ascii="宋体" w:hAnsi="宋体" w:eastAsia="宋体" w:cs="宋体"/>
          <w:color w:val="000000"/>
          <w:sz w:val="24"/>
          <w:szCs w:val="24"/>
          <w:highlight w:val="none"/>
          <w:lang w:eastAsia="zh-CN"/>
        </w:rPr>
        <w:t xml:space="preserve">签订</w:t>
      </w:r>
      <w:r>
        <w:rPr>
          <w:rFonts w:hint="eastAsia" w:ascii="宋体" w:hAnsi="宋体" w:eastAsia="宋体" w:cs="宋体"/>
          <w:color w:val="000000"/>
          <w:sz w:val="24"/>
          <w:szCs w:val="24"/>
          <w:highlight w:val="none"/>
        </w:rPr>
        <w:t xml:space="preserve">本项目合同的通用条款，中标人不得提出实质性的修改。</w:t>
      </w:r>
      <w:bookmarkEnd w:id="169"/>
      <w:r/>
      <w:bookmarkEnd w:id="170"/>
      <w:r/>
      <w:bookmarkEnd w:id="171"/>
      <w:r/>
      <w:r/>
    </w:p>
    <w:p>
      <w:pPr>
        <w:pStyle w:val="710"/>
        <w:jc w:val="center"/>
        <w:keepLines w:val="0"/>
        <w:keepNext w:val="0"/>
        <w:pageBreakBefore w:val="0"/>
        <w:spacing w:before="145" w:beforeAutospacing="0" w:after="145" w:afterAutospacing="0" w:line="500" w:lineRule="exact"/>
        <w:widowControl w:val="off"/>
        <w:rPr>
          <w:sz w:val="24"/>
          <w:szCs w:val="24"/>
          <w:highlight w:val="none"/>
        </w:rPr>
      </w:pPr>
      <w:r>
        <w:rPr>
          <w:sz w:val="24"/>
          <w:szCs w:val="24"/>
          <w:highlight w:val="none"/>
        </w:rPr>
        <w:t xml:space="preserve"> </w:t>
      </w:r>
      <w:r/>
    </w:p>
    <w:p>
      <w:pPr>
        <w:pStyle w:val="710"/>
        <w:jc w:val="center"/>
        <w:keepLines w:val="0"/>
        <w:keepNext w:val="0"/>
        <w:pageBreakBefore w:val="0"/>
        <w:spacing w:before="145" w:beforeAutospacing="0" w:after="145"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盐城市政府采购合同（服务）（合同编号）</w:t>
      </w:r>
      <w:r/>
    </w:p>
    <w:p>
      <w:pPr>
        <w:pStyle w:val="710"/>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lang w:val="en-US" w:eastAsia="zh-CN"/>
        </w:rPr>
        <w:t xml:space="preserve">阜宁</w:t>
      </w:r>
      <w:r>
        <w:rPr>
          <w:rFonts w:hint="eastAsia" w:ascii="宋体" w:hAnsi="宋体" w:eastAsia="宋体" w:cs="宋体"/>
          <w:color w:val="auto"/>
          <w:sz w:val="24"/>
          <w:szCs w:val="24"/>
          <w:highlight w:val="none"/>
        </w:rPr>
        <w:t xml:space="preserve">县市场监督管理局202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-202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年度农贸（农批）市场快检运维服务项目</w:t>
      </w:r>
      <w:r/>
    </w:p>
    <w:p>
      <w:pPr>
        <w:pStyle w:val="710"/>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项目编号：</w:t>
      </w:r>
      <w:r>
        <w:rPr>
          <w:rFonts w:ascii="Segoe UI" w:hAnsi="Segoe UI" w:eastAsia="Segoe UI" w:cs="Segoe UI"/>
          <w:i w:val="0"/>
          <w:iCs w:val="0"/>
          <w:caps w:val="0"/>
          <w:spacing w:val="0"/>
          <w:sz w:val="21"/>
          <w:szCs w:val="21"/>
          <w:shd w:val="clear" w:color="auto" w:fill="ffffff"/>
        </w:rPr>
        <w:t xml:space="preserve">JSZC-320923-ZCGL-G2026-0009</w:t>
      </w:r>
      <w:r/>
    </w:p>
    <w:p>
      <w:pPr>
        <w:pStyle w:val="710"/>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甲方：（买方）</w:t>
      </w:r>
      <w:r>
        <w:rPr>
          <w:rFonts w:hint="eastAsia" w:ascii="宋体" w:hAnsi="宋体" w:eastAsia="宋体" w:cs="宋体"/>
          <w:sz w:val="24"/>
          <w:szCs w:val="24"/>
          <w:highlight w:val="none"/>
          <w:lang w:val="en-US" w:eastAsia="zh-CN"/>
        </w:rPr>
        <w:t xml:space="preserve">阜宁</w:t>
      </w:r>
      <w:r>
        <w:rPr>
          <w:rFonts w:hint="eastAsia" w:ascii="宋体" w:hAnsi="宋体" w:eastAsia="宋体" w:cs="宋体"/>
          <w:sz w:val="24"/>
          <w:szCs w:val="24"/>
          <w:highlight w:val="none"/>
        </w:rPr>
        <w:t xml:space="preserve">县市场监督管理局</w:t>
      </w:r>
      <w:r/>
    </w:p>
    <w:p>
      <w:pPr>
        <w:pStyle w:val="710"/>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乙方：（卖方）_________</w:t>
      </w:r>
      <w:r/>
    </w:p>
    <w:p>
      <w:pPr>
        <w:pStyle w:val="710"/>
        <w:jc w:val="both"/>
        <w:keepLines w:val="0"/>
        <w:keepNext w:val="0"/>
        <w:pageBreakBefore w:val="0"/>
        <w:spacing w:before="120" w:beforeAutospacing="0" w:after="120" w:afterAutospacing="0" w:line="500" w:lineRule="exact"/>
        <w:widowControl w:val="off"/>
        <w:rPr>
          <w:color w:val="ff0000"/>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甲、乙双方根据</w:t>
      </w:r>
      <w:r>
        <w:rPr>
          <w:rFonts w:hint="eastAsia" w:ascii="宋体" w:hAnsi="宋体" w:eastAsia="宋体" w:cs="宋体"/>
          <w:color w:val="auto"/>
          <w:sz w:val="24"/>
          <w:szCs w:val="24"/>
          <w:highlight w:val="none"/>
          <w:lang w:val="en-US" w:eastAsia="zh-CN"/>
        </w:rPr>
        <w:t xml:space="preserve">阜宁</w:t>
      </w:r>
      <w:r>
        <w:rPr>
          <w:rFonts w:hint="eastAsia" w:ascii="宋体" w:hAnsi="宋体" w:eastAsia="宋体" w:cs="宋体"/>
          <w:color w:val="auto"/>
          <w:sz w:val="24"/>
          <w:szCs w:val="24"/>
          <w:highlight w:val="none"/>
        </w:rPr>
        <w:t xml:space="preserve">县市场监督管理局202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-202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年度农贸（农批）市场快检运维服务项目公开招标的结果，签署本合同。</w:t>
      </w:r>
      <w:r/>
    </w:p>
    <w:p>
      <w:pPr>
        <w:pStyle w:val="710"/>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一、合同内容</w:t>
      </w:r>
      <w:r/>
    </w:p>
    <w:p>
      <w:pPr>
        <w:pStyle w:val="710"/>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 标的名称：阜宁县农贸市场检测室及水产品交易点检测服务</w:t>
      </w:r>
      <w:r/>
    </w:p>
    <w:p>
      <w:pPr>
        <w:pStyle w:val="710"/>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 标的质量：必须严格按照国家市场监督管理总局（原国家食品药品监督管理总局）规定的快速检测方法和技术标准进行检测，对于国家市场监督管理总局（原国家食品药品监督管理总局）未规定的快速检测方法和技术标准，供应商须参照行业标准或江苏省地方标准执行。运营期内按照采购人要求保质保量完成每一份检测。</w:t>
      </w:r>
      <w:r/>
    </w:p>
    <w:p>
      <w:pPr>
        <w:pStyle w:val="710"/>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 标的数量（规模）：为阜宁县区域内的农（批）贸市场，通过派驻专(兼）</w:t>
      </w:r>
      <w:r/>
    </w:p>
    <w:p>
      <w:pPr>
        <w:pStyle w:val="710"/>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highlight w:val="none"/>
          <w:lang w:val="en-US" w:eastAsia="zh-CN" w:bidi="ar"/>
        </w:rPr>
      </w:pPr>
      <w:r>
        <w:rPr>
          <w:rFonts w:hint="eastAsia" w:ascii="宋体" w:hAnsi="宋体" w:eastAsia="宋体" w:cs="宋体"/>
          <w:color w:val="000000"/>
          <w:sz w:val="24"/>
          <w:szCs w:val="24"/>
          <w:highlight w:val="none"/>
        </w:rPr>
        <w:t xml:space="preserve">职检测人员的方式，提供市场内“七鱼”、“三菜”、“一蛋”抽样、快速检测、结果公示等服务，</w:t>
      </w:r>
      <w:r>
        <w:rPr>
          <w:rFonts w:hint="eastAsia" w:ascii="宋体" w:hAnsi="宋体" w:eastAsia="宋体" w:cs="宋体"/>
          <w:color w:val="auto"/>
          <w:sz w:val="24"/>
          <w:szCs w:val="24"/>
          <w:highlight w:val="none"/>
          <w:lang w:val="en-US" w:eastAsia="zh-CN" w:bidi="ar"/>
        </w:rPr>
        <w:t xml:space="preserve">服</w:t>
      </w:r>
      <w:r>
        <w:rPr>
          <w:rFonts w:hint="eastAsia" w:ascii="宋体" w:hAnsi="宋体" w:eastAsia="宋体" w:cs="宋体"/>
          <w:color w:val="auto"/>
          <w:sz w:val="24"/>
          <w:szCs w:val="24"/>
          <w:highlight w:val="none"/>
          <w:lang w:eastAsia="zh-CN" w:bidi="ar"/>
        </w:rPr>
        <w:t xml:space="preserve">务期内重点问题食用农产品检测样本数量不少于</w:t>
      </w:r>
      <w:r>
        <w:rPr>
          <w:rFonts w:hint="eastAsia" w:ascii="宋体" w:hAnsi="宋体" w:eastAsia="宋体" w:cs="宋体"/>
          <w:color w:val="auto"/>
          <w:sz w:val="24"/>
          <w:szCs w:val="24"/>
          <w:highlight w:val="none"/>
          <w:lang w:val="en-US" w:eastAsia="zh-CN" w:bidi="ar"/>
        </w:rPr>
        <w:t xml:space="preserve">40000</w:t>
      </w:r>
      <w:r>
        <w:rPr>
          <w:rFonts w:hint="eastAsia" w:ascii="宋体" w:hAnsi="宋体" w:eastAsia="宋体" w:cs="宋体"/>
          <w:color w:val="auto"/>
          <w:sz w:val="24"/>
          <w:szCs w:val="24"/>
          <w:highlight w:val="none"/>
          <w:lang w:eastAsia="zh-CN" w:bidi="ar"/>
        </w:rPr>
        <w:t xml:space="preserve">个</w:t>
      </w:r>
      <w:r>
        <w:rPr>
          <w:rFonts w:hint="eastAsia" w:ascii="宋体" w:hAnsi="宋体" w:eastAsia="宋体" w:cs="宋体"/>
          <w:color w:val="auto"/>
          <w:sz w:val="24"/>
          <w:szCs w:val="24"/>
          <w:highlight w:val="none"/>
          <w:u w:val="none"/>
          <w:lang w:val="en-US" w:eastAsia="zh-CN"/>
        </w:rPr>
        <w:t xml:space="preserve">（其中</w:t>
      </w:r>
      <w:r>
        <w:rPr>
          <w:rFonts w:hint="default" w:ascii="宋体" w:hAnsi="宋体" w:eastAsia="宋体" w:cs="宋体"/>
          <w:color w:val="auto"/>
          <w:sz w:val="24"/>
          <w:szCs w:val="24"/>
          <w:highlight w:val="none"/>
          <w:u w:val="none"/>
          <w:lang w:val="en-US" w:eastAsia="zh-CN"/>
        </w:rPr>
        <w:t xml:space="preserve">“七条鱼</w:t>
      </w:r>
      <w:r>
        <w:rPr>
          <w:rFonts w:hint="eastAsia" w:ascii="宋体" w:hAnsi="宋体" w:eastAsia="宋体" w:cs="宋体"/>
          <w:color w:val="auto"/>
          <w:sz w:val="24"/>
          <w:szCs w:val="24"/>
          <w:highlight w:val="none"/>
          <w:u w:val="none"/>
          <w:lang w:val="en-US" w:eastAsia="zh-CN"/>
        </w:rPr>
        <w:t xml:space="preserve">与海参</w:t>
      </w:r>
      <w:r>
        <w:rPr>
          <w:rFonts w:hint="default" w:ascii="宋体" w:hAnsi="宋体" w:eastAsia="宋体" w:cs="宋体"/>
          <w:color w:val="auto"/>
          <w:sz w:val="24"/>
          <w:szCs w:val="24"/>
          <w:highlight w:val="none"/>
          <w:u w:val="none"/>
          <w:lang w:val="en-US" w:eastAsia="zh-CN"/>
        </w:rPr>
        <w:t xml:space="preserve">”</w:t>
      </w:r>
      <w:r>
        <w:rPr>
          <w:rFonts w:hint="eastAsia" w:ascii="宋体" w:hAnsi="宋体" w:eastAsia="宋体" w:cs="宋体"/>
          <w:color w:val="auto"/>
          <w:sz w:val="24"/>
          <w:szCs w:val="24"/>
          <w:highlight w:val="none"/>
          <w:u w:val="none"/>
          <w:lang w:val="en-US" w:eastAsia="zh-CN"/>
        </w:rPr>
        <w:t xml:space="preserve">样本不少于24000个，</w:t>
      </w:r>
      <w:r>
        <w:rPr>
          <w:rStyle w:val="872"/>
          <w:rFonts w:hint="eastAsia" w:ascii="宋体" w:hAnsi="宋体"/>
          <w:b w:val="0"/>
          <w:i w:val="0"/>
          <w:caps w:val="0"/>
          <w:color w:val="auto"/>
          <w:spacing w:val="0"/>
          <w:sz w:val="24"/>
          <w:szCs w:val="24"/>
          <w:highlight w:val="none"/>
          <w:lang w:val="en-US" w:eastAsia="zh-CN" w:bidi="ar-SA"/>
        </w:rPr>
        <w:t xml:space="preserve">其余重点问题食用农产品样本不少于16000个</w:t>
      </w:r>
      <w:r>
        <w:rPr>
          <w:rFonts w:hint="eastAsia" w:ascii="宋体" w:hAnsi="宋体" w:eastAsia="宋体" w:cs="宋体"/>
          <w:color w:val="auto"/>
          <w:sz w:val="24"/>
          <w:szCs w:val="24"/>
          <w:highlight w:val="none"/>
          <w:u w:val="none"/>
          <w:lang w:val="en-US" w:eastAsia="zh-CN"/>
        </w:rPr>
        <w:t xml:space="preserve">），总检测参数不少于</w:t>
      </w:r>
      <w:r>
        <w:rPr>
          <w:rFonts w:hint="eastAsia" w:ascii="宋体" w:hAnsi="宋体" w:eastAsia="宋体" w:cs="宋体"/>
          <w:color w:val="auto"/>
          <w:sz w:val="24"/>
          <w:szCs w:val="24"/>
          <w:highlight w:val="none"/>
          <w:lang w:val="en-US" w:eastAsia="zh-CN"/>
        </w:rPr>
        <w:t xml:space="preserve">172320</w:t>
      </w:r>
      <w:r>
        <w:rPr>
          <w:rStyle w:val="872"/>
          <w:rFonts w:hint="eastAsia" w:ascii="宋体" w:hAnsi="宋体"/>
          <w:b w:val="0"/>
          <w:i w:val="0"/>
          <w:caps w:val="0"/>
          <w:color w:val="auto"/>
          <w:spacing w:val="0"/>
          <w:sz w:val="24"/>
          <w:szCs w:val="24"/>
          <w:highlight w:val="none"/>
          <w:lang w:val="en-US" w:eastAsia="zh-CN" w:bidi="ar-SA"/>
        </w:rPr>
        <w:t xml:space="preserve">参数（其中“七条鱼与海参”样本不少于60000参数，其余重点问题食用农产品样本不少于34000参数，猪肉、牛</w:t>
      </w:r>
      <w:r>
        <w:rPr>
          <w:rStyle w:val="872"/>
          <w:rFonts w:hint="eastAsia" w:ascii="宋体" w:hAnsi="宋体" w:eastAsia="宋体"/>
          <w:b w:val="0"/>
          <w:i w:val="0"/>
          <w:caps w:val="0"/>
          <w:color w:val="auto"/>
          <w:spacing w:val="0"/>
          <w:sz w:val="24"/>
          <w:szCs w:val="24"/>
          <w:highlight w:val="none"/>
          <w:lang w:val="en-US" w:eastAsia="zh-CN" w:bidi="ar-SA"/>
        </w:rPr>
        <w:t xml:space="preserve">肉及其制品等临时调整品种10000个参数【由局里根据上级布置情况进行调整】</w:t>
      </w:r>
      <w:r>
        <w:rPr>
          <w:rStyle w:val="872"/>
          <w:rFonts w:hint="eastAsia" w:ascii="宋体" w:hAnsi="宋体"/>
          <w:b w:val="0"/>
          <w:i w:val="0"/>
          <w:caps w:val="0"/>
          <w:color w:val="auto"/>
          <w:spacing w:val="0"/>
          <w:sz w:val="24"/>
          <w:szCs w:val="24"/>
          <w:highlight w:val="none"/>
          <w:lang w:val="en-US" w:eastAsia="zh-CN" w:bidi="ar-SA"/>
        </w:rPr>
        <w:t xml:space="preserve">），鸡蛋不少于1600参数，螃蟹不少于720参数</w:t>
      </w:r>
      <w:r>
        <w:rPr>
          <w:rFonts w:hint="eastAsia" w:ascii="宋体" w:hAnsi="宋体" w:eastAsia="宋体" w:cs="宋体"/>
          <w:color w:val="auto"/>
          <w:sz w:val="24"/>
          <w:highlight w:val="none"/>
          <w:lang w:eastAsia="zh-CN"/>
        </w:rPr>
        <w:t xml:space="preserve">。其他普通农残不少于</w:t>
      </w:r>
      <w:r>
        <w:rPr>
          <w:rFonts w:hint="eastAsia" w:ascii="宋体" w:hAnsi="宋体" w:eastAsia="宋体" w:cs="宋体"/>
          <w:color w:val="auto"/>
          <w:sz w:val="24"/>
          <w:highlight w:val="none"/>
          <w:lang w:val="en-US" w:eastAsia="zh-CN"/>
        </w:rPr>
        <w:t xml:space="preserve">66000参数。</w:t>
      </w:r>
      <w:r>
        <w:rPr>
          <w:rFonts w:hint="eastAsia" w:ascii="宋体" w:hAnsi="宋体" w:eastAsia="宋体" w:cs="宋体"/>
          <w:color w:val="000000"/>
          <w:sz w:val="24"/>
          <w:highlight w:val="none"/>
          <w:lang w:val="en-US" w:eastAsia="zh-CN" w:bidi="ar"/>
        </w:rPr>
        <w:t xml:space="preserve"> </w:t>
      </w:r>
      <w:r/>
    </w:p>
    <w:p>
      <w:pPr>
        <w:pStyle w:val="710"/>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 履行时间（期限）：1 年，自 202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 年 </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 月 1 日至 202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 年 </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月 3</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 日止。快检费用由中标方</w:t>
      </w:r>
      <w:r>
        <w:rPr>
          <w:rFonts w:hint="eastAsia" w:ascii="宋体" w:hAnsi="宋体" w:eastAsia="宋体" w:cs="宋体"/>
          <w:color w:val="000000"/>
          <w:sz w:val="24"/>
          <w:szCs w:val="24"/>
          <w:highlight w:val="none"/>
          <w:lang w:eastAsia="zh-CN"/>
        </w:rPr>
        <w:t xml:space="preserve">检测结束后</w:t>
      </w:r>
      <w:r>
        <w:rPr>
          <w:rFonts w:hint="eastAsia" w:ascii="宋体" w:hAnsi="宋体" w:eastAsia="宋体" w:cs="宋体"/>
          <w:color w:val="000000"/>
          <w:sz w:val="24"/>
          <w:szCs w:val="24"/>
          <w:highlight w:val="none"/>
        </w:rPr>
        <w:t xml:space="preserve">报第三方审计，最终以审计</w:t>
      </w:r>
      <w:r>
        <w:rPr>
          <w:rFonts w:hint="eastAsia" w:ascii="宋体" w:hAnsi="宋体" w:eastAsia="宋体" w:cs="宋体"/>
          <w:color w:val="000000"/>
          <w:sz w:val="24"/>
          <w:szCs w:val="24"/>
          <w:highlight w:val="none"/>
          <w:lang w:eastAsia="zh-CN"/>
        </w:rPr>
        <w:t xml:space="preserve">结果</w:t>
      </w:r>
      <w:r>
        <w:rPr>
          <w:rFonts w:hint="eastAsia" w:ascii="宋体" w:hAnsi="宋体" w:eastAsia="宋体" w:cs="宋体"/>
          <w:color w:val="000000"/>
          <w:sz w:val="24"/>
          <w:szCs w:val="24"/>
          <w:highlight w:val="none"/>
        </w:rPr>
        <w:t xml:space="preserve">作为结算费用</w:t>
      </w:r>
      <w:r>
        <w:rPr>
          <w:rFonts w:hint="eastAsia" w:ascii="宋体" w:hAnsi="宋体" w:eastAsia="宋体" w:cs="宋体"/>
          <w:color w:val="000000"/>
          <w:sz w:val="24"/>
          <w:szCs w:val="24"/>
          <w:highlight w:val="none"/>
          <w:lang w:eastAsia="zh-CN"/>
        </w:rPr>
        <w:t xml:space="preserve">依据</w:t>
      </w:r>
      <w:r>
        <w:rPr>
          <w:rFonts w:hint="eastAsia" w:ascii="宋体" w:hAnsi="宋体" w:eastAsia="宋体" w:cs="宋体"/>
          <w:color w:val="000000"/>
          <w:sz w:val="24"/>
          <w:szCs w:val="24"/>
          <w:highlight w:val="none"/>
        </w:rPr>
        <w:t xml:space="preserve">。</w:t>
      </w:r>
      <w:r/>
    </w:p>
    <w:p>
      <w:pPr>
        <w:pStyle w:val="710"/>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 履行地点：阜宁县区域内 41 家农（批）贸市场和 </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家水产品集中交易点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3个批发市场（桥兴、实成水果及板湖螃蟹市场）和 38 个农贸市场,2 家水产集中交易点。</w:t>
      </w:r>
      <w:r/>
    </w:p>
    <w:p>
      <w:pPr>
        <w:pStyle w:val="710"/>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1.6 履行方式：按招标文件要求执行。</w:t>
      </w:r>
      <w:r/>
    </w:p>
    <w:p>
      <w:pPr>
        <w:pStyle w:val="710"/>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二、合同金额</w:t>
      </w:r>
      <w:r/>
    </w:p>
    <w:p>
      <w:pPr>
        <w:pStyle w:val="710"/>
        <w:ind w:left="410" w:hanging="410"/>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2.1本合同金额为（大写）：____________________________________圆（_______________元）人民币或其他币种。</w:t>
      </w:r>
      <w:r/>
    </w:p>
    <w:p>
      <w:pPr>
        <w:pStyle w:val="710"/>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三、技术资料</w:t>
      </w:r>
      <w:r/>
    </w:p>
    <w:p>
      <w:pPr>
        <w:pStyle w:val="710"/>
        <w:ind w:left="410" w:hanging="410"/>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3.1乙方应按招标文件规定的时间向甲方提供服务（包含与服务相关的货物）的有关技术资料。</w:t>
      </w:r>
      <w:r/>
    </w:p>
    <w:p>
      <w:pPr>
        <w:pStyle w:val="710"/>
        <w:ind w:left="410" w:hanging="410"/>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10"/>
        <w:ind w:left="412" w:hanging="412"/>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四、知识产权</w:t>
      </w:r>
      <w:r/>
    </w:p>
    <w:p>
      <w:pPr>
        <w:pStyle w:val="710"/>
        <w:ind w:firstLine="480"/>
        <w:jc w:val="both"/>
        <w:keepLines w:val="0"/>
        <w:keepNext w:val="0"/>
        <w:pageBreakBefore w:val="0"/>
        <w:spacing w:beforeAutospacing="0" w:afterAutospacing="0"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4.1乙方应保证甲方在使用、接受本合同服务（包含与服务相关的货物）或其任何一部分时不受第三方提出侵犯其专利权、版权、商标权和工业设计权等知</w:t>
      </w:r>
      <w:r>
        <w:rPr>
          <w:rFonts w:hint="eastAsia" w:ascii="宋体" w:hAnsi="宋体" w:eastAsia="宋体" w:cs="宋体"/>
          <w:color w:val="000000"/>
          <w:sz w:val="24"/>
          <w:szCs w:val="24"/>
          <w:highlight w:val="none"/>
          <w:lang w:val="en-US" w:eastAsia="zh-CN"/>
        </w:rPr>
        <w:t xml:space="preserve">识产权的起诉。一旦出现侵权，由乙方负全部责任。</w:t>
      </w:r>
      <w:r/>
    </w:p>
    <w:p>
      <w:pPr>
        <w:pStyle w:val="710"/>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五、产权担保</w:t>
      </w:r>
      <w:r/>
    </w:p>
    <w:p>
      <w:pPr>
        <w:pStyle w:val="710"/>
        <w:ind w:left="408" w:hanging="408"/>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5.1乙方保证所交付的服务（包含与服务相关的货物）的所有权完全属于乙方且无任何抵押、查封等产权瑕疵。</w:t>
      </w:r>
      <w:r/>
    </w:p>
    <w:p>
      <w:pPr>
        <w:pStyle w:val="710"/>
        <w:ind w:left="410" w:hanging="410"/>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六、履约保证金</w:t>
      </w:r>
      <w:r/>
    </w:p>
    <w:p>
      <w:pPr>
        <w:pStyle w:val="710"/>
        <w:jc w:val="both"/>
        <w:keepLines w:val="0"/>
        <w:keepNext w:val="0"/>
        <w:pageBreakBefore w:val="0"/>
        <w:spacing w:before="120" w:beforeAutospacing="0" w:after="120" w:afterAutospacing="0" w:line="50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6.1乙方交纳人民币_________元作为本合同的履约保证金。</w:t>
      </w:r>
      <w:r/>
    </w:p>
    <w:p>
      <w:pPr>
        <w:pStyle w:val="710"/>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2确需收取履约保证金的，</w:t>
      </w:r>
      <w:r>
        <w:rPr>
          <w:rFonts w:hint="eastAsia" w:ascii="宋体" w:hAnsi="宋体" w:eastAsia="宋体" w:cs="宋体"/>
          <w:color w:val="auto"/>
          <w:sz w:val="24"/>
          <w:szCs w:val="24"/>
          <w:highlight w:val="none"/>
          <w:lang w:eastAsia="zh-CN"/>
        </w:rPr>
        <w:t xml:space="preserve">履约保证金的缴纳形式：</w:t>
      </w:r>
      <w:r/>
    </w:p>
    <w:p>
      <w:pPr>
        <w:pStyle w:val="710"/>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6.2.1</w:t>
      </w:r>
      <w:r>
        <w:rPr>
          <w:rFonts w:hint="eastAsia" w:ascii="宋体" w:hAnsi="宋体" w:eastAsia="宋体" w:cs="宋体"/>
          <w:color w:val="auto"/>
          <w:sz w:val="24"/>
          <w:szCs w:val="24"/>
          <w:highlight w:val="none"/>
        </w:rPr>
        <w:t xml:space="preserve">供应商应当以支票、汇票、本票或者金融机构、担保机构出具的保函等非现金形式提交</w:t>
      </w:r>
      <w:r>
        <w:rPr>
          <w:rFonts w:hint="eastAsia" w:ascii="宋体" w:hAnsi="宋体" w:eastAsia="宋体" w:cs="宋体"/>
          <w:color w:val="auto"/>
          <w:sz w:val="24"/>
          <w:szCs w:val="24"/>
          <w:highlight w:val="none"/>
          <w:lang w:eastAsia="zh-CN"/>
        </w:rPr>
        <w:t xml:space="preserve">履约保证金</w:t>
      </w:r>
      <w:r>
        <w:rPr>
          <w:rFonts w:hint="eastAsia" w:ascii="宋体" w:hAnsi="宋体" w:eastAsia="宋体" w:cs="宋体"/>
          <w:color w:val="auto"/>
          <w:sz w:val="24"/>
          <w:szCs w:val="24"/>
          <w:highlight w:val="none"/>
        </w:rPr>
        <w:t xml:space="preserve">。依据《关于在全省政府采购领域推行电子履约保函（保险）的通知》，鼓励供应商自愿使用</w:t>
      </w:r>
      <w:r>
        <w:rPr>
          <w:rFonts w:hint="eastAsia" w:ascii="宋体" w:hAnsi="宋体" w:eastAsia="宋体" w:cs="宋体"/>
          <w:color w:val="auto"/>
          <w:sz w:val="24"/>
          <w:szCs w:val="24"/>
          <w:highlight w:val="none"/>
          <w:lang w:eastAsia="zh-CN"/>
        </w:rPr>
        <w:t xml:space="preserve">电子</w:t>
      </w:r>
      <w:r>
        <w:rPr>
          <w:rFonts w:hint="eastAsia" w:ascii="宋体" w:hAnsi="宋体" w:eastAsia="宋体" w:cs="宋体"/>
          <w:color w:val="auto"/>
          <w:sz w:val="24"/>
          <w:szCs w:val="24"/>
          <w:highlight w:val="none"/>
        </w:rPr>
        <w:t xml:space="preserve">履约保函（保险）代替缴纳履约保证金</w:t>
      </w:r>
      <w:r>
        <w:rPr>
          <w:rFonts w:hint="eastAsia" w:ascii="宋体" w:hAnsi="宋体" w:eastAsia="宋体" w:cs="宋体"/>
          <w:color w:val="auto"/>
          <w:sz w:val="24"/>
          <w:szCs w:val="24"/>
          <w:highlight w:val="none"/>
          <w:lang w:eastAsia="zh-CN"/>
        </w:rPr>
        <w:t xml:space="preserve">。</w:t>
      </w:r>
      <w:r/>
    </w:p>
    <w:p>
      <w:pPr>
        <w:pStyle w:val="710"/>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6.2.2 如以履约保函（保险）形式缴纳履约保证金，供应商可通过政府采购电子履约保函（保险）平台（www.jsdzbh.com）在线申请履约保函（保险）。</w:t>
      </w:r>
      <w:r/>
    </w:p>
    <w:p>
      <w:pPr>
        <w:pStyle w:val="710"/>
        <w:ind w:left="408" w:hanging="408"/>
        <w:jc w:val="both"/>
        <w:keepLines w:val="0"/>
        <w:keepNext w:val="0"/>
        <w:pageBreakBefore w:val="0"/>
        <w:spacing w:before="120" w:beforeAutospacing="0" w:after="120" w:afterAutospacing="0" w:line="500" w:lineRule="exact"/>
        <w:widowControl w:val="off"/>
        <w:rPr>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合同履行结束后，甲方应及时退还交纳的履约保证金。</w:t>
      </w:r>
      <w:r/>
    </w:p>
    <w:p>
      <w:pPr>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履约保证金的退还：</w:t>
      </w:r>
      <w:r/>
    </w:p>
    <w:p>
      <w:pPr>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.1方式：退还至投标人缴纳履约保证金的账户。如为保函，在到期时自行失效。</w:t>
      </w:r>
      <w:r/>
    </w:p>
    <w:p>
      <w:pPr>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.2时间：验收合格且采购人收到发票后30日内。</w:t>
      </w:r>
      <w:r/>
    </w:p>
    <w:p>
      <w:pPr>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.3条件：按合同要求全部履约完成并经采购人验收合格，且采购人收到中标人出具的发票。</w:t>
      </w:r>
      <w:r/>
    </w:p>
    <w:p>
      <w:pPr>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.4不予退还情形：</w:t>
      </w:r>
      <w:r/>
    </w:p>
    <w:p>
      <w:pPr>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除不可抗力情况外，投标人出现下列情形之一的，其履约保证金，招标人将视情节决定不予退还或部分不予退还。</w:t>
      </w:r>
      <w:r/>
    </w:p>
    <w:p>
      <w:pPr>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（1）中标人无正当理由拒绝签订合同的，或者在签订合同时向采购人提出附加条件或者更改合同实质性内容要求的；</w:t>
      </w:r>
      <w:r/>
    </w:p>
    <w:p>
      <w:pPr>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（2）中标人不履行与采购人订立的合同的；</w:t>
      </w:r>
      <w:r/>
    </w:p>
    <w:p>
      <w:pPr>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（3）中标人所供货物或服务不符合招标文件规定要求的；</w:t>
      </w:r>
      <w:r/>
    </w:p>
    <w:p>
      <w:pPr>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（4）中标人采取欺骗、弄虚作假方式投标的或与其它投标人串通投标的；</w:t>
      </w:r>
      <w:r/>
    </w:p>
    <w:p>
      <w:pPr>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（5）中标人将合同内容转包、违法分包的；</w:t>
      </w:r>
      <w:r/>
    </w:p>
    <w:p>
      <w:pPr>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（6）中标人故意捏造事实或伪造证明材料，进行虚假恶意投诉或反映的。</w:t>
      </w:r>
      <w:r/>
    </w:p>
    <w:p>
      <w:pPr>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.5逾期退还的违约责任：采购人逾期无故未退还履约保证金的，按中国人民银行同期贷款基准利率上浮20%后的利率支付超期资金占用费，但因供应商自身原因导致无法及时退还的除外。</w:t>
      </w:r>
      <w:r/>
    </w:p>
    <w:p>
      <w:pPr>
        <w:pStyle w:val="710"/>
        <w:jc w:val="both"/>
        <w:keepLines w:val="0"/>
        <w:keepNext w:val="0"/>
        <w:pageBreakBefore w:val="0"/>
        <w:spacing w:before="145" w:beforeAutospacing="0" w:after="145" w:afterAutospacing="0" w:line="500" w:lineRule="exact"/>
        <w:widowControl w:val="off"/>
        <w:rPr>
          <w:rFonts w:hint="default" w:eastAsia="宋体"/>
          <w:sz w:val="24"/>
          <w:szCs w:val="24"/>
          <w:highlight w:val="none"/>
          <w:lang w:val="en-US" w:eastAsia="zh-CN"/>
        </w:rPr>
      </w:pPr>
      <w:r>
        <w:rPr>
          <w:rFonts w:hint="eastAsia" w:ascii="宋体" w:hAnsi="宋体" w:eastAsia="宋体" w:cs="宋体"/>
          <w:b/>
          <w:color w:val="000000"/>
          <w:sz w:val="24"/>
          <w:szCs w:val="24"/>
          <w:highlight w:val="none"/>
        </w:rPr>
        <w:t xml:space="preserve">七、合同转包</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分包</w:t>
      </w:r>
      <w:r>
        <w:rPr>
          <w:rFonts w:hint="eastAsia" w:ascii="宋体" w:hAnsi="宋体" w:eastAsia="宋体" w:cs="宋体"/>
          <w:b/>
          <w:color w:val="000000"/>
          <w:sz w:val="24"/>
          <w:szCs w:val="24"/>
          <w:highlight w:val="none"/>
          <w:lang w:val="en-US" w:eastAsia="zh-CN"/>
        </w:rPr>
        <w:t xml:space="preserve">或追加</w:t>
      </w:r>
      <w:r/>
    </w:p>
    <w:p>
      <w:pPr>
        <w:pStyle w:val="710"/>
        <w:jc w:val="both"/>
        <w:keepLines w:val="0"/>
        <w:keepNext w:val="0"/>
        <w:pageBreakBefore w:val="0"/>
        <w:spacing w:before="145" w:beforeAutospacing="0" w:after="145"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7.1乙方不得将合同标的转包给他人履行。</w:t>
      </w:r>
      <w:r/>
    </w:p>
    <w:p>
      <w:pPr>
        <w:pStyle w:val="710"/>
        <w:jc w:val="both"/>
        <w:keepLines w:val="0"/>
        <w:keepNext w:val="0"/>
        <w:pageBreakBefore w:val="0"/>
        <w:spacing w:before="145" w:beforeAutospacing="0" w:after="145"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7.2乙方不得将合同标的分包给他人履行。</w:t>
      </w:r>
      <w:r/>
    </w:p>
    <w:p>
      <w:pPr>
        <w:pStyle w:val="710"/>
        <w:jc w:val="both"/>
        <w:keepLines w:val="0"/>
        <w:keepNext w:val="0"/>
        <w:pageBreakBefore w:val="0"/>
        <w:spacing w:before="145" w:beforeAutospacing="0" w:after="145" w:afterAutospacing="0"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7.3乙方如有转包或未经甲方同意的分包行为，甲方有权解除合同。服务（包含与服务相关的货物）的追加</w:t>
      </w:r>
      <w:r>
        <w:rPr>
          <w:rFonts w:hint="eastAsia" w:ascii="宋体" w:hAnsi="宋体" w:eastAsia="宋体" w:cs="宋体"/>
          <w:color w:val="000000"/>
          <w:sz w:val="24"/>
          <w:szCs w:val="24"/>
          <w:highlight w:val="none"/>
          <w:lang w:eastAsia="zh-CN"/>
        </w:rPr>
        <w:t xml:space="preserve">。</w:t>
      </w:r>
      <w:r/>
    </w:p>
    <w:p>
      <w:pPr>
        <w:pStyle w:val="710"/>
        <w:jc w:val="both"/>
        <w:keepLines w:val="0"/>
        <w:keepNext w:val="0"/>
        <w:pageBreakBefore w:val="0"/>
        <w:spacing w:before="145" w:beforeAutospacing="0" w:after="145" w:afterAutospacing="0" w:line="500" w:lineRule="exact"/>
        <w:widowControl w:val="off"/>
        <w:rPr>
          <w:b/>
          <w:bCs/>
          <w:sz w:val="24"/>
          <w:szCs w:val="24"/>
          <w:highlight w:val="none"/>
          <w:u w:val="single"/>
        </w:rPr>
      </w:pPr>
      <w:r>
        <w:rPr>
          <w:rFonts w:hint="eastAsia" w:ascii="宋体" w:hAnsi="宋体" w:eastAsia="宋体" w:cs="宋体"/>
          <w:b/>
          <w:bCs/>
          <w:color w:val="000000"/>
          <w:sz w:val="24"/>
          <w:szCs w:val="24"/>
          <w:highlight w:val="none"/>
          <w:u w:val="single"/>
          <w:lang w:val="en-US" w:eastAsia="zh-CN"/>
        </w:rPr>
        <w:t xml:space="preserve">7.4</w:t>
      </w:r>
      <w:r>
        <w:rPr>
          <w:rFonts w:hint="eastAsia" w:ascii="宋体" w:hAnsi="宋体" w:eastAsia="宋体" w:cs="宋体"/>
          <w:b/>
          <w:bCs/>
          <w:color w:val="000000"/>
          <w:sz w:val="24"/>
          <w:szCs w:val="24"/>
          <w:highlight w:val="none"/>
          <w:u w:val="single"/>
        </w:rPr>
        <w:t xml:space="preserve">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710"/>
        <w:numPr>
          <w:ilvl w:val="0"/>
          <w:numId w:val="1"/>
        </w:numPr>
        <w:jc w:val="both"/>
        <w:keepLines w:val="0"/>
        <w:keepNext w:val="0"/>
        <w:pageBreakBefore w:val="0"/>
        <w:spacing w:before="120" w:beforeAutospacing="0" w:after="120" w:afterAutospacing="0" w:line="500" w:lineRule="exact"/>
        <w:widowControl w:val="off"/>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rPr>
        <w:t xml:space="preserve">合同款项支付</w:t>
      </w:r>
      <w:r/>
    </w:p>
    <w:p>
      <w:pPr>
        <w:pStyle w:val="710"/>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8.1合同款项的支付方式及进度安排</w:t>
      </w:r>
      <w:r/>
    </w:p>
    <w:p>
      <w:pPr>
        <w:pStyle w:val="871"/>
        <w:numPr>
          <w:ilvl w:val="0"/>
          <w:numId w:val="0"/>
        </w:numPr>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000000"/>
          <w:sz w:val="24"/>
          <w:szCs w:val="24"/>
          <w:highlight w:val="none"/>
          <w:u w:val="none"/>
        </w:rPr>
        <w:t xml:space="preserve">8.1.1 预付款支付时间：</w:t>
      </w:r>
      <w:r>
        <w:rPr>
          <w:rFonts w:hint="eastAsia" w:ascii="宋体" w:hAnsi="宋体" w:eastAsia="宋体" w:cs="宋体"/>
          <w:color w:val="auto"/>
          <w:sz w:val="24"/>
          <w:szCs w:val="24"/>
          <w:highlight w:val="none"/>
          <w:u w:val="none"/>
        </w:rPr>
        <w:t xml:space="preserve">合</w:t>
      </w:r>
      <w:r>
        <w:rPr>
          <w:rFonts w:hint="eastAsia" w:ascii="宋体" w:hAnsi="宋体" w:eastAsia="宋体" w:cs="宋体"/>
          <w:color w:val="auto"/>
          <w:sz w:val="24"/>
          <w:szCs w:val="24"/>
          <w:highlight w:val="none"/>
        </w:rPr>
        <w:t xml:space="preserve">同签订后</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招标人在</w:t>
      </w:r>
      <w:r>
        <w:rPr>
          <w:rFonts w:hint="eastAsia"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lang w:val="en-US" w:eastAsia="zh-CN"/>
        </w:rPr>
        <w:t xml:space="preserve">单位提供正式发票20个工作日内</w:t>
      </w:r>
      <w:r>
        <w:rPr>
          <w:rFonts w:hint="default" w:ascii="宋体" w:hAnsi="宋体" w:eastAsia="宋体" w:cs="宋体"/>
          <w:color w:val="auto"/>
          <w:sz w:val="24"/>
          <w:szCs w:val="24"/>
          <w:highlight w:val="none"/>
          <w:lang w:val="en-US" w:eastAsia="zh-CN"/>
        </w:rPr>
        <w:t xml:space="preserve">向政府采购支付部门提出办理财政支付申请手续，</w:t>
      </w:r>
      <w:r>
        <w:rPr>
          <w:rFonts w:hint="eastAsia" w:ascii="宋体" w:hAnsi="宋体" w:eastAsia="宋体" w:cs="宋体"/>
          <w:color w:val="auto"/>
          <w:sz w:val="24"/>
          <w:szCs w:val="24"/>
          <w:highlight w:val="none"/>
          <w:lang w:val="en-US" w:eastAsia="zh-CN"/>
        </w:rPr>
        <w:t xml:space="preserve">收到拨付资金后及时支付</w:t>
      </w:r>
      <w:r>
        <w:rPr>
          <w:rFonts w:hint="eastAsia" w:eastAsia="宋体" w:cs="宋体"/>
          <w:color w:val="auto"/>
          <w:sz w:val="24"/>
          <w:szCs w:val="24"/>
          <w:highlight w:val="none"/>
          <w:lang w:val="en-US" w:eastAsia="zh-CN"/>
        </w:rPr>
        <w:t xml:space="preserve">给中标</w:t>
      </w:r>
      <w:r>
        <w:rPr>
          <w:rFonts w:hint="eastAsia" w:ascii="宋体" w:hAnsi="宋体" w:eastAsia="宋体" w:cs="宋体"/>
          <w:color w:val="auto"/>
          <w:sz w:val="24"/>
          <w:szCs w:val="24"/>
          <w:highlight w:val="none"/>
          <w:lang w:val="en-US" w:eastAsia="zh-CN"/>
        </w:rPr>
        <w:t xml:space="preserve">单位</w:t>
      </w:r>
      <w:r>
        <w:rPr>
          <w:rFonts w:hint="default"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因故无法按时支付费用的，招标人应及时告知</w:t>
      </w:r>
      <w:r>
        <w:rPr>
          <w:rFonts w:hint="eastAsia"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lang w:val="en-US" w:eastAsia="zh-CN"/>
        </w:rPr>
        <w:t xml:space="preserve">单位原因。</w:t>
      </w:r>
      <w:r/>
    </w:p>
    <w:p>
      <w:pPr>
        <w:pStyle w:val="710"/>
        <w:jc w:val="both"/>
        <w:keepLines w:val="0"/>
        <w:keepNext w:val="0"/>
        <w:pageBreakBefore w:val="0"/>
        <w:spacing w:before="120" w:beforeAutospacing="0" w:after="120" w:afterAutospacing="0" w:line="500" w:lineRule="exact"/>
        <w:widowControl w:val="off"/>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8.1.2 结算方式：</w:t>
      </w:r>
      <w:r/>
    </w:p>
    <w:p>
      <w:pPr>
        <w:spacing w:line="480" w:lineRule="exact"/>
        <w:rPr>
          <w:rFonts w:hint="eastAsia" w:ascii="宋体" w:hAnsi="宋体" w:eastAsia="宋体" w:cs="Times New Roman"/>
          <w:sz w:val="24"/>
          <w:szCs w:val="24"/>
          <w:highlight w:val="none"/>
          <w:u w:val="none"/>
        </w:rPr>
      </w:pPr>
      <w:r>
        <w:rPr>
          <w:rFonts w:hint="eastAsia" w:ascii="宋体" w:hAnsi="宋体" w:eastAsia="宋体" w:cs="宋体"/>
          <w:color w:val="000000"/>
          <w:sz w:val="24"/>
          <w:szCs w:val="24"/>
          <w:highlight w:val="none"/>
          <w:lang w:val="en-US" w:eastAsia="zh-CN" w:bidi="ar-SA"/>
        </w:rPr>
        <w:t xml:space="preserve">快检运维服务结算方式：合同签订后，招标人向中标单位支付合同金额的30%作为预付款。</w:t>
      </w:r>
      <w:r>
        <w:rPr>
          <w:rFonts w:hint="eastAsia" w:ascii="宋体" w:hAnsi="宋体" w:eastAsia="宋体" w:cs="宋体"/>
          <w:color w:val="auto"/>
          <w:sz w:val="24"/>
          <w:szCs w:val="24"/>
          <w:highlight w:val="none"/>
          <w:lang w:val="en-US" w:eastAsia="zh-CN" w:bidi="ar-SA"/>
        </w:rPr>
        <w:t xml:space="preserve">服务期满中标单位完成所有工作任务且验收通过后支付</w:t>
      </w:r>
      <w:r>
        <w:rPr>
          <w:rFonts w:hint="eastAsia" w:cs="宋体"/>
          <w:color w:val="auto"/>
          <w:sz w:val="24"/>
          <w:szCs w:val="24"/>
          <w:highlight w:val="none"/>
          <w:lang w:val="en-US" w:eastAsia="zh-CN" w:bidi="ar-SA"/>
        </w:rPr>
        <w:t xml:space="preserve">剩余</w:t>
      </w:r>
      <w:r>
        <w:rPr>
          <w:rFonts w:hint="eastAsia" w:ascii="宋体" w:hAnsi="宋体" w:eastAsia="宋体" w:cs="宋体"/>
          <w:color w:val="auto"/>
          <w:sz w:val="24"/>
          <w:szCs w:val="24"/>
          <w:highlight w:val="none"/>
          <w:lang w:val="en-US" w:eastAsia="zh-CN" w:bidi="ar-SA"/>
        </w:rPr>
        <w:t xml:space="preserve">服务费用</w:t>
      </w:r>
      <w:r>
        <w:rPr>
          <w:rFonts w:hint="eastAsia" w:ascii="宋体" w:hAnsi="宋体" w:eastAsia="宋体" w:cs="宋体"/>
          <w:color w:val="000000"/>
          <w:sz w:val="24"/>
          <w:szCs w:val="24"/>
          <w:highlight w:val="none"/>
          <w:lang w:val="en-US" w:eastAsia="zh-CN" w:bidi="ar-SA"/>
        </w:rPr>
        <w:t xml:space="preserve">。（招标人在中标单位提供正式发票20个工作日内</w:t>
      </w:r>
      <w:r>
        <w:rPr>
          <w:rFonts w:hint="default" w:ascii="宋体" w:hAnsi="宋体" w:eastAsia="宋体" w:cs="宋体"/>
          <w:color w:val="000000"/>
          <w:sz w:val="24"/>
          <w:szCs w:val="24"/>
          <w:highlight w:val="none"/>
          <w:lang w:val="en-US" w:eastAsia="zh-CN" w:bidi="ar-SA"/>
        </w:rPr>
        <w:t xml:space="preserve">向政府采购支付部门提出办理财政支付申请手续，</w:t>
      </w:r>
      <w:r>
        <w:rPr>
          <w:rFonts w:hint="eastAsia" w:ascii="宋体" w:hAnsi="宋体" w:eastAsia="宋体" w:cs="宋体"/>
          <w:color w:val="000000"/>
          <w:sz w:val="24"/>
          <w:szCs w:val="24"/>
          <w:highlight w:val="none"/>
          <w:lang w:val="en-US" w:eastAsia="zh-CN" w:bidi="ar-SA"/>
        </w:rPr>
        <w:t xml:space="preserve">收到拨付资金后及时支付给中标单位</w:t>
      </w:r>
      <w:r>
        <w:rPr>
          <w:rFonts w:hint="default"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t xml:space="preserve">因故无法按时支付费用的，招标人应及时告知中标单位原因）。</w:t>
      </w:r>
      <w:r>
        <w:rPr>
          <w:rFonts w:hint="eastAsia" w:ascii="宋体" w:hAnsi="宋体" w:eastAsia="宋体" w:cs="Times New Roman"/>
          <w:sz w:val="24"/>
          <w:szCs w:val="24"/>
          <w:highlight w:val="none"/>
          <w:u w:val="none"/>
        </w:rPr>
        <w:t xml:space="preserve">结算时，乙方须提供税务发票</w:t>
      </w:r>
      <w:r>
        <w:rPr>
          <w:rFonts w:hint="eastAsia" w:ascii="宋体" w:hAnsi="宋体" w:eastAsia="宋体" w:cs="Times New Roman"/>
          <w:sz w:val="24"/>
          <w:szCs w:val="24"/>
          <w:highlight w:val="none"/>
          <w:u w:val="none"/>
          <w:lang w:eastAsia="zh-CN"/>
        </w:rPr>
        <w:t xml:space="preserve">。</w:t>
      </w:r>
      <w:r>
        <w:rPr>
          <w:rFonts w:hint="eastAsia" w:ascii="宋体" w:hAnsi="宋体" w:eastAsia="宋体" w:cs="宋体"/>
          <w:b/>
          <w:bCs/>
          <w:color w:val="auto"/>
          <w:sz w:val="24"/>
          <w:szCs w:val="24"/>
          <w:lang w:eastAsia="zh-CN"/>
        </w:rPr>
        <w:t xml:space="preserve">202</w:t>
      </w:r>
      <w:r>
        <w:rPr>
          <w:rFonts w:hint="eastAsia" w:ascii="宋体" w:hAnsi="宋体" w:cs="宋体"/>
          <w:b/>
          <w:bCs/>
          <w:color w:val="auto"/>
          <w:sz w:val="24"/>
          <w:szCs w:val="24"/>
          <w:lang w:val="en-US" w:eastAsia="zh-CN"/>
        </w:rPr>
        <w:t xml:space="preserve">6</w:t>
      </w:r>
      <w:r>
        <w:rPr>
          <w:rFonts w:hint="eastAsia" w:ascii="宋体" w:hAnsi="宋体" w:eastAsia="宋体" w:cs="宋体"/>
          <w:b/>
          <w:bCs/>
          <w:color w:val="auto"/>
          <w:sz w:val="24"/>
          <w:szCs w:val="24"/>
          <w:lang w:eastAsia="zh-CN"/>
        </w:rPr>
        <w:t xml:space="preserve">年</w:t>
      </w:r>
      <w:r>
        <w:rPr>
          <w:rFonts w:hint="eastAsia" w:ascii="宋体" w:hAnsi="宋体" w:cs="宋体"/>
          <w:b/>
          <w:bCs/>
          <w:color w:val="auto"/>
          <w:sz w:val="24"/>
          <w:szCs w:val="24"/>
          <w:lang w:val="en-US" w:eastAsia="zh-CN"/>
        </w:rPr>
        <w:t xml:space="preserve">9</w:t>
      </w:r>
      <w:r>
        <w:rPr>
          <w:rFonts w:hint="eastAsia" w:ascii="宋体" w:hAnsi="宋体" w:eastAsia="宋体" w:cs="宋体"/>
          <w:b/>
          <w:bCs/>
          <w:color w:val="auto"/>
          <w:sz w:val="24"/>
          <w:szCs w:val="24"/>
          <w:lang w:eastAsia="zh-CN"/>
        </w:rPr>
        <w:t xml:space="preserve">月1日至中标方运营这段过渡期间快检费用由</w:t>
      </w:r>
      <w:r>
        <w:rPr>
          <w:rFonts w:hint="eastAsia" w:ascii="宋体" w:hAnsi="宋体" w:cs="宋体"/>
          <w:b/>
          <w:bCs/>
          <w:color w:val="auto"/>
          <w:sz w:val="24"/>
          <w:szCs w:val="24"/>
          <w:lang w:val="en-US" w:eastAsia="zh-CN"/>
        </w:rPr>
        <w:t xml:space="preserve">中标方与过渡期检测公司双方确认后，支付给</w:t>
      </w:r>
      <w:r>
        <w:rPr>
          <w:rFonts w:hint="eastAsia" w:ascii="宋体" w:hAnsi="宋体" w:eastAsia="宋体" w:cs="宋体"/>
          <w:b/>
          <w:bCs/>
          <w:color w:val="auto"/>
          <w:sz w:val="24"/>
          <w:szCs w:val="24"/>
          <w:lang w:eastAsia="zh-CN"/>
        </w:rPr>
        <w:t xml:space="preserve">过渡期检测的公司</w:t>
      </w:r>
      <w:r>
        <w:rPr>
          <w:rFonts w:hint="eastAsia" w:ascii="宋体" w:hAnsi="宋体" w:eastAsia="宋体" w:cs="宋体"/>
          <w:bCs/>
          <w:color w:val="auto"/>
          <w:sz w:val="24"/>
          <w:szCs w:val="24"/>
        </w:rPr>
        <w:t xml:space="preserve">。</w:t>
      </w:r>
      <w:r/>
    </w:p>
    <w:p>
      <w:pPr>
        <w:pStyle w:val="710"/>
        <w:jc w:val="both"/>
        <w:keepLines w:val="0"/>
        <w:keepNext w:val="0"/>
        <w:pageBreakBefore w:val="0"/>
        <w:spacing w:before="145" w:beforeAutospacing="0" w:after="145"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九、税费</w:t>
      </w:r>
      <w:r/>
    </w:p>
    <w:p>
      <w:pPr>
        <w:pStyle w:val="710"/>
        <w:jc w:val="both"/>
        <w:keepLines w:val="0"/>
        <w:keepNext w:val="0"/>
        <w:pageBreakBefore w:val="0"/>
        <w:spacing w:before="145" w:beforeAutospacing="0" w:after="145"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9.1本合同执行中相关的一切税费均由乙方负担。</w:t>
      </w:r>
      <w:r/>
    </w:p>
    <w:p>
      <w:pPr>
        <w:pStyle w:val="710"/>
        <w:jc w:val="both"/>
        <w:keepLines w:val="0"/>
        <w:keepNext w:val="0"/>
        <w:pageBreakBefore w:val="0"/>
        <w:spacing w:before="120" w:beforeAutospacing="0" w:after="120" w:afterAutospacing="0" w:line="500" w:lineRule="exact"/>
        <w:widowControl w:val="off"/>
        <w:rPr>
          <w:rFonts w:hint="eastAsia" w:eastAsia="宋体"/>
          <w:sz w:val="24"/>
          <w:szCs w:val="24"/>
          <w:highlight w:val="none"/>
          <w:lang w:eastAsia="zh-CN"/>
        </w:rPr>
      </w:pPr>
      <w:r>
        <w:rPr>
          <w:rFonts w:hint="eastAsia" w:ascii="宋体" w:hAnsi="宋体" w:eastAsia="宋体" w:cs="宋体"/>
          <w:b/>
          <w:color w:val="000000"/>
          <w:sz w:val="24"/>
          <w:szCs w:val="24"/>
          <w:highlight w:val="none"/>
        </w:rPr>
        <w:t xml:space="preserve">十、项目</w:t>
      </w:r>
      <w:r>
        <w:rPr>
          <w:rFonts w:hint="eastAsia" w:ascii="宋体" w:hAnsi="宋体" w:eastAsia="宋体" w:cs="宋体"/>
          <w:b/>
          <w:color w:val="000000"/>
          <w:sz w:val="24"/>
          <w:szCs w:val="24"/>
          <w:highlight w:val="none"/>
          <w:lang w:val="en-US" w:eastAsia="zh-CN"/>
        </w:rPr>
        <w:t xml:space="preserve">考核</w:t>
      </w:r>
      <w:r/>
    </w:p>
    <w:p>
      <w:pPr>
        <w:ind w:firstLine="480"/>
        <w:jc w:val="left"/>
        <w:keepLines w:val="0"/>
        <w:keepNext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b w:val="0"/>
          <w:bCs/>
          <w:color w:val="000000"/>
          <w:sz w:val="24"/>
          <w:szCs w:val="24"/>
          <w:highlight w:val="none"/>
          <w:lang w:val="en-US" w:eastAsia="zh-CN"/>
        </w:rPr>
        <w:t xml:space="preserve"> </w:t>
      </w:r>
      <w:r>
        <w:rPr>
          <w:rFonts w:hint="eastAsia" w:ascii="宋体" w:hAnsi="宋体" w:eastAsia="宋体" w:cs="宋体"/>
          <w:color w:val="000000"/>
          <w:sz w:val="24"/>
          <w:szCs w:val="24"/>
          <w:highlight w:val="none"/>
          <w:lang w:val="en-US" w:eastAsia="zh-CN" w:bidi="ar-SA"/>
        </w:rPr>
        <w:t xml:space="preserve">每个农贸（农批）市场考核总分为100分。服务期内对每个检测室全覆盖考核打分，考核得分大于等于90分为合格；考核得分小于90分大于等于85分，扣500元；考核得分小于85分大于等于80分，扣1000元；考核得分小于80分，扣1500元。考核大于95分以上100分以下的可奖励500元，考核100分奖励1000元，考核服务期内可以对冲，但总服务金额不超过投标中标金额。</w:t>
      </w:r>
      <w:r/>
    </w:p>
    <w:p>
      <w:pPr>
        <w:pStyle w:val="710"/>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对公司服务承诺、检测任务和上级考核评比情况进行考核，检测任务未完成的按投标价扣款，服务承诺未兑现的由考核组商量扣款金额，在市局考核通报中低于全市中游成绩以下的每低一个百分点扣5000元。</w:t>
      </w:r>
      <w:r/>
    </w:p>
    <w:p>
      <w:pPr>
        <w:numPr>
          <w:ilvl w:val="0"/>
          <w:numId w:val="2"/>
        </w:numPr>
        <w:ind w:firstLine="480"/>
        <w:keepLines w:val="0"/>
        <w:keepNext w:val="0"/>
        <w:pageBreakBefore w:val="0"/>
        <w:spacing w:line="360" w:lineRule="auto"/>
        <w:widowControl w:val="off"/>
        <w:rPr>
          <w:rFonts w:hint="eastAsia" w:ascii="宋体" w:hAnsi="宋体" w:eastAsia="宋体" w:cs="宋体"/>
          <w:b/>
          <w:bCs/>
          <w:color w:val="auto"/>
          <w:sz w:val="24"/>
          <w:szCs w:val="24"/>
          <w:highlight w:val="none"/>
          <w:u w:val="single"/>
          <w:lang w:eastAsia="zh-CN" w:bidi="ar"/>
        </w:rPr>
      </w:pPr>
      <w:r>
        <w:rPr>
          <w:rFonts w:hint="eastAsia" w:ascii="宋体" w:hAnsi="宋体" w:eastAsia="宋体" w:cs="宋体"/>
          <w:b/>
          <w:color w:val="000000"/>
          <w:sz w:val="24"/>
          <w:szCs w:val="24"/>
          <w:highlight w:val="none"/>
          <w:lang w:val="en-US" w:eastAsia="zh-CN"/>
        </w:rPr>
        <w:t xml:space="preserve">服务要求</w:t>
      </w:r>
      <w:r/>
    </w:p>
    <w:p>
      <w:pPr>
        <w:numPr>
          <w:ilvl w:val="0"/>
          <w:numId w:val="0"/>
        </w:numPr>
        <w:keepLines w:val="0"/>
        <w:keepNext w:val="0"/>
        <w:pageBreakBefore w:val="0"/>
        <w:spacing w:line="360" w:lineRule="auto"/>
        <w:widowControl w:val="off"/>
        <w:rPr>
          <w:rFonts w:hint="eastAsia" w:ascii="宋体" w:hAnsi="宋体" w:eastAsia="宋体" w:cs="宋体"/>
          <w:b/>
          <w:bCs/>
          <w:color w:val="auto"/>
          <w:sz w:val="24"/>
          <w:szCs w:val="24"/>
          <w:highlight w:val="none"/>
          <w:u w:val="single"/>
          <w:lang w:eastAsia="zh-CN" w:bidi="ar"/>
        </w:rPr>
      </w:pPr>
      <w:r>
        <w:rPr>
          <w:rFonts w:hint="eastAsia" w:ascii="宋体" w:hAnsi="宋体" w:eastAsia="宋体" w:cs="宋体"/>
          <w:b/>
          <w:color w:val="000000"/>
          <w:sz w:val="24"/>
          <w:szCs w:val="24"/>
          <w:highlight w:val="none"/>
          <w:lang w:val="en-US" w:eastAsia="zh-CN"/>
        </w:rPr>
        <w:t xml:space="preserve">1、</w:t>
      </w:r>
      <w:r>
        <w:rPr>
          <w:rFonts w:hint="eastAsia" w:ascii="宋体" w:hAnsi="宋体" w:eastAsia="宋体" w:cs="宋体"/>
          <w:color w:val="auto"/>
          <w:sz w:val="24"/>
          <w:highlight w:val="none"/>
          <w:lang w:val="en-US" w:eastAsia="zh-CN"/>
        </w:rPr>
        <w:t xml:space="preserve">本项目中标单位与前中标单位做好工作衔接，无相关检测仪器及前处理设备的市场，</w:t>
      </w:r>
      <w:r>
        <w:rPr>
          <w:rFonts w:hint="eastAsia" w:ascii="宋体" w:hAnsi="宋体" w:eastAsia="宋体" w:cs="宋体"/>
          <w:color w:val="auto"/>
          <w:sz w:val="24"/>
          <w:highlight w:val="none"/>
        </w:rPr>
        <w:t xml:space="preserve">由</w:t>
      </w:r>
      <w:r>
        <w:rPr>
          <w:rFonts w:hint="eastAsia" w:ascii="宋体" w:hAnsi="宋体" w:eastAsia="宋体" w:cs="宋体"/>
          <w:color w:val="auto"/>
          <w:sz w:val="24"/>
          <w:highlight w:val="none"/>
          <w:lang w:val="en-US" w:eastAsia="zh-CN"/>
        </w:rPr>
        <w:t xml:space="preserve">本项目中标单位自行携带满足检测及公示需求的设施设备（设备租赁费用包含在中标价中）</w:t>
      </w:r>
      <w:r>
        <w:rPr>
          <w:rFonts w:hint="eastAsia" w:ascii="宋体" w:hAnsi="宋体" w:eastAsia="宋体" w:cs="宋体"/>
          <w:color w:val="auto"/>
          <w:sz w:val="24"/>
          <w:highlight w:val="none"/>
        </w:rPr>
        <w:t xml:space="preserve">，设置显示终端（检测结果公示在显示屏），在农贸市场合适位置摆放或安装</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且能正常使用</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服务期间发生检测室搬迁等情况，费用由乙方自行承担。</w:t>
      </w:r>
      <w:r/>
    </w:p>
    <w:p>
      <w:pPr>
        <w:numPr>
          <w:ilvl w:val="0"/>
          <w:numId w:val="0"/>
        </w:numPr>
        <w:keepLines w:val="0"/>
        <w:keepNext w:val="0"/>
        <w:pageBreakBefore w:val="0"/>
        <w:spacing w:line="360" w:lineRule="auto"/>
        <w:widowControl w:val="off"/>
        <w:rPr>
          <w:rFonts w:hint="eastAsia" w:ascii="宋体" w:hAnsi="宋体" w:eastAsia="宋体" w:cs="宋体"/>
          <w:b/>
          <w:bCs/>
          <w:color w:val="auto"/>
          <w:sz w:val="24"/>
          <w:szCs w:val="24"/>
          <w:highlight w:val="none"/>
          <w:u w:val="single"/>
          <w:lang w:eastAsia="zh-CN" w:bidi="ar"/>
        </w:rPr>
      </w:pPr>
      <w:r>
        <w:rPr>
          <w:rFonts w:hint="eastAsia" w:ascii="宋体" w:hAnsi="宋体" w:eastAsia="宋体" w:cs="宋体"/>
          <w:color w:val="000000"/>
          <w:sz w:val="24"/>
          <w:highlight w:val="yellow"/>
          <w:lang w:val="en-US" w:eastAsia="zh-CN" w:bidi="ar"/>
        </w:rPr>
        <w:t xml:space="preserve">2、</w:t>
      </w:r>
      <w:r>
        <w:rPr>
          <w:rFonts w:hint="eastAsia" w:ascii="宋体" w:hAnsi="宋体" w:cs="宋体"/>
          <w:color w:val="000000"/>
          <w:sz w:val="24"/>
          <w:highlight w:val="yellow"/>
          <w:lang w:bidi="ar"/>
        </w:rPr>
        <w:t xml:space="preserve">新建沟墩七一河市场快检室，设备由中标单位自带，装修风格和其他市场接近</w:t>
      </w:r>
      <w:r>
        <w:rPr>
          <w:rFonts w:hint="eastAsia" w:ascii="宋体" w:hAnsi="宋体" w:eastAsia="宋体" w:cs="宋体"/>
          <w:color w:val="000000"/>
          <w:sz w:val="24"/>
          <w:highlight w:val="none"/>
          <w:lang w:eastAsia="zh-CN" w:bidi="ar"/>
        </w:rPr>
        <w:t xml:space="preserve">，</w:t>
      </w:r>
      <w:r>
        <w:rPr>
          <w:rFonts w:hint="eastAsia" w:ascii="宋体" w:hAnsi="宋体" w:eastAsia="宋体" w:cs="宋体"/>
          <w:b/>
          <w:bCs/>
          <w:color w:val="auto"/>
          <w:sz w:val="24"/>
          <w:szCs w:val="24"/>
          <w:highlight w:val="none"/>
          <w:u w:val="single"/>
          <w:lang w:val="en-US" w:eastAsia="zh-CN" w:bidi="ar"/>
        </w:rPr>
        <w:t xml:space="preserve">中标后2个月内投入运维</w:t>
      </w:r>
      <w:r>
        <w:rPr>
          <w:rFonts w:hint="eastAsia" w:ascii="宋体" w:hAnsi="宋体" w:eastAsia="宋体" w:cs="宋体"/>
          <w:b/>
          <w:bCs/>
          <w:color w:val="auto"/>
          <w:sz w:val="24"/>
          <w:szCs w:val="24"/>
          <w:highlight w:val="none"/>
          <w:u w:val="single"/>
          <w:lang w:eastAsia="zh-CN" w:bidi="ar"/>
        </w:rPr>
        <w:t xml:space="preserve">。</w:t>
      </w:r>
      <w:r/>
    </w:p>
    <w:p>
      <w:pPr>
        <w:numPr>
          <w:ilvl w:val="0"/>
          <w:numId w:val="0"/>
        </w:numPr>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3、本项目中标单位</w:t>
      </w:r>
      <w:r>
        <w:rPr>
          <w:rFonts w:hint="eastAsia" w:ascii="宋体" w:hAnsi="宋体" w:eastAsia="宋体" w:cs="宋体"/>
          <w:color w:val="auto"/>
          <w:sz w:val="24"/>
          <w:highlight w:val="none"/>
        </w:rPr>
        <w:t xml:space="preserve">主要负责</w:t>
      </w:r>
      <w:r>
        <w:rPr>
          <w:rFonts w:hint="eastAsia" w:ascii="宋体" w:hAnsi="宋体" w:eastAsia="宋体" w:cs="宋体"/>
          <w:color w:val="auto"/>
          <w:sz w:val="24"/>
          <w:highlight w:val="none"/>
          <w:lang w:val="en-US" w:eastAsia="zh-CN"/>
        </w:rPr>
        <w:t xml:space="preserve">44个</w:t>
      </w:r>
      <w:r>
        <w:rPr>
          <w:rFonts w:hint="eastAsia" w:ascii="宋体" w:hAnsi="宋体" w:eastAsia="宋体" w:cs="宋体"/>
          <w:color w:val="auto"/>
          <w:sz w:val="24"/>
          <w:highlight w:val="none"/>
        </w:rPr>
        <w:t xml:space="preserve">农贸（农批）市场快检室的日常</w:t>
      </w:r>
      <w:r>
        <w:rPr>
          <w:rFonts w:hint="eastAsia" w:ascii="宋体" w:hAnsi="宋体" w:eastAsia="宋体" w:cs="宋体"/>
          <w:color w:val="auto"/>
          <w:sz w:val="24"/>
          <w:highlight w:val="none"/>
          <w:lang w:val="en-US" w:eastAsia="zh-CN"/>
        </w:rPr>
        <w:t xml:space="preserve">快检、</w:t>
      </w:r>
      <w:r>
        <w:rPr>
          <w:rFonts w:hint="eastAsia" w:ascii="宋体" w:hAnsi="宋体" w:eastAsia="宋体" w:cs="宋体"/>
          <w:color w:val="auto"/>
          <w:sz w:val="24"/>
          <w:highlight w:val="none"/>
        </w:rPr>
        <w:t xml:space="preserve">快检室水电费用、快检室网络费用、检测工具设备投入、样品购买、检测耗材、检测试剂、检测人员工资、检测数据公示、检测数据传输与储存</w:t>
      </w:r>
      <w:r>
        <w:rPr>
          <w:rFonts w:hint="eastAsia" w:ascii="宋体" w:hAnsi="宋体" w:eastAsia="宋体" w:cs="宋体"/>
          <w:color w:val="auto"/>
          <w:sz w:val="24"/>
          <w:highlight w:val="none"/>
          <w:lang w:val="en-US" w:eastAsia="zh-CN"/>
        </w:rPr>
        <w:t xml:space="preserve">及相关温控设备工作</w:t>
      </w:r>
      <w:r>
        <w:rPr>
          <w:rFonts w:hint="eastAsia" w:ascii="宋体" w:hAnsi="宋体" w:eastAsia="宋体" w:cs="宋体"/>
          <w:color w:val="auto"/>
          <w:sz w:val="24"/>
          <w:highlight w:val="none"/>
        </w:rPr>
        <w:t xml:space="preserve">等，</w:t>
      </w:r>
      <w:r>
        <w:rPr>
          <w:rFonts w:hint="eastAsia" w:ascii="宋体" w:hAnsi="宋体" w:eastAsia="宋体" w:cs="宋体"/>
          <w:color w:val="auto"/>
          <w:sz w:val="24"/>
          <w:szCs w:val="24"/>
          <w:highlight w:val="none"/>
          <w:lang w:bidi="ar"/>
        </w:rPr>
        <w:t xml:space="preserve">协助</w:t>
      </w:r>
      <w:r>
        <w:rPr>
          <w:rFonts w:hint="eastAsia" w:ascii="宋体" w:hAnsi="宋体" w:eastAsia="宋体" w:cs="宋体"/>
          <w:color w:val="auto"/>
          <w:sz w:val="24"/>
          <w:szCs w:val="24"/>
          <w:highlight w:val="none"/>
          <w:lang w:val="en-US" w:eastAsia="zh-CN" w:bidi="ar"/>
        </w:rPr>
        <w:t xml:space="preserve">阜宁</w:t>
      </w:r>
      <w:r>
        <w:rPr>
          <w:rFonts w:hint="eastAsia" w:ascii="宋体" w:hAnsi="宋体" w:eastAsia="宋体" w:cs="宋体"/>
          <w:color w:val="auto"/>
          <w:sz w:val="24"/>
          <w:szCs w:val="24"/>
          <w:highlight w:val="none"/>
          <w:lang w:bidi="ar"/>
        </w:rPr>
        <w:t xml:space="preserve">县市场监督管理局做好相关快检结果后续处理工作，实现从样品抽取到完成后续处理的全周期服务</w:t>
      </w:r>
      <w:r>
        <w:rPr>
          <w:rFonts w:hint="eastAsia" w:ascii="宋体" w:hAnsi="宋体" w:eastAsia="宋体" w:cs="宋体"/>
          <w:color w:val="auto"/>
          <w:sz w:val="24"/>
          <w:szCs w:val="24"/>
          <w:highlight w:val="none"/>
          <w:lang w:eastAsia="zh-CN" w:bidi="ar"/>
        </w:rPr>
        <w:t xml:space="preserve">，</w:t>
      </w:r>
      <w:r/>
    </w:p>
    <w:p>
      <w:pPr>
        <w:ind w:firstLine="480"/>
        <w:keepLines w:val="0"/>
        <w:keepNext w:val="0"/>
        <w:pageBreakBefore w:val="0"/>
        <w:spacing w:line="360" w:lineRule="auto"/>
        <w:widowControl w:val="off"/>
        <w:rPr>
          <w:rFonts w:hint="default" w:ascii="宋体" w:hAnsi="宋体" w:eastAsia="宋体" w:cs="宋体"/>
          <w:b/>
          <w:color w:val="000000"/>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质量要求</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运营期内按照采购人要求保质保量完成每一份检测，一年运营期满后投标人须将所有快检室</w:t>
      </w:r>
      <w:r>
        <w:rPr>
          <w:rFonts w:hint="eastAsia" w:ascii="宋体" w:hAnsi="宋体" w:eastAsia="宋体" w:cs="宋体"/>
          <w:color w:val="auto"/>
          <w:sz w:val="24"/>
          <w:szCs w:val="24"/>
          <w:highlight w:val="none"/>
          <w:lang w:val="en-US" w:eastAsia="zh-CN"/>
        </w:rPr>
        <w:t xml:space="preserve">原有的</w:t>
      </w:r>
      <w:r>
        <w:rPr>
          <w:rFonts w:hint="eastAsia" w:ascii="宋体" w:hAnsi="宋体" w:eastAsia="宋体" w:cs="宋体"/>
          <w:color w:val="auto"/>
          <w:sz w:val="24"/>
          <w:szCs w:val="24"/>
          <w:highlight w:val="none"/>
        </w:rPr>
        <w:t xml:space="preserve">固定资产、配套软件台账等无偿移交给采购人且能保证正常使用。</w:t>
      </w:r>
      <w:bookmarkStart w:id="209" w:name="_GoBack"/>
      <w:r/>
      <w:bookmarkEnd w:id="209"/>
      <w:r/>
      <w:r/>
    </w:p>
    <w:p>
      <w:pPr>
        <w:pStyle w:val="710"/>
        <w:ind w:firstLine="480"/>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十</w:t>
      </w:r>
      <w:r>
        <w:rPr>
          <w:rFonts w:hint="eastAsia" w:ascii="宋体" w:hAnsi="宋体" w:eastAsia="宋体" w:cs="宋体"/>
          <w:b/>
          <w:color w:val="000000"/>
          <w:sz w:val="24"/>
          <w:szCs w:val="24"/>
          <w:highlight w:val="none"/>
          <w:lang w:val="en-US" w:eastAsia="zh-CN"/>
        </w:rPr>
        <w:t xml:space="preserve">二</w:t>
      </w:r>
      <w:r>
        <w:rPr>
          <w:rFonts w:hint="eastAsia" w:ascii="宋体" w:hAnsi="宋体" w:eastAsia="宋体" w:cs="宋体"/>
          <w:b/>
          <w:color w:val="000000"/>
          <w:sz w:val="24"/>
          <w:szCs w:val="24"/>
          <w:highlight w:val="none"/>
        </w:rPr>
        <w:t xml:space="preserve">、违约责任</w:t>
      </w:r>
      <w:r/>
    </w:p>
    <w:p>
      <w:pPr>
        <w:pStyle w:val="710"/>
        <w:ind w:left="410" w:hanging="410"/>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11.1甲方无正当理由拒绝接受乙方提供服务的，甲方向乙方偿付拒绝接受服务合同价款</w:t>
      </w:r>
      <w:r>
        <w:rPr>
          <w:rFonts w:hint="eastAsia" w:ascii="宋体" w:hAnsi="宋体" w:eastAsia="宋体" w:cs="宋体"/>
          <w:color w:val="000000" w:themeColor="text1"/>
          <w:sz w:val="24"/>
          <w:szCs w:val="24"/>
          <w:highlight w:val="none"/>
          <w14:textFill>
            <w14:solidFill>
              <w14:schemeClr w14:val="tx1"/>
            </w14:solidFill>
          </w14:textFill>
        </w:rPr>
        <w:t xml:space="preserve">总值</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的违约金</w:t>
      </w:r>
      <w:r>
        <w:rPr>
          <w:rFonts w:hint="eastAsia" w:ascii="宋体" w:hAnsi="宋体" w:eastAsia="宋体" w:cs="宋体"/>
          <w:color w:val="000000"/>
          <w:sz w:val="24"/>
          <w:szCs w:val="24"/>
          <w:highlight w:val="none"/>
        </w:rPr>
        <w:t xml:space="preserve">。</w:t>
      </w:r>
      <w:r/>
    </w:p>
    <w:p>
      <w:pPr>
        <w:pStyle w:val="710"/>
        <w:ind w:left="410" w:hanging="410"/>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11.2甲方无故逾期验收和办理合同款项支付手续的,甲方应按逾期付款</w:t>
      </w:r>
      <w:r>
        <w:rPr>
          <w:rFonts w:hint="eastAsia" w:ascii="宋体" w:hAnsi="宋体" w:eastAsia="宋体" w:cs="宋体"/>
          <w:color w:val="000000" w:themeColor="text1"/>
          <w:sz w:val="24"/>
          <w:szCs w:val="24"/>
          <w:highlight w:val="none"/>
          <w14:textFill>
            <w14:solidFill>
              <w14:schemeClr w14:val="tx1"/>
            </w14:solidFill>
          </w14:textFill>
        </w:rPr>
        <w:t xml:space="preserve">总额</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5</w:t>
      </w:r>
      <w:r>
        <w:rPr>
          <w:rFonts w:hint="default" w:ascii="Arial" w:hAnsi="Arial" w:eastAsia="宋体" w:cs="Arial"/>
          <w:color w:val="000000" w:themeColor="text1"/>
          <w:sz w:val="24"/>
          <w:szCs w:val="24"/>
          <w:highlight w:val="none"/>
          <w:u w:val="singl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每日</w:t>
      </w:r>
      <w:r>
        <w:rPr>
          <w:rFonts w:hint="eastAsia" w:ascii="宋体" w:hAnsi="宋体" w:eastAsia="宋体" w:cs="宋体"/>
          <w:color w:val="000000"/>
          <w:sz w:val="24"/>
          <w:szCs w:val="24"/>
          <w:highlight w:val="none"/>
        </w:rPr>
        <w:t xml:space="preserve">向乙方支付违约金。</w:t>
      </w:r>
      <w:r/>
    </w:p>
    <w:p>
      <w:pPr>
        <w:pStyle w:val="710"/>
        <w:ind w:left="410" w:hanging="410"/>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w:t>
      </w:r>
      <w:r>
        <w:rPr>
          <w:rFonts w:hint="eastAsia" w:ascii="宋体" w:hAnsi="宋体" w:eastAsia="宋体" w:cs="宋体"/>
          <w:color w:val="000000" w:themeColor="text1"/>
          <w:sz w:val="24"/>
          <w:szCs w:val="24"/>
          <w:highlight w:val="none"/>
          <w14:textFill>
            <w14:solidFill>
              <w14:schemeClr w14:val="tx1"/>
            </w14:solidFill>
          </w14:textFill>
        </w:rPr>
        <w:t xml:space="preserve">总额</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的违约金，</w:t>
      </w:r>
      <w:r>
        <w:rPr>
          <w:rFonts w:hint="eastAsia" w:ascii="宋体" w:hAnsi="宋体" w:eastAsia="宋体" w:cs="宋体"/>
          <w:color w:val="000000"/>
          <w:sz w:val="24"/>
          <w:szCs w:val="24"/>
          <w:highlight w:val="none"/>
        </w:rPr>
        <w:t xml:space="preserve">如造成甲方损失超过违约金的，超出部分由乙方继续承担赔偿责任。 </w:t>
      </w:r>
      <w:r/>
    </w:p>
    <w:p>
      <w:pPr>
        <w:jc w:val="both"/>
        <w:keepLines/>
        <w:keepNext/>
        <w:spacing w:beforeAutospacing="0" w:afterAutospacing="0" w:line="360" w:lineRule="auto"/>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11.4乙方所提供服务的标准不符合合同规定及招标文件规定标准的，甲方有权拒绝接受服务，并可单方面解除合同。</w:t>
      </w:r>
      <w:r/>
    </w:p>
    <w:p>
      <w:pPr>
        <w:jc w:val="both"/>
        <w:keepLines/>
        <w:keepNext/>
        <w:spacing w:beforeAutospacing="0" w:afterAutospacing="0" w:line="360" w:lineRule="auto"/>
        <w:widowControl w:val="off"/>
        <w:rPr>
          <w:sz w:val="24"/>
          <w:szCs w:val="24"/>
          <w:highlight w:val="none"/>
        </w:rPr>
        <w:outlineLvl w:val="1"/>
      </w:pPr>
      <w:r>
        <w:rPr>
          <w:rFonts w:hint="eastAsia" w:ascii="宋体" w:hAnsi="宋体" w:eastAsia="宋体" w:cs="宋体"/>
          <w:b/>
          <w:color w:val="000000"/>
          <w:sz w:val="24"/>
          <w:szCs w:val="24"/>
          <w:highlight w:val="none"/>
        </w:rPr>
        <w:t xml:space="preserve">十</w:t>
      </w:r>
      <w:r>
        <w:rPr>
          <w:rFonts w:hint="eastAsia" w:ascii="宋体" w:hAnsi="宋体" w:eastAsia="宋体" w:cs="宋体"/>
          <w:b/>
          <w:color w:val="000000"/>
          <w:sz w:val="24"/>
          <w:szCs w:val="24"/>
          <w:highlight w:val="none"/>
          <w:lang w:val="en-US" w:eastAsia="zh-CN"/>
        </w:rPr>
        <w:t xml:space="preserve">三</w:t>
      </w:r>
      <w:r>
        <w:rPr>
          <w:rFonts w:hint="eastAsia" w:ascii="宋体" w:hAnsi="宋体" w:eastAsia="宋体" w:cs="宋体"/>
          <w:b/>
          <w:color w:val="000000"/>
          <w:sz w:val="24"/>
          <w:szCs w:val="24"/>
          <w:highlight w:val="none"/>
        </w:rPr>
        <w:t xml:space="preserve">、不可抗力事件处理</w:t>
      </w:r>
      <w:r/>
    </w:p>
    <w:p>
      <w:pPr>
        <w:pStyle w:val="710"/>
        <w:ind w:left="480" w:hanging="480"/>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12.1在合同有效期内，任何一方因不可抗力事件导致不能履行合同，则合同履行期可延长，其延长期与不可抗力影响 期相同。</w:t>
      </w:r>
      <w:r/>
    </w:p>
    <w:p>
      <w:pPr>
        <w:pStyle w:val="710"/>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12.2不可抗力事件发生后，应立即通知对方，并寄送有关权威机构出具的证明。</w:t>
      </w:r>
      <w:r/>
    </w:p>
    <w:p>
      <w:pPr>
        <w:pStyle w:val="710"/>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12.3不可抗力事件延续120天以上，双方应通过友好协商，确定是否继续履行合同。</w:t>
      </w:r>
      <w:r/>
    </w:p>
    <w:p>
      <w:pPr>
        <w:pStyle w:val="710"/>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十</w:t>
      </w:r>
      <w:r>
        <w:rPr>
          <w:rFonts w:hint="eastAsia" w:ascii="宋体" w:hAnsi="宋体" w:eastAsia="宋体" w:cs="宋体"/>
          <w:b/>
          <w:color w:val="000000"/>
          <w:sz w:val="24"/>
          <w:szCs w:val="24"/>
          <w:highlight w:val="none"/>
          <w:lang w:val="en-US" w:eastAsia="zh-CN"/>
        </w:rPr>
        <w:t xml:space="preserve">四</w:t>
      </w:r>
      <w:r>
        <w:rPr>
          <w:rFonts w:hint="eastAsia" w:ascii="宋体" w:hAnsi="宋体" w:eastAsia="宋体" w:cs="宋体"/>
          <w:b/>
          <w:color w:val="000000"/>
          <w:sz w:val="24"/>
          <w:szCs w:val="24"/>
          <w:highlight w:val="none"/>
        </w:rPr>
        <w:t xml:space="preserve">、解决争议的方法</w:t>
      </w:r>
      <w:r/>
    </w:p>
    <w:p>
      <w:pPr>
        <w:pStyle w:val="710"/>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13.1双方在签订、履行合同中所发生的一切争议，应通过友好协商解决。如协商不成，由</w:t>
      </w:r>
      <w:r>
        <w:rPr>
          <w:rFonts w:hint="eastAsia" w:ascii="宋体" w:hAnsi="宋体" w:eastAsia="宋体" w:cs="宋体"/>
          <w:color w:val="000000"/>
          <w:sz w:val="24"/>
          <w:szCs w:val="24"/>
          <w:highlight w:val="none"/>
          <w:lang w:val="en-US" w:eastAsia="zh-CN"/>
        </w:rPr>
        <w:t xml:space="preserve">阜宁县</w:t>
      </w:r>
      <w:r>
        <w:rPr>
          <w:rFonts w:hint="eastAsia" w:ascii="宋体" w:hAnsi="宋体" w:eastAsia="宋体" w:cs="宋体"/>
          <w:color w:val="000000"/>
          <w:sz w:val="24"/>
          <w:szCs w:val="24"/>
          <w:highlight w:val="none"/>
        </w:rPr>
        <w:t xml:space="preserve">人民法院管辖。</w:t>
      </w:r>
      <w:r/>
    </w:p>
    <w:p>
      <w:pPr>
        <w:pStyle w:val="710"/>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十</w:t>
      </w:r>
      <w:r>
        <w:rPr>
          <w:rFonts w:hint="eastAsia" w:ascii="宋体" w:hAnsi="宋体" w:eastAsia="宋体" w:cs="宋体"/>
          <w:b/>
          <w:color w:val="000000"/>
          <w:sz w:val="24"/>
          <w:szCs w:val="24"/>
          <w:highlight w:val="none"/>
          <w:lang w:val="en-US" w:eastAsia="zh-CN"/>
        </w:rPr>
        <w:t xml:space="preserve">五</w:t>
      </w:r>
      <w:r>
        <w:rPr>
          <w:rFonts w:hint="eastAsia" w:ascii="宋体" w:hAnsi="宋体" w:eastAsia="宋体" w:cs="宋体"/>
          <w:b/>
          <w:color w:val="000000"/>
          <w:sz w:val="24"/>
          <w:szCs w:val="24"/>
          <w:highlight w:val="none"/>
        </w:rPr>
        <w:t xml:space="preserve">、合同生效及其</w:t>
      </w:r>
      <w:r>
        <w:rPr>
          <w:rFonts w:hint="eastAsia" w:ascii="宋体" w:hAnsi="宋体" w:eastAsia="宋体" w:cs="宋体"/>
          <w:b/>
          <w:color w:val="000000"/>
          <w:sz w:val="24"/>
          <w:szCs w:val="24"/>
          <w:highlight w:val="none"/>
          <w:lang w:eastAsia="zh-CN"/>
        </w:rPr>
        <w:t xml:space="preserve">他</w:t>
      </w:r>
      <w:r/>
    </w:p>
    <w:p>
      <w:pPr>
        <w:pStyle w:val="710"/>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14.1合同经双方法定代表人或授权委托代表人签字并加盖单位公章后生效。</w:t>
      </w:r>
      <w:r/>
    </w:p>
    <w:p>
      <w:pPr>
        <w:pStyle w:val="710"/>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14.2本合同未尽事宜，遵照《</w:t>
      </w:r>
      <w:r>
        <w:rPr>
          <w:rFonts w:hint="eastAsia" w:ascii="宋体" w:hAnsi="宋体" w:eastAsia="宋体" w:cs="宋体"/>
          <w:color w:val="000000"/>
          <w:sz w:val="24"/>
          <w:szCs w:val="24"/>
          <w:highlight w:val="none"/>
          <w:lang w:val="en-US" w:eastAsia="zh-CN"/>
        </w:rPr>
        <w:t xml:space="preserve">中华人民共和国</w:t>
      </w:r>
      <w:r>
        <w:rPr>
          <w:rFonts w:hint="eastAsia" w:ascii="宋体" w:hAnsi="宋体" w:eastAsia="宋体" w:cs="宋体"/>
          <w:color w:val="000000"/>
          <w:sz w:val="24"/>
          <w:szCs w:val="24"/>
          <w:highlight w:val="none"/>
        </w:rPr>
        <w:t xml:space="preserve">民法典》、《政府采购法》有关条文执行。</w:t>
      </w:r>
      <w:r/>
    </w:p>
    <w:p>
      <w:pPr>
        <w:pStyle w:val="710"/>
        <w:ind w:left="480" w:hanging="480"/>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14.3 本合同正本一式</w:t>
      </w:r>
      <w:r>
        <w:rPr>
          <w:rFonts w:hint="eastAsia" w:ascii="宋体" w:hAnsi="宋体" w:eastAsia="宋体" w:cs="宋体"/>
          <w:color w:val="000000"/>
          <w:sz w:val="24"/>
          <w:szCs w:val="24"/>
          <w:highlight w:val="none"/>
          <w:lang w:eastAsia="zh-CN"/>
        </w:rPr>
        <w:t xml:space="preserve">陆</w:t>
      </w:r>
      <w:r>
        <w:rPr>
          <w:rFonts w:hint="eastAsia" w:ascii="宋体" w:hAnsi="宋体" w:eastAsia="宋体" w:cs="宋体"/>
          <w:color w:val="000000"/>
          <w:sz w:val="24"/>
          <w:szCs w:val="24"/>
          <w:highlight w:val="none"/>
        </w:rPr>
        <w:t xml:space="preserve">份，具有同等法律效力，甲方、乙方各执</w:t>
      </w:r>
      <w:r>
        <w:rPr>
          <w:rFonts w:hint="eastAsia" w:ascii="宋体" w:hAnsi="宋体" w:eastAsia="宋体" w:cs="宋体"/>
          <w:color w:val="000000"/>
          <w:sz w:val="24"/>
          <w:szCs w:val="24"/>
          <w:highlight w:val="none"/>
          <w:lang w:eastAsia="zh-CN"/>
        </w:rPr>
        <w:t xml:space="preserve">贰份，代理公司贰</w:t>
      </w:r>
      <w:r>
        <w:rPr>
          <w:rFonts w:hint="eastAsia" w:ascii="宋体" w:hAnsi="宋体" w:eastAsia="宋体" w:cs="宋体"/>
          <w:color w:val="000000"/>
          <w:sz w:val="24"/>
          <w:szCs w:val="24"/>
          <w:highlight w:val="none"/>
        </w:rPr>
        <w:t xml:space="preserve">份。</w:t>
      </w:r>
      <w:r/>
    </w:p>
    <w:p>
      <w:pPr>
        <w:pStyle w:val="710"/>
        <w:ind w:left="480" w:hanging="480"/>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p>
      <w:pPr>
        <w:pStyle w:val="710"/>
        <w:ind w:left="480" w:hanging="480"/>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 甲方：                        乙方： </w:t>
      </w:r>
      <w:r/>
    </w:p>
    <w:p>
      <w:pPr>
        <w:pStyle w:val="710"/>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  地址：                        地址： </w:t>
      </w:r>
      <w:r/>
    </w:p>
    <w:p>
      <w:pPr>
        <w:pStyle w:val="710"/>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  法定代表人或授权代表：        法定代表人或授权代表：</w:t>
      </w:r>
      <w:r/>
    </w:p>
    <w:p>
      <w:pPr>
        <w:pStyle w:val="710"/>
        <w:ind w:firstLine="240"/>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联系电话：               联系电话：          </w:t>
      </w:r>
      <w:r/>
    </w:p>
    <w:p>
      <w:pPr>
        <w:pStyle w:val="712"/>
        <w:rPr>
          <w:rFonts w:hint="default"/>
          <w:lang w:val="en-US" w:eastAsia="zh-CN"/>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color w:val="000000"/>
          <w:sz w:val="24"/>
          <w:szCs w:val="24"/>
          <w:highlight w:val="none"/>
        </w:rPr>
        <w:t xml:space="preserve">                                          签订日期：      年    月   日</w:t>
      </w:r>
      <w:r>
        <w:rPr>
          <w:rFonts w:hint="eastAsia" w:ascii="黑体" w:hAnsi="宋体" w:eastAsia="黑体" w:cs="黑体"/>
          <w:color w:val="000000"/>
          <w:sz w:val="24"/>
          <w:szCs w:val="24"/>
          <w:highlight w:val="none"/>
        </w:rPr>
        <w:br w:type="page" w:clear="all"/>
      </w:r>
      <w:r/>
    </w:p>
    <w:p>
      <w:pPr>
        <w:pStyle w:val="710"/>
        <w:jc w:val="both"/>
        <w:spacing w:before="120" w:beforeAutospacing="0" w:after="120" w:afterAutospacing="0" w:line="500" w:lineRule="exact"/>
      </w:pPr>
      <w:r/>
      <w:bookmarkStart w:id="172" w:name="_Toc20823346"/>
      <w:r/>
      <w:bookmarkStart w:id="173" w:name="_Hlt16619350"/>
      <w:r/>
      <w:bookmarkStart w:id="174" w:name="_Toc462564139"/>
      <w:r/>
      <w:bookmarkStart w:id="175" w:name="_Toc16938590"/>
      <w:r/>
      <w:bookmarkStart w:id="176" w:name="_Toc479757211"/>
      <w:r/>
      <w:bookmarkStart w:id="177" w:name="_Toc120614244"/>
      <w:r/>
      <w:bookmarkStart w:id="178" w:name="_Hlt16619369"/>
      <w:r>
        <w:rPr>
          <w:rFonts w:hint="eastAsia" w:ascii="黑体" w:hAnsi="宋体" w:eastAsia="黑体" w:cs="黑体"/>
          <w:color w:val="000000"/>
          <w:sz w:val="44"/>
          <w:szCs w:val="44"/>
          <w:highlight w:val="none"/>
        </w:rPr>
        <w:t xml:space="preserve"> </w:t>
      </w:r>
      <w:bookmarkEnd w:id="172"/>
      <w:r/>
      <w:bookmarkEnd w:id="173"/>
      <w:r/>
      <w:bookmarkEnd w:id="174"/>
      <w:r/>
      <w:bookmarkEnd w:id="175"/>
      <w:r/>
      <w:bookmarkEnd w:id="176"/>
      <w:r/>
      <w:bookmarkEnd w:id="177"/>
      <w:r/>
      <w:bookmarkStart w:id="179" w:name="_Toc120614281"/>
      <w:r>
        <w:rPr>
          <w:rFonts w:hint="eastAsia" w:ascii="黑体" w:hAnsi="宋体" w:eastAsia="黑体" w:cs="黑体"/>
          <w:color w:val="000000"/>
          <w:sz w:val="44"/>
          <w:szCs w:val="44"/>
          <w:highlight w:val="none"/>
          <w:lang w:val="en-US" w:eastAsia="zh-CN"/>
        </w:rPr>
        <w:t xml:space="preserve">             </w:t>
      </w:r>
      <w:r>
        <w:rPr>
          <w:rFonts w:hint="eastAsia" w:ascii="黑体" w:hAnsi="宋体" w:eastAsia="黑体" w:cs="黑体"/>
          <w:color w:val="000000"/>
          <w:sz w:val="44"/>
          <w:szCs w:val="44"/>
        </w:rPr>
        <w:t xml:space="preserve">第四章 采购需求</w:t>
      </w:r>
      <w:r/>
    </w:p>
    <w:p>
      <w:pPr>
        <w:rPr>
          <w:rFonts w:hint="eastAsia" w:ascii="宋体" w:hAnsi="宋体" w:cs="宋体"/>
          <w:sz w:val="24"/>
        </w:rPr>
      </w:pPr>
      <w:r>
        <w:rPr>
          <w:rFonts w:hint="eastAsia" w:ascii="宋体" w:hAnsi="宋体" w:cs="宋体"/>
          <w:sz w:val="24"/>
        </w:rPr>
      </w:r>
      <w:r/>
    </w:p>
    <w:p>
      <w:pPr>
        <w:keepLines/>
        <w:keepNext/>
        <w:spacing w:line="360" w:lineRule="auto"/>
        <w:rPr>
          <w:rFonts w:hint="eastAsia"/>
          <w:b/>
          <w:sz w:val="28"/>
        </w:rPr>
        <w:outlineLvl w:val="1"/>
      </w:pPr>
      <w:r>
        <w:rPr>
          <w:rFonts w:hint="eastAsia" w:ascii="宋体" w:hAnsi="宋体" w:cs="宋体"/>
          <w:b/>
          <w:sz w:val="28"/>
        </w:rPr>
        <w:t xml:space="preserve">（一）食品快检运维服务</w:t>
      </w:r>
      <w:r/>
    </w:p>
    <w:p>
      <w:pPr>
        <w:keepLines/>
        <w:keepNext/>
        <w:spacing w:line="360" w:lineRule="auto"/>
        <w:rPr>
          <w:rFonts w:hint="eastAsia"/>
          <w:b/>
          <w:sz w:val="28"/>
        </w:rPr>
        <w:outlineLvl w:val="2"/>
      </w:pPr>
      <w:r>
        <w:rPr>
          <w:rFonts w:hint="eastAsia"/>
          <w:b/>
          <w:sz w:val="28"/>
        </w:rPr>
        <w:t xml:space="preserve">1、</w:t>
      </w:r>
      <w:r>
        <w:rPr>
          <w:rFonts w:hint="eastAsia"/>
          <w:b/>
          <w:color w:val="auto"/>
          <w:sz w:val="28"/>
        </w:rPr>
        <w:t xml:space="preserve">农贸（农批）市场快</w:t>
      </w:r>
      <w:r>
        <w:rPr>
          <w:rFonts w:hint="eastAsia"/>
          <w:b/>
          <w:sz w:val="28"/>
        </w:rPr>
        <w:t xml:space="preserve">检服务总体要求</w:t>
      </w:r>
      <w:r/>
    </w:p>
    <w:p>
      <w:pPr>
        <w:ind w:firstLine="480"/>
        <w:jc w:val="left"/>
        <w:spacing w:line="360" w:lineRule="auto"/>
        <w:widowControl/>
        <w:rPr>
          <w:rFonts w:hint="eastAsia" w:ascii="仿宋" w:hAnsi="仿宋" w:eastAsia="仿宋" w:cs="仿宋"/>
          <w:sz w:val="28"/>
          <w:szCs w:val="28"/>
        </w:rPr>
      </w:pPr>
      <w:r>
        <w:rPr>
          <w:rFonts w:hint="eastAsia" w:ascii="宋体" w:hAnsi="宋体" w:cs="宋体"/>
          <w:sz w:val="24"/>
        </w:rPr>
        <w:t xml:space="preserve">围绕保障食品安全这一中心任务，全面促进全县食品安全监管工作和提高全县食品安全水平，发挥好食品安全快检作为食品安全监管工作宣传阵地的作用，根据《食品安全法》、《食用农产品市场销售质量安全监督管理办法》、《市场监管总局关于规范食品快速检测使用的意见》等相关法律法规的要求，采购人拟组织对全县各类食品开展快速检测，目的是排查食品安全隐患，防控食品安全风险，提升农贸市场食品安全管理水平，保障全县人民群众饮食安全</w:t>
      </w:r>
      <w:r>
        <w:rPr>
          <w:rFonts w:hint="eastAsia" w:ascii="仿宋" w:hAnsi="仿宋" w:eastAsia="仿宋" w:cs="仿宋"/>
          <w:sz w:val="28"/>
          <w:szCs w:val="28"/>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yellow"/>
          <w:lang w:bidi="ar"/>
        </w:rPr>
      </w:pPr>
      <w:r>
        <w:rPr>
          <w:rFonts w:hint="eastAsia" w:ascii="宋体" w:hAnsi="宋体" w:cs="宋体"/>
          <w:color w:val="auto"/>
          <w:sz w:val="24"/>
          <w:highlight w:val="none"/>
          <w:lang w:bidi="ar"/>
        </w:rPr>
        <w:t xml:space="preserve">投标人需根据</w:t>
      </w:r>
      <w:r>
        <w:rPr>
          <w:rFonts w:hint="eastAsia" w:ascii="宋体" w:hAnsi="宋体" w:eastAsia="宋体" w:cs="宋体"/>
          <w:color w:val="auto"/>
          <w:sz w:val="24"/>
          <w:highlight w:val="none"/>
          <w:lang w:val="en-US" w:eastAsia="zh-CN" w:bidi="ar"/>
        </w:rPr>
        <w:t xml:space="preserve">阜宁</w:t>
      </w:r>
      <w:r>
        <w:rPr>
          <w:rFonts w:hint="eastAsia" w:ascii="宋体" w:hAnsi="宋体" w:cs="宋体"/>
          <w:color w:val="auto"/>
          <w:sz w:val="24"/>
          <w:highlight w:val="none"/>
          <w:lang w:bidi="ar"/>
        </w:rPr>
        <w:t xml:space="preserve">县市场监督局食品快速检测工作计划安排，承担</w:t>
      </w:r>
      <w:r>
        <w:rPr>
          <w:rFonts w:hint="eastAsia" w:ascii="宋体" w:hAnsi="宋体" w:eastAsia="宋体" w:cs="宋体"/>
          <w:color w:val="auto"/>
          <w:sz w:val="24"/>
          <w:highlight w:val="none"/>
          <w:lang w:val="en-US" w:eastAsia="zh-CN" w:bidi="ar"/>
        </w:rPr>
        <w:t xml:space="preserve">阜宁</w:t>
      </w:r>
      <w:r>
        <w:rPr>
          <w:rFonts w:hint="eastAsia" w:ascii="宋体" w:hAnsi="宋体" w:cs="宋体"/>
          <w:color w:val="auto"/>
          <w:sz w:val="24"/>
          <w:highlight w:val="none"/>
          <w:lang w:bidi="ar"/>
        </w:rPr>
        <w:t xml:space="preserve">县市场监督管理局2026-2027年食品安全快</w:t>
      </w:r>
      <w:r>
        <w:rPr>
          <w:rFonts w:hint="eastAsia" w:ascii="宋体" w:hAnsi="宋体" w:cs="宋体"/>
          <w:color w:val="000000"/>
          <w:sz w:val="24"/>
          <w:highlight w:val="none"/>
          <w:lang w:bidi="ar"/>
        </w:rPr>
        <w:t xml:space="preserve">检</w:t>
      </w:r>
      <w:r>
        <w:rPr>
          <w:rFonts w:hint="eastAsia" w:ascii="宋体" w:hAnsi="宋体" w:cs="宋体"/>
          <w:color w:val="auto"/>
          <w:sz w:val="24"/>
          <w:highlight w:val="none"/>
          <w:lang w:bidi="ar"/>
        </w:rPr>
        <w:t xml:space="preserve">服务</w:t>
      </w:r>
      <w:r>
        <w:rPr>
          <w:rFonts w:hint="eastAsia" w:ascii="宋体" w:hAnsi="宋体" w:cs="宋体"/>
          <w:color w:val="000000"/>
          <w:sz w:val="24"/>
          <w:highlight w:val="none"/>
          <w:lang w:bidi="ar"/>
        </w:rPr>
        <w:t xml:space="preserve">工作。</w:t>
      </w:r>
      <w:r>
        <w:rPr>
          <w:rFonts w:hint="eastAsia" w:ascii="宋体" w:hAnsi="宋体" w:cs="宋体"/>
          <w:sz w:val="24"/>
          <w:highlight w:val="none"/>
        </w:rPr>
        <w:t xml:space="preserve">为</w:t>
      </w:r>
      <w:r>
        <w:rPr>
          <w:rFonts w:hint="eastAsia" w:ascii="宋体" w:hAnsi="宋体" w:eastAsia="宋体" w:cs="宋体"/>
          <w:sz w:val="24"/>
          <w:highlight w:val="none"/>
          <w:lang w:val="en-US" w:eastAsia="zh-CN"/>
        </w:rPr>
        <w:t xml:space="preserve">阜宁</w:t>
      </w:r>
      <w:r>
        <w:rPr>
          <w:rFonts w:hint="eastAsia" w:ascii="宋体" w:hAnsi="宋体" w:cs="宋体"/>
          <w:sz w:val="24"/>
          <w:highlight w:val="none"/>
        </w:rPr>
        <w:t xml:space="preserve">县区域内的</w:t>
      </w:r>
      <w:r>
        <w:rPr>
          <w:rFonts w:hint="eastAsia" w:ascii="宋体" w:hAnsi="宋体" w:eastAsia="宋体" w:cs="宋体"/>
          <w:sz w:val="24"/>
          <w:highlight w:val="none"/>
          <w:lang w:val="en-US" w:eastAsia="zh-CN"/>
        </w:rPr>
        <w:t xml:space="preserve">44个</w:t>
      </w:r>
      <w:r>
        <w:rPr>
          <w:rFonts w:hint="eastAsia" w:ascii="宋体" w:hAnsi="宋体" w:cs="宋体"/>
          <w:sz w:val="24"/>
          <w:highlight w:val="none"/>
        </w:rPr>
        <w:t xml:space="preserve">农贸（农批）市场</w:t>
      </w:r>
      <w:r>
        <w:rPr>
          <w:rFonts w:hint="eastAsia" w:ascii="宋体" w:hAnsi="宋体" w:eastAsia="宋体" w:cs="宋体"/>
          <w:sz w:val="24"/>
          <w:highlight w:val="none"/>
          <w:lang w:val="en-US" w:eastAsia="zh-CN"/>
        </w:rPr>
        <w:t xml:space="preserve">快检室</w:t>
      </w:r>
      <w:r>
        <w:rPr>
          <w:rFonts w:hint="eastAsia" w:ascii="宋体" w:hAnsi="宋体" w:cs="宋体"/>
          <w:sz w:val="24"/>
          <w:highlight w:val="none"/>
        </w:rPr>
        <w:t xml:space="preserve">，通过派驻专职检测人员的方式，提供市场内食用农产品抽样、快速检测、结果公示</w:t>
      </w:r>
      <w:r>
        <w:rPr>
          <w:rFonts w:hint="eastAsia" w:ascii="宋体" w:hAnsi="宋体" w:eastAsia="宋体" w:cs="宋体"/>
          <w:sz w:val="24"/>
          <w:highlight w:val="none"/>
          <w:lang w:val="en-US" w:eastAsia="zh-CN"/>
        </w:rPr>
        <w:t xml:space="preserve">等</w:t>
      </w:r>
      <w:r>
        <w:rPr>
          <w:rFonts w:hint="eastAsia" w:ascii="宋体" w:hAnsi="宋体" w:cs="宋体"/>
          <w:sz w:val="24"/>
          <w:highlight w:val="none"/>
        </w:rPr>
        <w:t xml:space="preserve">服务。</w:t>
      </w:r>
      <w:r>
        <w:rPr>
          <w:rFonts w:hint="eastAsia" w:ascii="宋体" w:hAnsi="宋体" w:cs="宋体"/>
          <w:color w:val="000000"/>
          <w:sz w:val="24"/>
          <w:highlight w:val="none"/>
          <w:lang w:bidi="ar"/>
        </w:rPr>
        <w:t xml:space="preserve">新建沟墩七一河市场快检室，设备由中标单位自带，装修风格和其他市场接近</w:t>
      </w:r>
      <w:r>
        <w:rPr>
          <w:rFonts w:hint="eastAsia" w:ascii="宋体" w:hAnsi="宋体" w:eastAsia="宋体" w:cs="宋体"/>
          <w:color w:val="000000"/>
          <w:sz w:val="24"/>
          <w:highlight w:val="none"/>
          <w:lang w:eastAsia="zh-CN" w:bidi="ar"/>
        </w:rPr>
        <w:t xml:space="preserve">，</w:t>
      </w:r>
      <w:r>
        <w:rPr>
          <w:rFonts w:hint="eastAsia" w:ascii="宋体" w:hAnsi="宋体" w:eastAsia="宋体" w:cs="宋体"/>
          <w:b/>
          <w:bCs/>
          <w:color w:val="auto"/>
          <w:sz w:val="24"/>
          <w:szCs w:val="24"/>
          <w:highlight w:val="none"/>
          <w:u w:val="single"/>
          <w:lang w:val="en-US" w:eastAsia="zh-CN" w:bidi="ar"/>
        </w:rPr>
        <w:t xml:space="preserve">中标后2个月内投入运维</w:t>
      </w:r>
      <w:r>
        <w:rPr>
          <w:rFonts w:hint="eastAsia" w:ascii="宋体" w:hAnsi="宋体" w:eastAsia="宋体" w:cs="宋体"/>
          <w:b/>
          <w:bCs/>
          <w:color w:val="auto"/>
          <w:sz w:val="24"/>
          <w:szCs w:val="24"/>
          <w:highlight w:val="none"/>
          <w:u w:val="single"/>
          <w:lang w:eastAsia="zh-CN" w:bidi="ar"/>
        </w:rPr>
        <w:t xml:space="preserve">。</w:t>
      </w:r>
      <w:r>
        <w:rPr>
          <w:rFonts w:hint="eastAsia" w:ascii="宋体" w:hAnsi="宋体" w:eastAsia="宋体" w:cs="宋体"/>
          <w:color w:val="auto"/>
          <w:sz w:val="24"/>
          <w:szCs w:val="24"/>
          <w:highlight w:val="none"/>
          <w:lang w:val="en-US" w:eastAsia="zh-CN" w:bidi="ar"/>
        </w:rPr>
        <w:t xml:space="preserve"> 服</w:t>
      </w:r>
      <w:r>
        <w:rPr>
          <w:rFonts w:hint="eastAsia" w:ascii="宋体" w:hAnsi="宋体" w:eastAsia="宋体" w:cs="宋体"/>
          <w:color w:val="auto"/>
          <w:sz w:val="24"/>
          <w:szCs w:val="24"/>
          <w:highlight w:val="none"/>
          <w:lang w:eastAsia="zh-CN" w:bidi="ar"/>
        </w:rPr>
        <w:t xml:space="preserve">务期内重点问题食用农产品检测样本数量不少于</w:t>
      </w:r>
      <w:r>
        <w:rPr>
          <w:rFonts w:hint="eastAsia" w:ascii="宋体" w:hAnsi="宋体" w:eastAsia="宋体" w:cs="宋体"/>
          <w:color w:val="auto"/>
          <w:sz w:val="24"/>
          <w:szCs w:val="24"/>
          <w:highlight w:val="none"/>
          <w:lang w:val="en-US" w:eastAsia="zh-CN" w:bidi="ar"/>
        </w:rPr>
        <w:t xml:space="preserve">40000</w:t>
      </w:r>
      <w:r>
        <w:rPr>
          <w:rFonts w:hint="eastAsia" w:ascii="宋体" w:hAnsi="宋体" w:eastAsia="宋体" w:cs="宋体"/>
          <w:color w:val="auto"/>
          <w:sz w:val="24"/>
          <w:szCs w:val="24"/>
          <w:highlight w:val="none"/>
          <w:lang w:eastAsia="zh-CN" w:bidi="ar"/>
        </w:rPr>
        <w:t xml:space="preserve">个</w:t>
      </w:r>
      <w:r>
        <w:rPr>
          <w:rFonts w:hint="eastAsia" w:ascii="宋体" w:hAnsi="宋体" w:eastAsia="宋体" w:cs="宋体"/>
          <w:color w:val="auto"/>
          <w:sz w:val="24"/>
          <w:szCs w:val="24"/>
          <w:highlight w:val="none"/>
          <w:u w:val="none"/>
          <w:lang w:val="en-US" w:eastAsia="zh-CN"/>
        </w:rPr>
        <w:t xml:space="preserve">（其中</w:t>
      </w:r>
      <w:r>
        <w:rPr>
          <w:rFonts w:hint="default" w:ascii="宋体" w:hAnsi="宋体" w:eastAsia="宋体" w:cs="宋体"/>
          <w:color w:val="auto"/>
          <w:sz w:val="24"/>
          <w:szCs w:val="24"/>
          <w:highlight w:val="none"/>
          <w:u w:val="none"/>
          <w:lang w:val="en-US" w:eastAsia="zh-CN"/>
        </w:rPr>
        <w:t xml:space="preserve">“七条鱼</w:t>
      </w:r>
      <w:r>
        <w:rPr>
          <w:rFonts w:hint="eastAsia" w:ascii="宋体" w:hAnsi="宋体" w:eastAsia="宋体" w:cs="宋体"/>
          <w:color w:val="auto"/>
          <w:sz w:val="24"/>
          <w:szCs w:val="24"/>
          <w:highlight w:val="none"/>
          <w:u w:val="none"/>
          <w:lang w:val="en-US" w:eastAsia="zh-CN"/>
        </w:rPr>
        <w:t xml:space="preserve">与海参</w:t>
      </w:r>
      <w:r>
        <w:rPr>
          <w:rFonts w:hint="default" w:ascii="宋体" w:hAnsi="宋体" w:eastAsia="宋体" w:cs="宋体"/>
          <w:color w:val="auto"/>
          <w:sz w:val="24"/>
          <w:szCs w:val="24"/>
          <w:highlight w:val="none"/>
          <w:u w:val="none"/>
          <w:lang w:val="en-US" w:eastAsia="zh-CN"/>
        </w:rPr>
        <w:t xml:space="preserve">”</w:t>
      </w:r>
      <w:r>
        <w:rPr>
          <w:rFonts w:hint="eastAsia" w:ascii="宋体" w:hAnsi="宋体" w:eastAsia="宋体" w:cs="宋体"/>
          <w:color w:val="auto"/>
          <w:sz w:val="24"/>
          <w:szCs w:val="24"/>
          <w:highlight w:val="none"/>
          <w:u w:val="none"/>
          <w:lang w:val="en-US" w:eastAsia="zh-CN"/>
        </w:rPr>
        <w:t xml:space="preserve">样本不少于24000个，</w:t>
      </w:r>
      <w:r>
        <w:rPr>
          <w:rStyle w:val="872"/>
          <w:rFonts w:hint="eastAsia" w:ascii="宋体" w:hAnsi="宋体"/>
          <w:b w:val="0"/>
          <w:i w:val="0"/>
          <w:caps w:val="0"/>
          <w:color w:val="auto"/>
          <w:spacing w:val="0"/>
          <w:sz w:val="24"/>
          <w:szCs w:val="24"/>
          <w:highlight w:val="none"/>
          <w:lang w:val="en-US" w:eastAsia="zh-CN" w:bidi="ar-SA"/>
        </w:rPr>
        <w:t xml:space="preserve">其余重点问题食用农产品样本不少于16000个</w:t>
      </w:r>
      <w:r>
        <w:rPr>
          <w:rFonts w:hint="eastAsia" w:ascii="宋体" w:hAnsi="宋体" w:eastAsia="宋体" w:cs="宋体"/>
          <w:color w:val="auto"/>
          <w:sz w:val="24"/>
          <w:szCs w:val="24"/>
          <w:highlight w:val="none"/>
          <w:u w:val="none"/>
          <w:lang w:val="en-US" w:eastAsia="zh-CN"/>
        </w:rPr>
        <w:t xml:space="preserve">），总检测参数不少于</w:t>
      </w:r>
      <w:r>
        <w:rPr>
          <w:rFonts w:hint="eastAsia" w:ascii="宋体" w:hAnsi="宋体" w:eastAsia="宋体" w:cs="宋体"/>
          <w:color w:val="auto"/>
          <w:sz w:val="24"/>
          <w:szCs w:val="24"/>
          <w:highlight w:val="none"/>
          <w:lang w:val="en-US" w:eastAsia="zh-CN"/>
        </w:rPr>
        <w:t xml:space="preserve">172320</w:t>
      </w:r>
      <w:r>
        <w:rPr>
          <w:rStyle w:val="872"/>
          <w:rFonts w:hint="eastAsia" w:ascii="宋体" w:hAnsi="宋体"/>
          <w:b w:val="0"/>
          <w:i w:val="0"/>
          <w:caps w:val="0"/>
          <w:color w:val="auto"/>
          <w:spacing w:val="0"/>
          <w:sz w:val="24"/>
          <w:szCs w:val="24"/>
          <w:highlight w:val="none"/>
          <w:lang w:val="en-US" w:eastAsia="zh-CN" w:bidi="ar-SA"/>
        </w:rPr>
        <w:t xml:space="preserve">参数（其中“七条鱼与海参”样本不少于60000参数，其余重点问题食用农产品样本不少于34000参数，猪肉、牛</w:t>
      </w:r>
      <w:r>
        <w:rPr>
          <w:rStyle w:val="872"/>
          <w:rFonts w:hint="eastAsia" w:ascii="宋体" w:hAnsi="宋体" w:eastAsia="宋体"/>
          <w:b w:val="0"/>
          <w:i w:val="0"/>
          <w:caps w:val="0"/>
          <w:color w:val="auto"/>
          <w:spacing w:val="0"/>
          <w:sz w:val="24"/>
          <w:szCs w:val="24"/>
          <w:highlight w:val="none"/>
          <w:lang w:val="en-US" w:eastAsia="zh-CN" w:bidi="ar-SA"/>
        </w:rPr>
        <w:t xml:space="preserve">肉及其制品等临时调整品种10000个参数【由局里根据上级布置情况进行调整】</w:t>
      </w:r>
      <w:r>
        <w:rPr>
          <w:rStyle w:val="872"/>
          <w:rFonts w:hint="eastAsia" w:ascii="宋体" w:hAnsi="宋体"/>
          <w:b w:val="0"/>
          <w:i w:val="0"/>
          <w:caps w:val="0"/>
          <w:color w:val="auto"/>
          <w:spacing w:val="0"/>
          <w:sz w:val="24"/>
          <w:szCs w:val="24"/>
          <w:highlight w:val="none"/>
          <w:lang w:val="en-US" w:eastAsia="zh-CN" w:bidi="ar-SA"/>
        </w:rPr>
        <w:t xml:space="preserve">）</w:t>
      </w:r>
      <w:r>
        <w:rPr>
          <w:rFonts w:hint="eastAsia" w:ascii="宋体" w:hAnsi="宋体" w:cs="宋体"/>
          <w:color w:val="auto"/>
          <w:sz w:val="24"/>
          <w:highlight w:val="none"/>
        </w:rPr>
        <w:t xml:space="preserve">，</w:t>
      </w:r>
      <w:r>
        <w:rPr>
          <w:rFonts w:hint="eastAsia" w:ascii="宋体" w:hAnsi="宋体" w:eastAsia="宋体" w:cs="宋体"/>
          <w:color w:val="auto"/>
          <w:sz w:val="24"/>
          <w:highlight w:val="none"/>
        </w:rPr>
        <w:t xml:space="preserve">所有检测数据信息归采购方所有，不得外传并需为采购方保存检测数据至少2年</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szCs w:val="24"/>
          <w:highlight w:val="none"/>
          <w:lang w:eastAsia="zh-CN" w:bidi="ar"/>
        </w:rPr>
        <w:t xml:space="preserve">具体需求见招标文件</w:t>
      </w:r>
      <w:r>
        <w:rPr>
          <w:rFonts w:hint="eastAsia" w:ascii="宋体" w:hAnsi="宋体" w:eastAsia="宋体" w:cs="宋体"/>
          <w:color w:val="auto"/>
          <w:sz w:val="24"/>
          <w:szCs w:val="24"/>
          <w:highlight w:val="none"/>
          <w:lang w:val="en-US" w:eastAsia="zh-CN" w:bidi="ar"/>
        </w:rPr>
        <w:t xml:space="preserve">项目需求</w:t>
      </w:r>
      <w:r>
        <w:rPr>
          <w:rFonts w:hint="eastAsia" w:ascii="宋体" w:hAnsi="宋体" w:eastAsia="宋体" w:cs="宋体"/>
          <w:color w:val="auto"/>
          <w:sz w:val="24"/>
          <w:szCs w:val="24"/>
          <w:highlight w:val="none"/>
          <w:lang w:bidi="ar"/>
        </w:rPr>
        <w:t xml:space="preserve">。</w:t>
      </w:r>
      <w:r>
        <w:rPr>
          <w:rFonts w:hint="eastAsia" w:ascii="宋体" w:hAnsi="宋体" w:cs="宋体"/>
          <w:color w:val="auto"/>
          <w:sz w:val="24"/>
          <w:highlight w:val="none"/>
        </w:rPr>
        <w:t xml:space="preserve">，</w:t>
      </w:r>
      <w:r>
        <w:rPr>
          <w:rFonts w:hint="eastAsia" w:ascii="宋体" w:hAnsi="宋体" w:cs="宋体"/>
          <w:color w:val="auto"/>
          <w:sz w:val="24"/>
          <w:highlight w:val="none"/>
          <w:lang w:val="zh-CN"/>
        </w:rPr>
        <w:t xml:space="preserve">同时按照</w:t>
      </w:r>
      <w:r>
        <w:rPr>
          <w:rFonts w:hint="eastAsia" w:ascii="宋体" w:hAnsi="宋体" w:cs="宋体"/>
          <w:sz w:val="24"/>
          <w:highlight w:val="none"/>
          <w:lang w:val="zh-CN"/>
        </w:rPr>
        <w:t xml:space="preserve">要求上传、报送快检数据，协助</w:t>
      </w:r>
      <w:r>
        <w:rPr>
          <w:rFonts w:hint="eastAsia" w:ascii="宋体" w:hAnsi="宋体" w:eastAsia="宋体" w:cs="宋体"/>
          <w:sz w:val="24"/>
          <w:highlight w:val="none"/>
          <w:lang w:val="en-US" w:eastAsia="zh-CN"/>
        </w:rPr>
        <w:t xml:space="preserve">阜宁</w:t>
      </w:r>
      <w:r>
        <w:rPr>
          <w:rFonts w:hint="eastAsia" w:ascii="宋体" w:hAnsi="宋体" w:cs="宋体"/>
          <w:sz w:val="24"/>
          <w:highlight w:val="none"/>
        </w:rPr>
        <w:t xml:space="preserve">县</w:t>
      </w:r>
      <w:r>
        <w:rPr>
          <w:rFonts w:hint="eastAsia" w:ascii="宋体" w:hAnsi="宋体" w:cs="宋体"/>
          <w:sz w:val="24"/>
          <w:highlight w:val="none"/>
          <w:lang w:val="zh-CN"/>
        </w:rPr>
        <w:t xml:space="preserve">市场监督管理局做好相关快检结果后续处理工作，实现从样品抽取到完成后续处理的全周期服务。</w:t>
      </w:r>
      <w:r/>
    </w:p>
    <w:p>
      <w:pPr>
        <w:ind w:firstLine="480"/>
        <w:jc w:val="left"/>
        <w:spacing w:line="360" w:lineRule="auto"/>
        <w:widowControl/>
        <w:rPr>
          <w:rFonts w:hint="eastAsia" w:ascii="宋体" w:hAnsi="宋体" w:cs="宋体"/>
          <w:sz w:val="24"/>
          <w:highlight w:val="none"/>
          <w:u w:val="single"/>
          <w:lang w:val="zh-CN"/>
        </w:rPr>
      </w:pPr>
      <w:r>
        <w:rPr>
          <w:rFonts w:hint="eastAsia" w:ascii="宋体" w:hAnsi="宋体" w:cs="宋体"/>
          <w:sz w:val="24"/>
          <w:highlight w:val="none"/>
          <w:u w:val="single"/>
          <w:lang w:val="zh-CN"/>
        </w:rPr>
      </w:r>
      <w:r/>
    </w:p>
    <w:p>
      <w:pPr>
        <w:keepLines/>
        <w:keepNext/>
        <w:spacing w:line="360" w:lineRule="auto"/>
        <w:rPr>
          <w:rFonts w:hint="eastAsia"/>
          <w:b/>
          <w:sz w:val="28"/>
          <w:highlight w:val="none"/>
        </w:rPr>
        <w:outlineLvl w:val="2"/>
      </w:pPr>
      <w:r>
        <w:rPr>
          <w:rFonts w:hint="eastAsia"/>
          <w:b/>
          <w:sz w:val="28"/>
          <w:highlight w:val="none"/>
        </w:rPr>
        <w:t xml:space="preserve">2、服务范围</w:t>
      </w:r>
      <w:r/>
    </w:p>
    <w:p>
      <w:pPr>
        <w:ind w:firstLine="480"/>
        <w:spacing w:line="360" w:lineRule="auto"/>
        <w:rPr>
          <w:rFonts w:ascii="宋体" w:hAnsi="宋体" w:cs="宋体"/>
          <w:sz w:val="24"/>
          <w:highlight w:val="none"/>
        </w:rPr>
      </w:pPr>
      <w:r>
        <w:rPr>
          <w:rFonts w:hint="eastAsia" w:ascii="宋体" w:hAnsi="宋体" w:eastAsia="宋体" w:cs="宋体"/>
          <w:sz w:val="24"/>
          <w:highlight w:val="none"/>
          <w:lang w:val="en-US" w:eastAsia="zh-CN"/>
        </w:rPr>
        <w:t xml:space="preserve">阜宁</w:t>
      </w:r>
      <w:r>
        <w:rPr>
          <w:rFonts w:hint="eastAsia" w:ascii="宋体" w:hAnsi="宋体" w:cs="宋体"/>
          <w:sz w:val="24"/>
          <w:highlight w:val="none"/>
        </w:rPr>
        <w:t xml:space="preserve">县区域内</w:t>
      </w:r>
      <w:r>
        <w:rPr>
          <w:rFonts w:hint="eastAsia" w:ascii="宋体" w:hAnsi="宋体" w:eastAsia="宋体" w:cs="宋体"/>
          <w:sz w:val="24"/>
          <w:highlight w:val="none"/>
          <w:lang w:val="en-US" w:eastAsia="zh-CN"/>
        </w:rPr>
        <w:t xml:space="preserve">44</w:t>
      </w:r>
      <w:r>
        <w:rPr>
          <w:rFonts w:hint="eastAsia" w:ascii="宋体" w:hAnsi="宋体" w:cs="宋体"/>
          <w:sz w:val="24"/>
          <w:highlight w:val="none"/>
        </w:rPr>
        <w:t xml:space="preserve">个农贸（农批）市场</w:t>
      </w:r>
      <w:r>
        <w:rPr>
          <w:rFonts w:hint="eastAsia" w:ascii="宋体" w:hAnsi="宋体" w:eastAsia="宋体" w:cs="宋体"/>
          <w:sz w:val="24"/>
          <w:highlight w:val="none"/>
          <w:lang w:val="en-US" w:eastAsia="zh-CN"/>
        </w:rPr>
        <w:t xml:space="preserve">快检室</w:t>
      </w:r>
      <w:r>
        <w:rPr>
          <w:rFonts w:hint="eastAsia" w:ascii="宋体" w:hAnsi="宋体" w:cs="宋体"/>
          <w:sz w:val="24"/>
          <w:highlight w:val="none"/>
        </w:rPr>
        <w:t xml:space="preserve">：3个批发市场（桥兴、实成水果及板湖螃蟹市场）和38个农贸市场,</w:t>
      </w:r>
      <w:r>
        <w:rPr>
          <w:rFonts w:hint="eastAsia" w:ascii="宋体" w:hAnsi="宋体" w:eastAsia="宋体" w:cs="宋体"/>
          <w:sz w:val="24"/>
          <w:highlight w:val="none"/>
          <w:lang w:val="en-US" w:eastAsia="zh-CN"/>
        </w:rPr>
        <w:t xml:space="preserve">3</w:t>
      </w:r>
      <w:r>
        <w:rPr>
          <w:rFonts w:hint="eastAsia" w:ascii="宋体" w:hAnsi="宋体" w:cs="宋体"/>
          <w:sz w:val="24"/>
          <w:highlight w:val="none"/>
        </w:rPr>
        <w:t xml:space="preserve">家水产集中交易点。</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若新增市场，根据甲方要求作检测调整</w:t>
      </w:r>
      <w:r>
        <w:rPr>
          <w:rFonts w:hint="eastAsia" w:ascii="宋体" w:hAnsi="宋体" w:eastAsia="宋体" w:cs="宋体"/>
          <w:sz w:val="24"/>
          <w:highlight w:val="none"/>
          <w:lang w:eastAsia="zh-CN"/>
        </w:rPr>
        <w:t xml:space="preserve">）</w:t>
      </w:r>
      <w:r>
        <w:rPr>
          <w:rFonts w:hint="eastAsia" w:ascii="宋体" w:hAnsi="宋体" w:cs="宋体"/>
          <w:sz w:val="24"/>
          <w:highlight w:val="none"/>
        </w:rPr>
        <w:t xml:space="preserve">。具体名单如下：</w:t>
      </w:r>
      <w:r/>
    </w:p>
    <w:p>
      <w:pPr>
        <w:jc w:val="center"/>
        <w:spacing w:line="360" w:lineRule="auto"/>
        <w:rPr>
          <w:rFonts w:hint="eastAsia" w:ascii="宋体" w:hAnsi="宋体" w:cs="宋体"/>
          <w:b/>
          <w:bCs/>
          <w:sz w:val="24"/>
          <w:highlight w:val="none"/>
        </w:rPr>
      </w:pPr>
      <w:r>
        <w:rPr>
          <w:rFonts w:hint="eastAsia" w:ascii="宋体" w:hAnsi="宋体" w:eastAsia="宋体" w:cs="宋体"/>
          <w:b/>
          <w:bCs/>
          <w:sz w:val="24"/>
          <w:highlight w:val="none"/>
          <w:lang w:val="en-US" w:eastAsia="zh-CN"/>
        </w:rPr>
        <w:t xml:space="preserve">阜宁</w:t>
      </w:r>
      <w:r>
        <w:rPr>
          <w:rFonts w:hint="eastAsia" w:ascii="宋体" w:hAnsi="宋体" w:cs="宋体"/>
          <w:b/>
          <w:bCs/>
          <w:sz w:val="24"/>
          <w:highlight w:val="none"/>
        </w:rPr>
        <w:t xml:space="preserve">县农贸（农批）市场名单</w:t>
      </w:r>
      <w:r/>
    </w:p>
    <w:tbl>
      <w:tblPr>
        <w:tblStyle w:val="689"/>
        <w:tblW w:w="93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11"/>
        <w:gridCol w:w="1429"/>
        <w:gridCol w:w="3149"/>
        <w:gridCol w:w="1319"/>
        <w:gridCol w:w="1397"/>
        <w:gridCol w:w="1407"/>
      </w:tblGrid>
      <w:tr>
        <w:trPr>
          <w:jc w:val="center"/>
          <w:trHeight w:val="525"/>
        </w:trPr>
        <w:tc>
          <w:tcPr>
            <w:tcW w:w="611" w:type="dxa"/>
            <w:vAlign w:val="center"/>
            <w:textDirection w:val="lrTb"/>
            <w:noWrap w:val="false"/>
          </w:tcPr>
          <w:p>
            <w:pPr>
              <w:jc w:val="center"/>
              <w:spacing w:line="24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序号</w:t>
            </w:r>
            <w:r/>
          </w:p>
        </w:tc>
        <w:tc>
          <w:tcPr>
            <w:tcW w:w="1429" w:type="dxa"/>
            <w:vAlign w:val="center"/>
            <w:textDirection w:val="lrTb"/>
            <w:noWrap w:val="false"/>
          </w:tcPr>
          <w:p>
            <w:pPr>
              <w:jc w:val="both"/>
              <w:spacing w:line="24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所属分局</w:t>
            </w:r>
            <w:r/>
          </w:p>
        </w:tc>
        <w:tc>
          <w:tcPr>
            <w:tcW w:w="3149" w:type="dxa"/>
            <w:vAlign w:val="center"/>
            <w:textDirection w:val="lrTb"/>
            <w:noWrap w:val="false"/>
          </w:tcPr>
          <w:p>
            <w:pPr>
              <w:ind w:firstLine="240"/>
              <w:jc w:val="center"/>
              <w:spacing w:line="24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市场名称</w:t>
            </w:r>
            <w:r/>
          </w:p>
        </w:tc>
        <w:tc>
          <w:tcPr>
            <w:tcW w:w="1319" w:type="dxa"/>
            <w:vAlign w:val="center"/>
            <w:textDirection w:val="lrTb"/>
            <w:noWrap w:val="false"/>
          </w:tcPr>
          <w:p>
            <w:pPr>
              <w:jc w:val="center"/>
              <w:spacing w:line="24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是否配套快检室</w:t>
            </w:r>
            <w:r/>
          </w:p>
        </w:tc>
        <w:tc>
          <w:tcPr>
            <w:tcW w:w="1397" w:type="dxa"/>
            <w:vAlign w:val="center"/>
            <w:textDirection w:val="lrTb"/>
            <w:noWrap w:val="false"/>
          </w:tcPr>
          <w:p>
            <w:pPr>
              <w:jc w:val="both"/>
              <w:spacing w:line="24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类型</w:t>
            </w:r>
            <w:r/>
          </w:p>
        </w:tc>
        <w:tc>
          <w:tcPr>
            <w:tcW w:w="1407" w:type="dxa"/>
            <w:vAlign w:val="center"/>
            <w:textDirection w:val="lrTb"/>
            <w:noWrap w:val="false"/>
          </w:tcPr>
          <w:p>
            <w:pPr>
              <w:jc w:val="center"/>
              <w:spacing w:line="240" w:lineRule="auto"/>
              <w:shd w:val="clear" w:color="auto" w:fill="ffffff"/>
              <w:widowControl/>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备注</w:t>
            </w:r>
            <w:r/>
          </w:p>
        </w:tc>
      </w:tr>
      <w:tr>
        <w:trPr>
          <w:jc w:val="center"/>
          <w:trHeight w:val="666"/>
        </w:trPr>
        <w:tc>
          <w:tcPr>
            <w:tcW w:w="611" w:type="dxa"/>
            <w:vAlign w:val="center"/>
            <w:textDirection w:val="lrTb"/>
            <w:noWrap w:val="false"/>
          </w:tcPr>
          <w:p>
            <w:pPr>
              <w:jc w:val="both"/>
              <w:spacing w:line="24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1</w:t>
            </w:r>
            <w:r/>
          </w:p>
        </w:tc>
        <w:tc>
          <w:tcPr>
            <w:tcW w:w="1429" w:type="dxa"/>
            <w:vAlign w:val="center"/>
            <w:textDirection w:val="lrTb"/>
            <w:noWrap w:val="false"/>
          </w:tcPr>
          <w:p>
            <w:pPr>
              <w:jc w:val="center"/>
              <w:spacing w:line="240" w:lineRule="auto"/>
              <w:shd w:val="clear" w:color="auto" w:fill="ffffff"/>
              <w:widowControl/>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城中分局</w:t>
            </w:r>
            <w:r/>
          </w:p>
        </w:tc>
        <w:tc>
          <w:tcPr>
            <w:tcW w:w="3149" w:type="dxa"/>
            <w:vAlign w:val="center"/>
            <w:textDirection w:val="lrTb"/>
            <w:noWrap w:val="false"/>
          </w:tcPr>
          <w:p>
            <w:pPr>
              <w:jc w:val="center"/>
              <w:spacing w:line="24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桥兴农副产品批发市场</w:t>
            </w:r>
            <w:r/>
          </w:p>
        </w:tc>
        <w:tc>
          <w:tcPr>
            <w:tcW w:w="1319" w:type="dxa"/>
            <w:vAlign w:val="center"/>
            <w:textDirection w:val="lrTb"/>
            <w:noWrap w:val="false"/>
          </w:tcPr>
          <w:p>
            <w:pPr>
              <w:jc w:val="center"/>
              <w:spacing w:line="240" w:lineRule="auto"/>
              <w:shd w:val="clear" w:color="auto" w:fill="ffffff"/>
              <w:widowControl/>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是</w:t>
            </w:r>
            <w:r/>
          </w:p>
        </w:tc>
        <w:tc>
          <w:tcPr>
            <w:tcW w:w="1397" w:type="dxa"/>
            <w:vAlign w:val="center"/>
            <w:textDirection w:val="lrTb"/>
            <w:noWrap w:val="false"/>
          </w:tcPr>
          <w:p>
            <w:pPr>
              <w:jc w:val="center"/>
              <w:spacing w:line="240" w:lineRule="auto"/>
              <w:shd w:val="clear" w:color="auto" w:fill="ffffff"/>
              <w:widowControl/>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农批市场</w:t>
            </w:r>
            <w:r/>
          </w:p>
        </w:tc>
        <w:tc>
          <w:tcPr>
            <w:tcW w:w="1407" w:type="dxa"/>
            <w:vAlign w:val="center"/>
            <w:textDirection w:val="lrTb"/>
            <w:noWrap w:val="false"/>
          </w:tcPr>
          <w:p>
            <w:pPr>
              <w:jc w:val="center"/>
              <w:spacing w:line="240" w:lineRule="auto"/>
              <w:shd w:val="clear" w:color="auto" w:fill="ffffff"/>
              <w:widowControl/>
              <w:rPr>
                <w:rFonts w:hint="default" w:ascii="宋体" w:hAnsi="宋体" w:eastAsia="宋体" w:cs="宋体"/>
                <w:sz w:val="21"/>
                <w:szCs w:val="21"/>
                <w:lang w:val="en-US" w:eastAsia="zh-CN"/>
              </w:rPr>
            </w:pPr>
            <w:r>
              <w:rPr>
                <w:rFonts w:hint="default" w:ascii="宋体" w:hAnsi="宋体" w:eastAsia="宋体" w:cs="宋体"/>
                <w:sz w:val="21"/>
                <w:szCs w:val="21"/>
                <w:lang w:val="en-US" w:eastAsia="zh-CN"/>
              </w:rPr>
            </w:r>
            <w:r/>
          </w:p>
        </w:tc>
      </w:tr>
      <w:tr>
        <w:trPr>
          <w:jc w:val="center"/>
          <w:trHeight w:val="285"/>
        </w:trPr>
        <w:tc>
          <w:tcPr>
            <w:tcW w:w="611" w:type="dxa"/>
            <w:vAlign w:val="center"/>
            <w:textDirection w:val="lrTb"/>
            <w:noWrap w:val="false"/>
          </w:tcPr>
          <w:p>
            <w:pPr>
              <w:jc w:val="both"/>
              <w:spacing w:line="24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2</w:t>
            </w:r>
            <w:r/>
          </w:p>
        </w:tc>
        <w:tc>
          <w:tcPr>
            <w:tcW w:w="1429" w:type="dxa"/>
            <w:vAlign w:val="center"/>
            <w:textDirection w:val="lrTb"/>
            <w:noWrap w:val="false"/>
          </w:tcPr>
          <w:p>
            <w:pPr>
              <w:jc w:val="center"/>
              <w:spacing w:line="240" w:lineRule="auto"/>
              <w:shd w:val="clear" w:color="auto" w:fill="ffffff"/>
              <w:widowControl/>
              <w:tabs>
                <w:tab w:val="left" w:pos="737" w:leader="none"/>
              </w:tabs>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城中分局</w:t>
            </w:r>
            <w:r/>
          </w:p>
        </w:tc>
        <w:tc>
          <w:tcPr>
            <w:tcW w:w="3149" w:type="dxa"/>
            <w:vAlign w:val="center"/>
            <w:textDirection w:val="lrTb"/>
            <w:noWrap w:val="false"/>
          </w:tcPr>
          <w:p>
            <w:pPr>
              <w:jc w:val="center"/>
              <w:spacing w:line="24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桥北农贸市场</w:t>
            </w:r>
            <w:r/>
          </w:p>
        </w:tc>
        <w:tc>
          <w:tcPr>
            <w:tcW w:w="1319" w:type="dxa"/>
            <w:vAlign w:val="center"/>
            <w:textDirection w:val="lrTb"/>
            <w:noWrap w:val="false"/>
          </w:tcPr>
          <w:p>
            <w:pPr>
              <w:jc w:val="center"/>
              <w:spacing w:line="240" w:lineRule="auto"/>
              <w:shd w:val="clear" w:color="auto" w:fill="ffffff"/>
              <w:widowControl/>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是</w:t>
            </w:r>
            <w:r/>
          </w:p>
        </w:tc>
        <w:tc>
          <w:tcPr>
            <w:tcW w:w="1397" w:type="dxa"/>
            <w:vAlign w:val="center"/>
            <w:textDirection w:val="lrTb"/>
            <w:noWrap w:val="false"/>
          </w:tcPr>
          <w:p>
            <w:pPr>
              <w:jc w:val="center"/>
              <w:spacing w:line="240" w:lineRule="auto"/>
              <w:shd w:val="clear" w:color="auto" w:fill="ffffff"/>
              <w:widowControl/>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农贸市场</w:t>
            </w:r>
            <w:r/>
          </w:p>
        </w:tc>
        <w:tc>
          <w:tcPr>
            <w:tcW w:w="1407" w:type="dxa"/>
            <w:vAlign w:val="center"/>
            <w:textDirection w:val="lrTb"/>
            <w:noWrap w:val="false"/>
          </w:tcPr>
          <w:p>
            <w:pPr>
              <w:jc w:val="center"/>
              <w:spacing w:line="240" w:lineRule="auto"/>
              <w:shd w:val="clear" w:color="auto" w:fill="ffffff"/>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r>
      <w:tr>
        <w:trPr>
          <w:jc w:val="center"/>
          <w:trHeight w:val="285"/>
        </w:trPr>
        <w:tc>
          <w:tcPr>
            <w:tcW w:w="611" w:type="dxa"/>
            <w:vAlign w:val="center"/>
            <w:textDirection w:val="lrTb"/>
            <w:noWrap w:val="false"/>
          </w:tcPr>
          <w:p>
            <w:pPr>
              <w:jc w:val="both"/>
              <w:spacing w:line="24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3</w:t>
            </w:r>
            <w:r/>
          </w:p>
        </w:tc>
        <w:tc>
          <w:tcPr>
            <w:tcW w:w="1429" w:type="dxa"/>
            <w:vAlign w:val="center"/>
            <w:textDirection w:val="lrTb"/>
            <w:noWrap w:val="false"/>
          </w:tcPr>
          <w:p>
            <w:pPr>
              <w:jc w:val="center"/>
              <w:spacing w:line="24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lang w:eastAsia="zh-CN"/>
              </w:rPr>
              <w:t xml:space="preserve">城中分局</w:t>
            </w:r>
            <w:r/>
          </w:p>
        </w:tc>
        <w:tc>
          <w:tcPr>
            <w:tcW w:w="3149" w:type="dxa"/>
            <w:vAlign w:val="center"/>
            <w:textDirection w:val="lrTb"/>
            <w:noWrap w:val="false"/>
          </w:tcPr>
          <w:p>
            <w:pPr>
              <w:jc w:val="center"/>
              <w:spacing w:line="24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汇贤华府疏导点</w:t>
            </w:r>
            <w:r/>
          </w:p>
        </w:tc>
        <w:tc>
          <w:tcPr>
            <w:tcW w:w="1319" w:type="dxa"/>
            <w:vAlign w:val="center"/>
            <w:textDirection w:val="lrTb"/>
            <w:noWrap w:val="false"/>
          </w:tcPr>
          <w:p>
            <w:pPr>
              <w:jc w:val="center"/>
              <w:spacing w:line="240" w:lineRule="auto"/>
              <w:shd w:val="clear" w:color="auto" w:fill="ffffff"/>
              <w:widowControl/>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是</w:t>
            </w:r>
            <w:r/>
          </w:p>
        </w:tc>
        <w:tc>
          <w:tcPr>
            <w:tcW w:w="1397" w:type="dxa"/>
            <w:vAlign w:val="center"/>
            <w:textDirection w:val="lrTb"/>
            <w:noWrap w:val="false"/>
          </w:tcPr>
          <w:p>
            <w:pPr>
              <w:jc w:val="center"/>
              <w:spacing w:line="24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农贸市场</w:t>
            </w:r>
            <w:r/>
          </w:p>
        </w:tc>
        <w:tc>
          <w:tcPr>
            <w:tcW w:w="1407" w:type="dxa"/>
            <w:vAlign w:val="center"/>
            <w:textDirection w:val="lrTb"/>
            <w:noWrap w:val="false"/>
          </w:tcPr>
          <w:p>
            <w:pPr>
              <w:jc w:val="center"/>
              <w:spacing w:line="240" w:lineRule="auto"/>
              <w:shd w:val="clear" w:color="auto" w:fill="ffffff"/>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w:t>
            </w:r>
            <w:r/>
          </w:p>
        </w:tc>
      </w:tr>
      <w:tr>
        <w:trPr>
          <w:jc w:val="center"/>
          <w:trHeight w:val="285"/>
        </w:trPr>
        <w:tc>
          <w:tcPr>
            <w:tcW w:w="611" w:type="dxa"/>
            <w:vAlign w:val="center"/>
            <w:textDirection w:val="lrTb"/>
            <w:noWrap w:val="false"/>
          </w:tcPr>
          <w:p>
            <w:pPr>
              <w:jc w:val="both"/>
              <w:spacing w:line="24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4</w:t>
            </w:r>
            <w:r/>
          </w:p>
        </w:tc>
        <w:tc>
          <w:tcPr>
            <w:tcW w:w="1429" w:type="dxa"/>
            <w:vAlign w:val="center"/>
            <w:textDirection w:val="lrTb"/>
            <w:noWrap w:val="false"/>
          </w:tcPr>
          <w:p>
            <w:pPr>
              <w:jc w:val="center"/>
              <w:spacing w:line="24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lang w:eastAsia="zh-CN"/>
              </w:rPr>
              <w:t xml:space="preserve">城中分局</w:t>
            </w:r>
            <w:r/>
          </w:p>
        </w:tc>
        <w:tc>
          <w:tcPr>
            <w:tcW w:w="3149" w:type="dxa"/>
            <w:vAlign w:val="center"/>
            <w:textDirection w:val="lrTb"/>
            <w:noWrap w:val="false"/>
          </w:tcPr>
          <w:p>
            <w:pPr>
              <w:jc w:val="center"/>
              <w:spacing w:line="24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阜宁县劝业有限公司</w:t>
            </w:r>
            <w:r/>
          </w:p>
        </w:tc>
        <w:tc>
          <w:tcPr>
            <w:tcW w:w="1319" w:type="dxa"/>
            <w:vAlign w:val="center"/>
            <w:textDirection w:val="lrTb"/>
            <w:noWrap w:val="false"/>
          </w:tcPr>
          <w:p>
            <w:pPr>
              <w:jc w:val="center"/>
              <w:spacing w:line="240" w:lineRule="auto"/>
              <w:shd w:val="clear" w:color="auto" w:fill="ffffff"/>
              <w:widowControl/>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是</w:t>
            </w:r>
            <w:r/>
          </w:p>
        </w:tc>
        <w:tc>
          <w:tcPr>
            <w:tcW w:w="1397" w:type="dxa"/>
            <w:vAlign w:val="center"/>
            <w:textDirection w:val="lrTb"/>
            <w:noWrap w:val="false"/>
          </w:tcPr>
          <w:p>
            <w:pPr>
              <w:jc w:val="center"/>
              <w:spacing w:line="24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农贸市场</w:t>
            </w:r>
            <w:r/>
          </w:p>
        </w:tc>
        <w:tc>
          <w:tcPr>
            <w:tcW w:w="1407" w:type="dxa"/>
            <w:vAlign w:val="center"/>
            <w:textDirection w:val="lrTb"/>
            <w:noWrap w:val="false"/>
          </w:tcPr>
          <w:p>
            <w:pPr>
              <w:jc w:val="center"/>
              <w:spacing w:line="240" w:lineRule="auto"/>
              <w:shd w:val="clear" w:color="auto" w:fill="ffffff"/>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r>
      <w:tr>
        <w:trPr>
          <w:jc w:val="center"/>
          <w:trHeight w:val="285"/>
        </w:trPr>
        <w:tc>
          <w:tcPr>
            <w:tcW w:w="611" w:type="dxa"/>
            <w:vAlign w:val="center"/>
            <w:textDirection w:val="lrTb"/>
            <w:noWrap w:val="false"/>
          </w:tcPr>
          <w:p>
            <w:pPr>
              <w:jc w:val="both"/>
              <w:spacing w:line="240" w:lineRule="auto"/>
              <w:shd w:val="clear" w:color="auto" w:fill="ffffff"/>
              <w:widowControl/>
              <w:rPr>
                <w:rFonts w:ascii="宋体" w:hAnsi="宋体" w:eastAsia="宋体" w:cs="宋体"/>
                <w:sz w:val="21"/>
                <w:szCs w:val="21"/>
                <w:lang w:val="en-US" w:eastAsia="zh-CN"/>
              </w:rPr>
            </w:pPr>
            <w:r>
              <w:rPr>
                <w:rFonts w:hint="eastAsia" w:ascii="宋体" w:hAnsi="宋体" w:eastAsia="宋体" w:cs="宋体"/>
                <w:sz w:val="21"/>
                <w:szCs w:val="21"/>
                <w:lang w:val="en-US" w:eastAsia="zh-CN"/>
              </w:rPr>
              <w:t xml:space="preserve">5</w:t>
            </w:r>
            <w:r/>
          </w:p>
        </w:tc>
        <w:tc>
          <w:tcPr>
            <w:tcW w:w="1429" w:type="dxa"/>
            <w:vAlign w:val="center"/>
            <w:textDirection w:val="lrTb"/>
            <w:noWrap w:val="false"/>
          </w:tcPr>
          <w:p>
            <w:pPr>
              <w:jc w:val="center"/>
              <w:spacing w:line="240" w:lineRule="auto"/>
              <w:shd w:val="clear" w:color="auto" w:fill="ffffff"/>
              <w:widowControl/>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城中分局</w:t>
            </w:r>
            <w:r/>
          </w:p>
        </w:tc>
        <w:tc>
          <w:tcPr>
            <w:tcW w:w="3149" w:type="dxa"/>
            <w:vAlign w:val="center"/>
            <w:textDirection w:val="lrTb"/>
            <w:noWrap w:val="false"/>
          </w:tcPr>
          <w:p>
            <w:pPr>
              <w:jc w:val="center"/>
              <w:spacing w:line="24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东风路农贸市场</w:t>
            </w:r>
            <w:r/>
          </w:p>
        </w:tc>
        <w:tc>
          <w:tcPr>
            <w:tcW w:w="1319" w:type="dxa"/>
            <w:vAlign w:val="center"/>
            <w:textDirection w:val="lrTb"/>
            <w:noWrap w:val="false"/>
          </w:tcPr>
          <w:p>
            <w:pPr>
              <w:jc w:val="center"/>
              <w:spacing w:line="240" w:lineRule="auto"/>
              <w:shd w:val="clear" w:color="auto" w:fill="ffffff"/>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是</w:t>
            </w:r>
            <w:r/>
          </w:p>
        </w:tc>
        <w:tc>
          <w:tcPr>
            <w:tcW w:w="1397" w:type="dxa"/>
            <w:vAlign w:val="center"/>
            <w:textDirection w:val="lrTb"/>
            <w:noWrap w:val="false"/>
          </w:tcPr>
          <w:p>
            <w:pPr>
              <w:jc w:val="center"/>
              <w:spacing w:line="240" w:lineRule="auto"/>
              <w:shd w:val="clear" w:color="auto" w:fill="ffffff"/>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农贸市场</w:t>
            </w:r>
            <w:r/>
          </w:p>
        </w:tc>
        <w:tc>
          <w:tcPr>
            <w:tcW w:w="1407" w:type="dxa"/>
            <w:vAlign w:val="center"/>
            <w:textDirection w:val="lrTb"/>
            <w:noWrap w:val="false"/>
          </w:tcPr>
          <w:p>
            <w:pPr>
              <w:jc w:val="center"/>
              <w:spacing w:line="240" w:lineRule="auto"/>
              <w:shd w:val="clear" w:color="auto" w:fill="ffffff"/>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r>
      <w:tr>
        <w:trPr>
          <w:jc w:val="center"/>
          <w:trHeight w:val="285"/>
        </w:trPr>
        <w:tc>
          <w:tcPr>
            <w:tcW w:w="611" w:type="dxa"/>
            <w:vAlign w:val="center"/>
            <w:textDirection w:val="lrTb"/>
            <w:noWrap w:val="false"/>
          </w:tcPr>
          <w:p>
            <w:pPr>
              <w:jc w:val="both"/>
              <w:spacing w:line="240" w:lineRule="auto"/>
              <w:shd w:val="clear" w:color="auto" w:fill="ffffff"/>
              <w:widowControl/>
              <w:rPr>
                <w:rFonts w:ascii="宋体" w:hAnsi="宋体" w:eastAsia="宋体" w:cs="宋体"/>
                <w:sz w:val="21"/>
                <w:szCs w:val="21"/>
                <w:lang w:val="en-US" w:eastAsia="zh-CN"/>
              </w:rPr>
            </w:pPr>
            <w:r>
              <w:rPr>
                <w:rFonts w:hint="eastAsia" w:ascii="宋体" w:hAnsi="宋体" w:eastAsia="宋体" w:cs="宋体"/>
                <w:sz w:val="21"/>
                <w:szCs w:val="21"/>
                <w:lang w:val="en-US" w:eastAsia="zh-CN"/>
              </w:rPr>
              <w:t xml:space="preserve">6</w:t>
            </w:r>
            <w:r/>
          </w:p>
        </w:tc>
        <w:tc>
          <w:tcPr>
            <w:tcW w:w="1429" w:type="dxa"/>
            <w:vAlign w:val="center"/>
            <w:textDirection w:val="lrTb"/>
            <w:noWrap w:val="false"/>
          </w:tcPr>
          <w:p>
            <w:pPr>
              <w:jc w:val="center"/>
              <w:spacing w:line="240" w:lineRule="auto"/>
              <w:shd w:val="clear" w:color="auto" w:fill="ffffff"/>
              <w:widowControl/>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城中分局</w:t>
            </w:r>
            <w:r/>
          </w:p>
        </w:tc>
        <w:tc>
          <w:tcPr>
            <w:tcW w:w="3149" w:type="dxa"/>
            <w:vAlign w:val="center"/>
            <w:textDirection w:val="lrTb"/>
            <w:noWrap w:val="false"/>
          </w:tcPr>
          <w:p>
            <w:pPr>
              <w:jc w:val="center"/>
              <w:spacing w:line="24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施庄农贸市场</w:t>
            </w:r>
            <w:r/>
          </w:p>
        </w:tc>
        <w:tc>
          <w:tcPr>
            <w:tcW w:w="1319" w:type="dxa"/>
            <w:vAlign w:val="center"/>
            <w:textDirection w:val="lrTb"/>
            <w:noWrap w:val="false"/>
          </w:tcPr>
          <w:p>
            <w:pPr>
              <w:jc w:val="center"/>
              <w:spacing w:line="240" w:lineRule="auto"/>
              <w:shd w:val="clear" w:color="auto" w:fill="ffffff"/>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是</w:t>
            </w:r>
            <w:r/>
          </w:p>
        </w:tc>
        <w:tc>
          <w:tcPr>
            <w:tcW w:w="1397" w:type="dxa"/>
            <w:vAlign w:val="center"/>
            <w:textDirection w:val="lrTb"/>
            <w:noWrap w:val="false"/>
          </w:tcPr>
          <w:p>
            <w:pPr>
              <w:jc w:val="center"/>
              <w:spacing w:line="240" w:lineRule="auto"/>
              <w:shd w:val="clear" w:color="auto" w:fill="ffffff"/>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农贸市场</w:t>
            </w:r>
            <w:r/>
          </w:p>
        </w:tc>
        <w:tc>
          <w:tcPr>
            <w:tcW w:w="1407" w:type="dxa"/>
            <w:vAlign w:val="center"/>
            <w:textDirection w:val="lrTb"/>
            <w:noWrap w:val="false"/>
          </w:tcPr>
          <w:p>
            <w:pPr>
              <w:jc w:val="center"/>
              <w:spacing w:line="240" w:lineRule="auto"/>
              <w:shd w:val="clear" w:color="auto" w:fill="ffffff"/>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r>
      <w:tr>
        <w:trPr>
          <w:jc w:val="center"/>
          <w:trHeight w:val="285"/>
        </w:trPr>
        <w:tc>
          <w:tcPr>
            <w:tcW w:w="611" w:type="dxa"/>
            <w:vAlign w:val="center"/>
            <w:textDirection w:val="lrTb"/>
            <w:noWrap w:val="false"/>
          </w:tcPr>
          <w:p>
            <w:pPr>
              <w:jc w:val="both"/>
              <w:spacing w:line="240" w:lineRule="auto"/>
              <w:shd w:val="clear" w:color="auto" w:fill="ffffff"/>
              <w:widowControl/>
              <w:rPr>
                <w:rFonts w:ascii="宋体" w:hAnsi="宋体" w:eastAsia="宋体" w:cs="宋体"/>
                <w:sz w:val="21"/>
                <w:szCs w:val="21"/>
                <w:lang w:val="en-US" w:eastAsia="zh-CN"/>
              </w:rPr>
            </w:pPr>
            <w:r>
              <w:rPr>
                <w:rFonts w:hint="eastAsia" w:ascii="宋体" w:hAnsi="宋体" w:eastAsia="宋体" w:cs="宋体"/>
                <w:sz w:val="21"/>
                <w:szCs w:val="21"/>
                <w:lang w:val="en-US" w:eastAsia="zh-CN"/>
              </w:rPr>
              <w:t xml:space="preserve">7</w:t>
            </w:r>
            <w:r/>
          </w:p>
        </w:tc>
        <w:tc>
          <w:tcPr>
            <w:tcW w:w="1429" w:type="dxa"/>
            <w:vAlign w:val="center"/>
            <w:textDirection w:val="lrTb"/>
            <w:noWrap w:val="false"/>
          </w:tcPr>
          <w:p>
            <w:pPr>
              <w:jc w:val="center"/>
              <w:spacing w:line="240" w:lineRule="auto"/>
              <w:shd w:val="clear" w:color="auto" w:fill="ffffff"/>
              <w:widowControl/>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城中分局</w:t>
            </w:r>
            <w:r/>
          </w:p>
        </w:tc>
        <w:tc>
          <w:tcPr>
            <w:tcW w:w="3149" w:type="dxa"/>
            <w:vAlign w:val="center"/>
            <w:textDirection w:val="lrTb"/>
            <w:noWrap w:val="false"/>
          </w:tcPr>
          <w:p>
            <w:pPr>
              <w:jc w:val="center"/>
              <w:spacing w:line="24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北门街农贸市场</w:t>
            </w:r>
            <w:r/>
          </w:p>
        </w:tc>
        <w:tc>
          <w:tcPr>
            <w:tcW w:w="1319" w:type="dxa"/>
            <w:vAlign w:val="center"/>
            <w:textDirection w:val="lrTb"/>
            <w:noWrap w:val="false"/>
          </w:tcPr>
          <w:p>
            <w:pPr>
              <w:jc w:val="center"/>
              <w:spacing w:line="240" w:lineRule="auto"/>
              <w:shd w:val="clear" w:color="auto" w:fill="ffffff"/>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是</w:t>
            </w:r>
            <w:r/>
          </w:p>
        </w:tc>
        <w:tc>
          <w:tcPr>
            <w:tcW w:w="1397" w:type="dxa"/>
            <w:vAlign w:val="center"/>
            <w:textDirection w:val="lrTb"/>
            <w:noWrap w:val="false"/>
          </w:tcPr>
          <w:p>
            <w:pPr>
              <w:jc w:val="center"/>
              <w:spacing w:line="240" w:lineRule="auto"/>
              <w:shd w:val="clear" w:color="auto" w:fill="ffffff"/>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农贸市场</w:t>
            </w:r>
            <w:r/>
          </w:p>
        </w:tc>
        <w:tc>
          <w:tcPr>
            <w:tcW w:w="1407" w:type="dxa"/>
            <w:vAlign w:val="center"/>
            <w:textDirection w:val="lrTb"/>
            <w:noWrap w:val="false"/>
          </w:tcPr>
          <w:p>
            <w:pPr>
              <w:jc w:val="center"/>
              <w:spacing w:line="240" w:lineRule="auto"/>
              <w:shd w:val="clear" w:color="auto" w:fill="ffffff"/>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r>
      <w:tr>
        <w:trPr>
          <w:jc w:val="center"/>
          <w:trHeight w:val="285"/>
        </w:trPr>
        <w:tc>
          <w:tcPr>
            <w:tcW w:w="611" w:type="dxa"/>
            <w:vAlign w:val="center"/>
            <w:textDirection w:val="lrTb"/>
            <w:noWrap w:val="false"/>
          </w:tcPr>
          <w:p>
            <w:pPr>
              <w:jc w:val="both"/>
              <w:spacing w:line="240" w:lineRule="auto"/>
              <w:shd w:val="clear" w:color="auto" w:fill="ffffff"/>
              <w:widowControl/>
              <w:rPr>
                <w:rFonts w:ascii="宋体" w:hAnsi="宋体" w:eastAsia="宋体" w:cs="宋体"/>
                <w:sz w:val="21"/>
                <w:szCs w:val="21"/>
                <w:lang w:val="en-US" w:eastAsia="zh-CN"/>
              </w:rPr>
            </w:pPr>
            <w:r>
              <w:rPr>
                <w:rFonts w:hint="eastAsia" w:ascii="宋体" w:hAnsi="宋体" w:eastAsia="宋体" w:cs="宋体"/>
                <w:sz w:val="21"/>
                <w:szCs w:val="21"/>
                <w:lang w:val="en-US" w:eastAsia="zh-CN"/>
              </w:rPr>
              <w:t xml:space="preserve">8</w:t>
            </w:r>
            <w:r/>
          </w:p>
        </w:tc>
        <w:tc>
          <w:tcPr>
            <w:tcW w:w="1429" w:type="dxa"/>
            <w:vAlign w:val="center"/>
            <w:textDirection w:val="lrTb"/>
            <w:noWrap w:val="false"/>
          </w:tcPr>
          <w:p>
            <w:pPr>
              <w:jc w:val="center"/>
              <w:spacing w:line="240" w:lineRule="auto"/>
              <w:shd w:val="clear" w:color="auto" w:fill="ffffff"/>
              <w:widowControl/>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城中分局</w:t>
            </w:r>
            <w:r/>
          </w:p>
        </w:tc>
        <w:tc>
          <w:tcPr>
            <w:tcW w:w="3149" w:type="dxa"/>
            <w:vAlign w:val="center"/>
            <w:textDirection w:val="lrTb"/>
            <w:noWrap w:val="false"/>
          </w:tcPr>
          <w:p>
            <w:pPr>
              <w:jc w:val="center"/>
              <w:spacing w:line="24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迎宾农贸市场</w:t>
            </w:r>
            <w:r/>
          </w:p>
        </w:tc>
        <w:tc>
          <w:tcPr>
            <w:tcW w:w="1319" w:type="dxa"/>
            <w:vAlign w:val="center"/>
            <w:textDirection w:val="lrTb"/>
            <w:noWrap w:val="false"/>
          </w:tcPr>
          <w:p>
            <w:pPr>
              <w:jc w:val="center"/>
              <w:spacing w:line="240" w:lineRule="auto"/>
              <w:shd w:val="clear" w:color="auto" w:fill="ffffff"/>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是</w:t>
            </w:r>
            <w:r/>
          </w:p>
        </w:tc>
        <w:tc>
          <w:tcPr>
            <w:tcW w:w="1397" w:type="dxa"/>
            <w:vAlign w:val="center"/>
            <w:textDirection w:val="lrTb"/>
            <w:noWrap w:val="false"/>
          </w:tcPr>
          <w:p>
            <w:pPr>
              <w:jc w:val="center"/>
              <w:spacing w:line="240" w:lineRule="auto"/>
              <w:shd w:val="clear" w:color="auto" w:fill="ffffff"/>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农贸市场</w:t>
            </w:r>
            <w:r/>
          </w:p>
        </w:tc>
        <w:tc>
          <w:tcPr>
            <w:tcW w:w="1407" w:type="dxa"/>
            <w:vAlign w:val="center"/>
            <w:textDirection w:val="lrTb"/>
            <w:noWrap w:val="false"/>
          </w:tcPr>
          <w:p>
            <w:pPr>
              <w:jc w:val="center"/>
              <w:spacing w:line="240" w:lineRule="auto"/>
              <w:shd w:val="clear" w:color="auto" w:fill="ffffff"/>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r>
      <w:tr>
        <w:trPr>
          <w:jc w:val="center"/>
          <w:trHeight w:val="285"/>
        </w:trPr>
        <w:tc>
          <w:tcPr>
            <w:tcW w:w="611" w:type="dxa"/>
            <w:vAlign w:val="center"/>
            <w:textDirection w:val="lrTb"/>
            <w:noWrap w:val="false"/>
          </w:tcPr>
          <w:p>
            <w:pPr>
              <w:jc w:val="both"/>
              <w:spacing w:line="240" w:lineRule="auto"/>
              <w:shd w:val="clear" w:color="auto" w:fill="ffffff"/>
              <w:widowControl/>
              <w:rPr>
                <w:rFonts w:ascii="宋体" w:hAnsi="宋体" w:eastAsia="宋体" w:cs="宋体"/>
                <w:sz w:val="21"/>
                <w:szCs w:val="21"/>
                <w:lang w:val="en-US" w:eastAsia="zh-CN"/>
              </w:rPr>
            </w:pPr>
            <w:r>
              <w:rPr>
                <w:rFonts w:hint="eastAsia" w:ascii="宋体" w:hAnsi="宋体" w:eastAsia="宋体" w:cs="宋体"/>
                <w:sz w:val="21"/>
                <w:szCs w:val="21"/>
                <w:lang w:val="en-US" w:eastAsia="zh-CN"/>
              </w:rPr>
              <w:t xml:space="preserve">9</w:t>
            </w:r>
            <w:r/>
          </w:p>
        </w:tc>
        <w:tc>
          <w:tcPr>
            <w:tcW w:w="1429" w:type="dxa"/>
            <w:vAlign w:val="center"/>
            <w:textDirection w:val="lrTb"/>
            <w:noWrap w:val="false"/>
          </w:tcPr>
          <w:p>
            <w:pPr>
              <w:jc w:val="center"/>
              <w:spacing w:line="240" w:lineRule="auto"/>
              <w:shd w:val="clear" w:color="auto" w:fill="ffffff"/>
              <w:widowControl/>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城中分局</w:t>
            </w:r>
            <w:r/>
          </w:p>
        </w:tc>
        <w:tc>
          <w:tcPr>
            <w:tcW w:w="3149" w:type="dxa"/>
            <w:vAlign w:val="center"/>
            <w:textDirection w:val="lrTb"/>
            <w:noWrap w:val="false"/>
          </w:tcPr>
          <w:p>
            <w:pPr>
              <w:jc w:val="center"/>
              <w:spacing w:line="24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城南农贸市场</w:t>
            </w:r>
            <w:r/>
          </w:p>
        </w:tc>
        <w:tc>
          <w:tcPr>
            <w:tcW w:w="1319" w:type="dxa"/>
            <w:vAlign w:val="center"/>
            <w:textDirection w:val="lrTb"/>
            <w:noWrap w:val="false"/>
          </w:tcPr>
          <w:p>
            <w:pPr>
              <w:jc w:val="center"/>
              <w:spacing w:line="240" w:lineRule="auto"/>
              <w:shd w:val="clear" w:color="auto" w:fill="ffffff"/>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是</w:t>
            </w:r>
            <w:r/>
          </w:p>
        </w:tc>
        <w:tc>
          <w:tcPr>
            <w:tcW w:w="1397" w:type="dxa"/>
            <w:vAlign w:val="center"/>
            <w:textDirection w:val="lrTb"/>
            <w:noWrap w:val="false"/>
          </w:tcPr>
          <w:p>
            <w:pPr>
              <w:jc w:val="center"/>
              <w:spacing w:line="240" w:lineRule="auto"/>
              <w:shd w:val="clear" w:color="auto" w:fill="ffffff"/>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农贸市场</w:t>
            </w:r>
            <w:r/>
          </w:p>
        </w:tc>
        <w:tc>
          <w:tcPr>
            <w:tcW w:w="1407" w:type="dxa"/>
            <w:vAlign w:val="center"/>
            <w:textDirection w:val="lrTb"/>
            <w:noWrap w:val="false"/>
          </w:tcPr>
          <w:p>
            <w:pPr>
              <w:jc w:val="center"/>
              <w:spacing w:line="240" w:lineRule="auto"/>
              <w:shd w:val="clear" w:color="auto" w:fill="ffffff"/>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r>
      <w:tr>
        <w:trPr>
          <w:jc w:val="center"/>
          <w:trHeight w:val="285"/>
        </w:trPr>
        <w:tc>
          <w:tcPr>
            <w:tcW w:w="611" w:type="dxa"/>
            <w:vAlign w:val="center"/>
            <w:textDirection w:val="lrTb"/>
            <w:noWrap w:val="false"/>
          </w:tcPr>
          <w:p>
            <w:pPr>
              <w:jc w:val="both"/>
              <w:spacing w:line="240" w:lineRule="auto"/>
              <w:shd w:val="clear" w:color="auto" w:fill="ffffff"/>
              <w:widowControl/>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10</w:t>
            </w:r>
            <w:r/>
          </w:p>
        </w:tc>
        <w:tc>
          <w:tcPr>
            <w:tcW w:w="1429" w:type="dxa"/>
            <w:vAlign w:val="center"/>
            <w:textDirection w:val="lrTb"/>
            <w:noWrap w:val="false"/>
          </w:tcPr>
          <w:p>
            <w:pPr>
              <w:jc w:val="center"/>
              <w:spacing w:line="240" w:lineRule="auto"/>
              <w:shd w:val="clear" w:color="auto" w:fill="ffffff"/>
              <w:widowControl/>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城中分局</w:t>
            </w:r>
            <w:r/>
          </w:p>
        </w:tc>
        <w:tc>
          <w:tcPr>
            <w:tcW w:w="3149" w:type="dxa"/>
            <w:vAlign w:val="center"/>
            <w:textDirection w:val="lrTb"/>
            <w:noWrap w:val="false"/>
          </w:tcPr>
          <w:p>
            <w:pPr>
              <w:jc w:val="center"/>
              <w:spacing w:line="24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阜宁崔湾锦宏农贸市场</w:t>
            </w:r>
            <w:r/>
          </w:p>
        </w:tc>
        <w:tc>
          <w:tcPr>
            <w:tcW w:w="1319" w:type="dxa"/>
            <w:vAlign w:val="center"/>
            <w:textDirection w:val="lrTb"/>
            <w:noWrap w:val="false"/>
          </w:tcPr>
          <w:p>
            <w:pPr>
              <w:jc w:val="center"/>
              <w:spacing w:line="240" w:lineRule="auto"/>
              <w:shd w:val="clear" w:color="auto" w:fill="ffffff"/>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是</w:t>
            </w:r>
            <w:r/>
          </w:p>
        </w:tc>
        <w:tc>
          <w:tcPr>
            <w:tcW w:w="1397" w:type="dxa"/>
            <w:vAlign w:val="center"/>
            <w:textDirection w:val="lrTb"/>
            <w:noWrap w:val="false"/>
          </w:tcPr>
          <w:p>
            <w:pPr>
              <w:jc w:val="center"/>
              <w:spacing w:line="240" w:lineRule="auto"/>
              <w:shd w:val="clear" w:color="auto" w:fill="ffffff"/>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农贸市场</w:t>
            </w:r>
            <w:r/>
          </w:p>
        </w:tc>
        <w:tc>
          <w:tcPr>
            <w:tcW w:w="1407" w:type="dxa"/>
            <w:vAlign w:val="center"/>
            <w:textDirection w:val="lrTb"/>
            <w:noWrap w:val="false"/>
          </w:tcPr>
          <w:p>
            <w:pPr>
              <w:jc w:val="center"/>
              <w:spacing w:line="240" w:lineRule="auto"/>
              <w:shd w:val="clear" w:color="auto" w:fill="ffffff"/>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r>
      <w:tr>
        <w:trPr>
          <w:jc w:val="center"/>
          <w:trHeight w:val="285"/>
        </w:trPr>
        <w:tc>
          <w:tcPr>
            <w:tcW w:w="611" w:type="dxa"/>
            <w:vAlign w:val="center"/>
            <w:textDirection w:val="lrTb"/>
            <w:noWrap w:val="false"/>
          </w:tcPr>
          <w:p>
            <w:pPr>
              <w:jc w:val="both"/>
              <w:spacing w:line="240" w:lineRule="auto"/>
              <w:shd w:val="clear" w:color="auto" w:fill="ffffff"/>
              <w:widowControl/>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11</w:t>
            </w:r>
            <w:r/>
          </w:p>
        </w:tc>
        <w:tc>
          <w:tcPr>
            <w:tcW w:w="1429" w:type="dxa"/>
            <w:vAlign w:val="center"/>
            <w:textDirection w:val="lrTb"/>
            <w:noWrap w:val="false"/>
          </w:tcPr>
          <w:p>
            <w:pPr>
              <w:jc w:val="center"/>
              <w:spacing w:line="240" w:lineRule="auto"/>
              <w:shd w:val="clear" w:color="auto" w:fill="ffffff"/>
              <w:widowControl/>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城中分局</w:t>
            </w:r>
            <w:r/>
          </w:p>
        </w:tc>
        <w:tc>
          <w:tcPr>
            <w:tcW w:w="3149" w:type="dxa"/>
            <w:vAlign w:val="center"/>
            <w:textDirection w:val="lrTb"/>
            <w:noWrap w:val="false"/>
          </w:tcPr>
          <w:p>
            <w:pPr>
              <w:jc w:val="center"/>
              <w:spacing w:line="24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大关路菜市场 </w:t>
            </w:r>
            <w:r/>
          </w:p>
        </w:tc>
        <w:tc>
          <w:tcPr>
            <w:tcW w:w="1319" w:type="dxa"/>
            <w:vAlign w:val="center"/>
            <w:textDirection w:val="lrTb"/>
            <w:noWrap w:val="false"/>
          </w:tcPr>
          <w:p>
            <w:pPr>
              <w:jc w:val="center"/>
              <w:spacing w:line="240" w:lineRule="auto"/>
              <w:shd w:val="clear" w:color="auto" w:fill="ffffff"/>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是</w:t>
            </w:r>
            <w:r/>
          </w:p>
        </w:tc>
        <w:tc>
          <w:tcPr>
            <w:tcW w:w="1397" w:type="dxa"/>
            <w:vAlign w:val="center"/>
            <w:textDirection w:val="lrTb"/>
            <w:noWrap w:val="false"/>
          </w:tcPr>
          <w:p>
            <w:pPr>
              <w:jc w:val="center"/>
              <w:spacing w:line="240" w:lineRule="auto"/>
              <w:shd w:val="clear" w:color="auto" w:fill="ffffff"/>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农贸市场</w:t>
            </w:r>
            <w:r/>
          </w:p>
        </w:tc>
        <w:tc>
          <w:tcPr>
            <w:tcW w:w="1407" w:type="dxa"/>
            <w:vAlign w:val="center"/>
            <w:textDirection w:val="lrTb"/>
            <w:noWrap w:val="false"/>
          </w:tcPr>
          <w:p>
            <w:pPr>
              <w:jc w:val="center"/>
              <w:spacing w:line="240" w:lineRule="auto"/>
              <w:shd w:val="clear" w:color="auto" w:fill="ffffff"/>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r>
      <w:tr>
        <w:trPr>
          <w:jc w:val="center"/>
          <w:trHeight w:val="285"/>
        </w:trPr>
        <w:tc>
          <w:tcPr>
            <w:tcW w:w="611" w:type="dxa"/>
            <w:vAlign w:val="center"/>
            <w:textDirection w:val="lrTb"/>
            <w:noWrap w:val="false"/>
          </w:tcPr>
          <w:p>
            <w:pPr>
              <w:jc w:val="both"/>
              <w:spacing w:line="240" w:lineRule="auto"/>
              <w:shd w:val="clear" w:color="auto" w:fill="ffffff"/>
              <w:widowControl/>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12</w:t>
            </w:r>
            <w:r/>
          </w:p>
        </w:tc>
        <w:tc>
          <w:tcPr>
            <w:tcW w:w="1429" w:type="dxa"/>
            <w:vAlign w:val="center"/>
            <w:textDirection w:val="lrTb"/>
            <w:noWrap w:val="false"/>
          </w:tcPr>
          <w:p>
            <w:pPr>
              <w:jc w:val="center"/>
              <w:spacing w:line="240" w:lineRule="auto"/>
              <w:shd w:val="clear" w:color="auto" w:fill="ffffff"/>
              <w:widowControl/>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城中分局</w:t>
            </w:r>
            <w:r/>
          </w:p>
        </w:tc>
        <w:tc>
          <w:tcPr>
            <w:tcW w:w="3149" w:type="dxa"/>
            <w:vAlign w:val="center"/>
            <w:textDirection w:val="lrTb"/>
            <w:noWrap w:val="false"/>
          </w:tcPr>
          <w:p>
            <w:pPr>
              <w:jc w:val="center"/>
              <w:spacing w:line="24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兴阜疏导点农贸市场</w:t>
            </w:r>
            <w:r/>
          </w:p>
        </w:tc>
        <w:tc>
          <w:tcPr>
            <w:tcW w:w="1319" w:type="dxa"/>
            <w:vAlign w:val="center"/>
            <w:textDirection w:val="lrTb"/>
            <w:noWrap w:val="false"/>
          </w:tcPr>
          <w:p>
            <w:pPr>
              <w:jc w:val="center"/>
              <w:spacing w:line="240" w:lineRule="auto"/>
              <w:shd w:val="clear" w:color="auto" w:fill="ffffff"/>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是</w:t>
            </w:r>
            <w:r/>
          </w:p>
        </w:tc>
        <w:tc>
          <w:tcPr>
            <w:tcW w:w="1397" w:type="dxa"/>
            <w:vAlign w:val="center"/>
            <w:textDirection w:val="lrTb"/>
            <w:noWrap w:val="false"/>
          </w:tcPr>
          <w:p>
            <w:pPr>
              <w:jc w:val="center"/>
              <w:spacing w:line="240" w:lineRule="auto"/>
              <w:shd w:val="clear" w:color="auto" w:fill="ffffff"/>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农贸市场</w:t>
            </w:r>
            <w:r/>
          </w:p>
        </w:tc>
        <w:tc>
          <w:tcPr>
            <w:tcW w:w="1407" w:type="dxa"/>
            <w:vAlign w:val="center"/>
            <w:textDirection w:val="lrTb"/>
            <w:noWrap w:val="false"/>
          </w:tcPr>
          <w:p>
            <w:pPr>
              <w:jc w:val="center"/>
              <w:spacing w:line="240" w:lineRule="auto"/>
              <w:shd w:val="clear" w:color="auto" w:fill="ffffff"/>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r>
      <w:tr>
        <w:trPr>
          <w:jc w:val="center"/>
          <w:trHeight w:val="285"/>
        </w:trPr>
        <w:tc>
          <w:tcPr>
            <w:tcW w:w="611" w:type="dxa"/>
            <w:vAlign w:val="center"/>
            <w:textDirection w:val="lrTb"/>
            <w:noWrap w:val="false"/>
          </w:tcPr>
          <w:p>
            <w:pPr>
              <w:jc w:val="both"/>
              <w:spacing w:line="240" w:lineRule="auto"/>
              <w:shd w:val="clear" w:color="auto" w:fill="ffffff"/>
              <w:widowControl/>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13</w:t>
            </w:r>
            <w:r/>
          </w:p>
        </w:tc>
        <w:tc>
          <w:tcPr>
            <w:tcW w:w="1429" w:type="dxa"/>
            <w:vAlign w:val="center"/>
            <w:textDirection w:val="lrTb"/>
            <w:noWrap w:val="false"/>
          </w:tcPr>
          <w:p>
            <w:pPr>
              <w:jc w:val="center"/>
              <w:spacing w:line="240" w:lineRule="auto"/>
              <w:shd w:val="clear" w:color="auto" w:fill="ffffff"/>
              <w:widowControl/>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城北分局</w:t>
            </w:r>
            <w:r/>
          </w:p>
        </w:tc>
        <w:tc>
          <w:tcPr>
            <w:tcW w:w="3149" w:type="dxa"/>
            <w:vAlign w:val="center"/>
            <w:textDirection w:val="lrTb"/>
            <w:noWrap w:val="false"/>
          </w:tcPr>
          <w:p>
            <w:pPr>
              <w:jc w:val="center"/>
              <w:spacing w:line="24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城北农贸市场</w:t>
            </w:r>
            <w:r/>
          </w:p>
        </w:tc>
        <w:tc>
          <w:tcPr>
            <w:tcW w:w="1319" w:type="dxa"/>
            <w:vAlign w:val="center"/>
            <w:textDirection w:val="lrTb"/>
            <w:noWrap w:val="false"/>
          </w:tcPr>
          <w:p>
            <w:pPr>
              <w:jc w:val="center"/>
              <w:spacing w:line="240" w:lineRule="auto"/>
              <w:shd w:val="clear" w:color="auto" w:fill="ffffff"/>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是</w:t>
            </w:r>
            <w:r/>
          </w:p>
        </w:tc>
        <w:tc>
          <w:tcPr>
            <w:tcW w:w="1397" w:type="dxa"/>
            <w:vAlign w:val="center"/>
            <w:textDirection w:val="lrTb"/>
            <w:noWrap w:val="false"/>
          </w:tcPr>
          <w:p>
            <w:pPr>
              <w:jc w:val="center"/>
              <w:spacing w:line="240" w:lineRule="auto"/>
              <w:shd w:val="clear" w:color="auto" w:fill="ffffff"/>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农贸市场</w:t>
            </w:r>
            <w:r/>
          </w:p>
        </w:tc>
        <w:tc>
          <w:tcPr>
            <w:tcW w:w="1407" w:type="dxa"/>
            <w:vAlign w:val="center"/>
            <w:textDirection w:val="lrTb"/>
            <w:noWrap w:val="false"/>
          </w:tcPr>
          <w:p>
            <w:pPr>
              <w:jc w:val="center"/>
              <w:spacing w:line="240" w:lineRule="auto"/>
              <w:shd w:val="clear" w:color="auto" w:fill="ffffff"/>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r>
      <w:tr>
        <w:trPr>
          <w:jc w:val="center"/>
          <w:trHeight w:val="285"/>
        </w:trPr>
        <w:tc>
          <w:tcPr>
            <w:tcW w:w="611" w:type="dxa"/>
            <w:vAlign w:val="center"/>
            <w:textDirection w:val="lrTb"/>
            <w:noWrap w:val="false"/>
          </w:tcPr>
          <w:p>
            <w:pPr>
              <w:jc w:val="both"/>
              <w:spacing w:line="240" w:lineRule="auto"/>
              <w:shd w:val="clear" w:color="auto" w:fill="ffffff"/>
              <w:widowControl/>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14</w:t>
            </w:r>
            <w:r/>
          </w:p>
        </w:tc>
        <w:tc>
          <w:tcPr>
            <w:tcW w:w="1429" w:type="dxa"/>
            <w:vAlign w:val="center"/>
            <w:textDirection w:val="lrTb"/>
            <w:noWrap w:val="false"/>
          </w:tcPr>
          <w:p>
            <w:pPr>
              <w:jc w:val="center"/>
              <w:spacing w:line="240" w:lineRule="auto"/>
              <w:shd w:val="clear" w:color="auto" w:fill="ffffff"/>
              <w:widowControl/>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城北分局</w:t>
            </w:r>
            <w:r/>
          </w:p>
        </w:tc>
        <w:tc>
          <w:tcPr>
            <w:tcW w:w="3149" w:type="dxa"/>
            <w:vAlign w:val="center"/>
            <w:textDirection w:val="lrTb"/>
            <w:noWrap w:val="false"/>
          </w:tcPr>
          <w:p>
            <w:pPr>
              <w:jc w:val="center"/>
              <w:spacing w:line="24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西城农贸市场</w:t>
            </w:r>
            <w:r/>
          </w:p>
        </w:tc>
        <w:tc>
          <w:tcPr>
            <w:tcW w:w="1319" w:type="dxa"/>
            <w:vAlign w:val="center"/>
            <w:textDirection w:val="lrTb"/>
            <w:noWrap w:val="false"/>
          </w:tcPr>
          <w:p>
            <w:pPr>
              <w:jc w:val="center"/>
              <w:spacing w:line="240" w:lineRule="auto"/>
              <w:shd w:val="clear" w:color="auto" w:fill="ffffff"/>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是</w:t>
            </w:r>
            <w:r/>
          </w:p>
        </w:tc>
        <w:tc>
          <w:tcPr>
            <w:tcW w:w="1397" w:type="dxa"/>
            <w:vAlign w:val="center"/>
            <w:textDirection w:val="lrTb"/>
            <w:noWrap w:val="false"/>
          </w:tcPr>
          <w:p>
            <w:pPr>
              <w:jc w:val="center"/>
              <w:spacing w:line="240" w:lineRule="auto"/>
              <w:shd w:val="clear" w:color="auto" w:fill="ffffff"/>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农贸市场</w:t>
            </w:r>
            <w:r/>
          </w:p>
        </w:tc>
        <w:tc>
          <w:tcPr>
            <w:tcW w:w="1407" w:type="dxa"/>
            <w:vAlign w:val="center"/>
            <w:textDirection w:val="lrTb"/>
            <w:noWrap w:val="false"/>
          </w:tcPr>
          <w:p>
            <w:pPr>
              <w:jc w:val="center"/>
              <w:spacing w:line="240" w:lineRule="auto"/>
              <w:shd w:val="clear" w:color="auto" w:fill="ffffff"/>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r>
      <w:tr>
        <w:trPr>
          <w:jc w:val="center"/>
          <w:trHeight w:val="285"/>
        </w:trPr>
        <w:tc>
          <w:tcPr>
            <w:tcW w:w="611" w:type="dxa"/>
            <w:vAlign w:val="center"/>
            <w:textDirection w:val="lrTb"/>
            <w:noWrap w:val="false"/>
          </w:tcPr>
          <w:p>
            <w:pPr>
              <w:jc w:val="both"/>
              <w:spacing w:line="240" w:lineRule="auto"/>
              <w:shd w:val="clear" w:color="auto" w:fill="ffffff"/>
              <w:widowControl/>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15</w:t>
            </w:r>
            <w:r/>
          </w:p>
        </w:tc>
        <w:tc>
          <w:tcPr>
            <w:tcW w:w="1429" w:type="dxa"/>
            <w:vAlign w:val="center"/>
            <w:textDirection w:val="lrTb"/>
            <w:noWrap w:val="false"/>
          </w:tcPr>
          <w:p>
            <w:pPr>
              <w:jc w:val="center"/>
              <w:spacing w:line="240" w:lineRule="auto"/>
              <w:shd w:val="clear" w:color="auto" w:fill="ffffff"/>
              <w:widowControl/>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城北分局</w:t>
            </w:r>
            <w:r/>
          </w:p>
        </w:tc>
        <w:tc>
          <w:tcPr>
            <w:tcW w:w="3149" w:type="dxa"/>
            <w:vAlign w:val="center"/>
            <w:textDirection w:val="lrTb"/>
            <w:noWrap w:val="false"/>
          </w:tcPr>
          <w:p>
            <w:pPr>
              <w:jc w:val="center"/>
              <w:spacing w:line="24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窑桥便民市场</w:t>
            </w:r>
            <w:r/>
          </w:p>
        </w:tc>
        <w:tc>
          <w:tcPr>
            <w:tcW w:w="1319" w:type="dxa"/>
            <w:vAlign w:val="center"/>
            <w:textDirection w:val="lrTb"/>
            <w:noWrap w:val="false"/>
          </w:tcPr>
          <w:p>
            <w:pPr>
              <w:jc w:val="center"/>
              <w:spacing w:line="240" w:lineRule="auto"/>
              <w:shd w:val="clear" w:color="auto" w:fill="ffffff"/>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是</w:t>
            </w:r>
            <w:r/>
          </w:p>
        </w:tc>
        <w:tc>
          <w:tcPr>
            <w:tcW w:w="1397" w:type="dxa"/>
            <w:vAlign w:val="center"/>
            <w:textDirection w:val="lrTb"/>
            <w:noWrap w:val="false"/>
          </w:tcPr>
          <w:p>
            <w:pPr>
              <w:jc w:val="center"/>
              <w:spacing w:line="240" w:lineRule="auto"/>
              <w:shd w:val="clear" w:color="auto" w:fill="ffffff"/>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农贸市场</w:t>
            </w:r>
            <w:r/>
          </w:p>
        </w:tc>
        <w:tc>
          <w:tcPr>
            <w:tcW w:w="1407" w:type="dxa"/>
            <w:vAlign w:val="center"/>
            <w:textDirection w:val="lrTb"/>
            <w:noWrap w:val="false"/>
          </w:tcPr>
          <w:p>
            <w:pPr>
              <w:jc w:val="center"/>
              <w:spacing w:line="240" w:lineRule="auto"/>
              <w:shd w:val="clear" w:color="auto" w:fill="ffffff"/>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r>
      <w:tr>
        <w:trPr>
          <w:jc w:val="center"/>
          <w:trHeight w:val="285"/>
        </w:trPr>
        <w:tc>
          <w:tcPr>
            <w:tcW w:w="611" w:type="dxa"/>
            <w:vAlign w:val="center"/>
            <w:textDirection w:val="lrTb"/>
            <w:noWrap w:val="false"/>
          </w:tcPr>
          <w:p>
            <w:pPr>
              <w:jc w:val="both"/>
              <w:spacing w:line="240" w:lineRule="auto"/>
              <w:shd w:val="clear" w:color="auto" w:fill="ffffff"/>
              <w:widowControl/>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16</w:t>
            </w:r>
            <w:r/>
          </w:p>
        </w:tc>
        <w:tc>
          <w:tcPr>
            <w:tcW w:w="1429" w:type="dxa"/>
            <w:vAlign w:val="center"/>
            <w:textDirection w:val="lrTb"/>
            <w:noWrap w:val="false"/>
          </w:tcPr>
          <w:p>
            <w:pPr>
              <w:jc w:val="center"/>
              <w:spacing w:line="240" w:lineRule="auto"/>
              <w:shd w:val="clear" w:color="auto" w:fill="ffffff"/>
              <w:widowControl/>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城北分局</w:t>
            </w:r>
            <w:r/>
          </w:p>
        </w:tc>
        <w:tc>
          <w:tcPr>
            <w:tcW w:w="3149" w:type="dxa"/>
            <w:vAlign w:val="center"/>
            <w:textDirection w:val="lrTb"/>
            <w:noWrap w:val="false"/>
          </w:tcPr>
          <w:p>
            <w:pPr>
              <w:jc w:val="left"/>
              <w:spacing w:line="240" w:lineRule="auto"/>
              <w:shd w:val="clear" w:color="auto" w:fill="ffffff"/>
              <w:widowControl/>
              <w:tabs>
                <w:tab w:val="left" w:pos="565" w:leader="none"/>
              </w:tabs>
              <w:rPr>
                <w:rFonts w:hint="eastAsia" w:ascii="宋体" w:hAnsi="宋体" w:eastAsia="宋体" w:cs="宋体"/>
                <w:sz w:val="21"/>
                <w:szCs w:val="21"/>
                <w:lang w:eastAsia="zh-CN"/>
              </w:rPr>
            </w:pPr>
            <w:r>
              <w:rPr>
                <w:rFonts w:hint="eastAsia" w:ascii="宋体" w:hAnsi="宋体" w:eastAsia="宋体" w:cs="宋体"/>
                <w:sz w:val="21"/>
                <w:szCs w:val="21"/>
                <w:lang w:eastAsia="zh-CN"/>
              </w:rPr>
              <w:tab/>
            </w:r>
            <w:r>
              <w:rPr>
                <w:rFonts w:hint="eastAsia" w:ascii="宋体" w:hAnsi="宋体" w:eastAsia="宋体" w:cs="宋体"/>
                <w:sz w:val="21"/>
                <w:szCs w:val="21"/>
                <w:lang w:eastAsia="zh-CN"/>
              </w:rPr>
              <w:t xml:space="preserve">光明临时疏导点</w:t>
            </w:r>
            <w:r/>
          </w:p>
        </w:tc>
        <w:tc>
          <w:tcPr>
            <w:tcW w:w="1319" w:type="dxa"/>
            <w:vAlign w:val="center"/>
            <w:textDirection w:val="lrTb"/>
            <w:noWrap w:val="false"/>
          </w:tcPr>
          <w:p>
            <w:pPr>
              <w:jc w:val="center"/>
              <w:spacing w:line="240" w:lineRule="auto"/>
              <w:shd w:val="clear" w:color="auto" w:fill="ffffff"/>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是</w:t>
            </w:r>
            <w:r/>
          </w:p>
        </w:tc>
        <w:tc>
          <w:tcPr>
            <w:tcW w:w="1397" w:type="dxa"/>
            <w:vAlign w:val="center"/>
            <w:textDirection w:val="lrTb"/>
            <w:noWrap w:val="false"/>
          </w:tcPr>
          <w:p>
            <w:pPr>
              <w:jc w:val="center"/>
              <w:spacing w:line="240" w:lineRule="auto"/>
              <w:shd w:val="clear" w:color="auto" w:fill="ffffff"/>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农贸市场</w:t>
            </w:r>
            <w:r/>
          </w:p>
        </w:tc>
        <w:tc>
          <w:tcPr>
            <w:tcW w:w="1407" w:type="dxa"/>
            <w:vAlign w:val="center"/>
            <w:textDirection w:val="lrTb"/>
            <w:noWrap w:val="false"/>
          </w:tcPr>
          <w:p>
            <w:pPr>
              <w:jc w:val="center"/>
              <w:spacing w:line="240" w:lineRule="auto"/>
              <w:shd w:val="clear" w:color="auto" w:fill="ffffff"/>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r>
      <w:tr>
        <w:trPr>
          <w:jc w:val="center"/>
          <w:trHeight w:val="90"/>
        </w:trPr>
        <w:tc>
          <w:tcPr>
            <w:tcW w:w="611" w:type="dxa"/>
            <w:vAlign w:val="center"/>
            <w:textDirection w:val="lrTb"/>
            <w:noWrap w:val="false"/>
          </w:tcPr>
          <w:p>
            <w:pPr>
              <w:jc w:val="both"/>
              <w:spacing w:line="240" w:lineRule="auto"/>
              <w:shd w:val="clear" w:color="auto" w:fill="ffffff"/>
              <w:widowControl/>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17</w:t>
            </w:r>
            <w:r/>
          </w:p>
        </w:tc>
        <w:tc>
          <w:tcPr>
            <w:tcW w:w="1429" w:type="dxa"/>
            <w:vAlign w:val="center"/>
            <w:textDirection w:val="lrTb"/>
            <w:noWrap w:val="false"/>
          </w:tcPr>
          <w:p>
            <w:pPr>
              <w:jc w:val="center"/>
              <w:spacing w:line="240" w:lineRule="auto"/>
              <w:shd w:val="clear" w:color="auto" w:fill="ffffff"/>
              <w:widowControl/>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城北分局</w:t>
            </w:r>
            <w:r/>
          </w:p>
        </w:tc>
        <w:tc>
          <w:tcPr>
            <w:tcW w:w="3149" w:type="dxa"/>
            <w:vAlign w:val="center"/>
            <w:textDirection w:val="lrTb"/>
            <w:noWrap w:val="false"/>
          </w:tcPr>
          <w:p>
            <w:pPr>
              <w:jc w:val="center"/>
              <w:spacing w:line="24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阜宁三灶农贸市场</w:t>
            </w:r>
            <w:r/>
          </w:p>
        </w:tc>
        <w:tc>
          <w:tcPr>
            <w:tcW w:w="1319" w:type="dxa"/>
            <w:vAlign w:val="center"/>
            <w:textDirection w:val="lrTb"/>
            <w:noWrap w:val="false"/>
          </w:tcPr>
          <w:p>
            <w:pPr>
              <w:jc w:val="center"/>
              <w:spacing w:line="240" w:lineRule="auto"/>
              <w:shd w:val="clear" w:color="auto" w:fill="ffffff"/>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是</w:t>
            </w:r>
            <w:r/>
          </w:p>
        </w:tc>
        <w:tc>
          <w:tcPr>
            <w:tcW w:w="1397" w:type="dxa"/>
            <w:vAlign w:val="center"/>
            <w:textDirection w:val="lrTb"/>
            <w:noWrap w:val="false"/>
          </w:tcPr>
          <w:p>
            <w:pPr>
              <w:jc w:val="center"/>
              <w:spacing w:line="240" w:lineRule="auto"/>
              <w:shd w:val="clear" w:color="auto" w:fill="ffffff"/>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农贸市场</w:t>
            </w:r>
            <w:r/>
          </w:p>
        </w:tc>
        <w:tc>
          <w:tcPr>
            <w:tcW w:w="1407" w:type="dxa"/>
            <w:vAlign w:val="center"/>
            <w:textDirection w:val="lrTb"/>
            <w:noWrap w:val="false"/>
          </w:tcPr>
          <w:p>
            <w:pPr>
              <w:jc w:val="center"/>
              <w:spacing w:line="240" w:lineRule="auto"/>
              <w:shd w:val="clear" w:color="auto" w:fill="ffffff"/>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r>
      <w:tr>
        <w:trPr>
          <w:jc w:val="center"/>
          <w:trHeight w:val="285"/>
        </w:trPr>
        <w:tc>
          <w:tcPr>
            <w:tcW w:w="611" w:type="dxa"/>
            <w:vAlign w:val="center"/>
            <w:textDirection w:val="lrTb"/>
            <w:noWrap w:val="false"/>
          </w:tcPr>
          <w:p>
            <w:pPr>
              <w:jc w:val="both"/>
              <w:spacing w:line="240" w:lineRule="auto"/>
              <w:shd w:val="clear" w:color="auto" w:fill="ffffff"/>
              <w:widowControl/>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18</w:t>
            </w:r>
            <w:r/>
          </w:p>
        </w:tc>
        <w:tc>
          <w:tcPr>
            <w:tcW w:w="1429" w:type="dxa"/>
            <w:vAlign w:val="center"/>
            <w:textDirection w:val="lrTb"/>
            <w:noWrap w:val="false"/>
          </w:tcPr>
          <w:p>
            <w:pPr>
              <w:jc w:val="center"/>
              <w:spacing w:line="240" w:lineRule="auto"/>
              <w:shd w:val="clear" w:color="auto" w:fill="ffffff"/>
              <w:widowControl/>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吴滩分局</w:t>
            </w:r>
            <w:r/>
          </w:p>
        </w:tc>
        <w:tc>
          <w:tcPr>
            <w:tcW w:w="3149" w:type="dxa"/>
            <w:vAlign w:val="center"/>
            <w:textDirection w:val="lrTb"/>
            <w:noWrap w:val="false"/>
          </w:tcPr>
          <w:p>
            <w:pPr>
              <w:jc w:val="center"/>
              <w:spacing w:line="24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阜东农贸市场</w:t>
            </w:r>
            <w:r/>
          </w:p>
        </w:tc>
        <w:tc>
          <w:tcPr>
            <w:tcW w:w="1319" w:type="dxa"/>
            <w:vAlign w:val="center"/>
            <w:textDirection w:val="lrTb"/>
            <w:noWrap w:val="false"/>
          </w:tcPr>
          <w:p>
            <w:pPr>
              <w:jc w:val="center"/>
              <w:spacing w:line="240" w:lineRule="auto"/>
              <w:shd w:val="clear" w:color="auto" w:fill="ffffff"/>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是</w:t>
            </w:r>
            <w:r/>
          </w:p>
        </w:tc>
        <w:tc>
          <w:tcPr>
            <w:tcW w:w="1397" w:type="dxa"/>
            <w:vAlign w:val="center"/>
            <w:textDirection w:val="lrTb"/>
            <w:noWrap w:val="false"/>
          </w:tcPr>
          <w:p>
            <w:pPr>
              <w:jc w:val="center"/>
              <w:spacing w:line="240" w:lineRule="auto"/>
              <w:shd w:val="clear" w:color="auto" w:fill="ffffff"/>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农贸市场</w:t>
            </w:r>
            <w:r/>
          </w:p>
        </w:tc>
        <w:tc>
          <w:tcPr>
            <w:tcW w:w="1407" w:type="dxa"/>
            <w:vAlign w:val="center"/>
            <w:textDirection w:val="lrTb"/>
            <w:noWrap w:val="false"/>
          </w:tcPr>
          <w:p>
            <w:pPr>
              <w:jc w:val="center"/>
              <w:spacing w:line="240" w:lineRule="auto"/>
              <w:shd w:val="clear" w:color="auto" w:fill="ffffff"/>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r>
      <w:tr>
        <w:trPr>
          <w:jc w:val="center"/>
          <w:trHeight w:val="285"/>
        </w:trPr>
        <w:tc>
          <w:tcPr>
            <w:tcW w:w="611" w:type="dxa"/>
            <w:vAlign w:val="center"/>
            <w:textDirection w:val="lrTb"/>
            <w:noWrap w:val="false"/>
          </w:tcPr>
          <w:p>
            <w:pPr>
              <w:jc w:val="both"/>
              <w:spacing w:line="240" w:lineRule="auto"/>
              <w:shd w:val="clear" w:color="auto" w:fill="ffffff"/>
              <w:widowControl/>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19</w:t>
            </w:r>
            <w:r/>
          </w:p>
        </w:tc>
        <w:tc>
          <w:tcPr>
            <w:tcW w:w="1429" w:type="dxa"/>
            <w:vAlign w:val="center"/>
            <w:textDirection w:val="lrTb"/>
            <w:noWrap w:val="false"/>
          </w:tcPr>
          <w:p>
            <w:pPr>
              <w:jc w:val="center"/>
              <w:spacing w:line="240" w:lineRule="auto"/>
              <w:shd w:val="clear" w:color="auto" w:fill="ffffff"/>
              <w:widowControl/>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吴滩分局</w:t>
            </w:r>
            <w:r/>
          </w:p>
        </w:tc>
        <w:tc>
          <w:tcPr>
            <w:tcW w:w="3149" w:type="dxa"/>
            <w:vAlign w:val="center"/>
            <w:textDirection w:val="lrTb"/>
            <w:noWrap w:val="false"/>
          </w:tcPr>
          <w:p>
            <w:pPr>
              <w:jc w:val="center"/>
              <w:spacing w:line="24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晟利花园农贸市场</w:t>
            </w:r>
            <w:r/>
          </w:p>
        </w:tc>
        <w:tc>
          <w:tcPr>
            <w:tcW w:w="1319" w:type="dxa"/>
            <w:vAlign w:val="center"/>
            <w:textDirection w:val="lrTb"/>
            <w:noWrap w:val="false"/>
          </w:tcPr>
          <w:p>
            <w:pPr>
              <w:jc w:val="center"/>
              <w:spacing w:line="240" w:lineRule="auto"/>
              <w:shd w:val="clear" w:color="auto" w:fill="ffffff"/>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是</w:t>
            </w:r>
            <w:r/>
          </w:p>
        </w:tc>
        <w:tc>
          <w:tcPr>
            <w:tcW w:w="1397" w:type="dxa"/>
            <w:vAlign w:val="center"/>
            <w:textDirection w:val="lrTb"/>
            <w:noWrap w:val="false"/>
          </w:tcPr>
          <w:p>
            <w:pPr>
              <w:jc w:val="center"/>
              <w:spacing w:line="240" w:lineRule="auto"/>
              <w:shd w:val="clear" w:color="auto" w:fill="ffffff"/>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农贸市场</w:t>
            </w:r>
            <w:r/>
          </w:p>
        </w:tc>
        <w:tc>
          <w:tcPr>
            <w:tcW w:w="1407" w:type="dxa"/>
            <w:vAlign w:val="center"/>
            <w:textDirection w:val="lrTb"/>
            <w:noWrap w:val="false"/>
          </w:tcPr>
          <w:p>
            <w:pPr>
              <w:jc w:val="center"/>
              <w:spacing w:line="240" w:lineRule="auto"/>
              <w:shd w:val="clear" w:color="auto" w:fill="ffffff"/>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r>
      <w:tr>
        <w:trPr>
          <w:jc w:val="center"/>
          <w:trHeight w:val="285"/>
        </w:trPr>
        <w:tc>
          <w:tcPr>
            <w:tcW w:w="611" w:type="dxa"/>
            <w:vAlign w:val="center"/>
            <w:textDirection w:val="lrTb"/>
            <w:noWrap w:val="false"/>
          </w:tcPr>
          <w:p>
            <w:pPr>
              <w:jc w:val="both"/>
              <w:spacing w:line="240" w:lineRule="auto"/>
              <w:shd w:val="clear" w:color="auto" w:fill="ffffff"/>
              <w:widowControl/>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20</w:t>
            </w:r>
            <w:r/>
          </w:p>
        </w:tc>
        <w:tc>
          <w:tcPr>
            <w:tcW w:w="1429" w:type="dxa"/>
            <w:vAlign w:val="center"/>
            <w:textDirection w:val="lrTb"/>
            <w:noWrap w:val="false"/>
          </w:tcPr>
          <w:p>
            <w:pPr>
              <w:jc w:val="center"/>
              <w:spacing w:line="240" w:lineRule="auto"/>
              <w:shd w:val="clear" w:color="auto" w:fill="ffffff"/>
              <w:widowControl/>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吴滩分局</w:t>
            </w:r>
            <w:r/>
          </w:p>
        </w:tc>
        <w:tc>
          <w:tcPr>
            <w:tcW w:w="3149" w:type="dxa"/>
            <w:vAlign w:val="center"/>
            <w:textDirection w:val="lrTb"/>
            <w:noWrap w:val="false"/>
          </w:tcPr>
          <w:p>
            <w:pPr>
              <w:jc w:val="center"/>
              <w:spacing w:line="24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吴滩农贸市场</w:t>
            </w:r>
            <w:r/>
          </w:p>
        </w:tc>
        <w:tc>
          <w:tcPr>
            <w:tcW w:w="1319" w:type="dxa"/>
            <w:vAlign w:val="center"/>
            <w:textDirection w:val="lrTb"/>
            <w:noWrap w:val="false"/>
          </w:tcPr>
          <w:p>
            <w:pPr>
              <w:jc w:val="center"/>
              <w:spacing w:line="240" w:lineRule="auto"/>
              <w:shd w:val="clear" w:color="auto" w:fill="ffffff"/>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是</w:t>
            </w:r>
            <w:r/>
          </w:p>
        </w:tc>
        <w:tc>
          <w:tcPr>
            <w:tcW w:w="1397" w:type="dxa"/>
            <w:vAlign w:val="center"/>
            <w:textDirection w:val="lrTb"/>
            <w:noWrap w:val="false"/>
          </w:tcPr>
          <w:p>
            <w:pPr>
              <w:jc w:val="center"/>
              <w:spacing w:line="240" w:lineRule="auto"/>
              <w:shd w:val="clear" w:color="auto" w:fill="ffffff"/>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农贸市场</w:t>
            </w:r>
            <w:r/>
          </w:p>
        </w:tc>
        <w:tc>
          <w:tcPr>
            <w:tcW w:w="1407" w:type="dxa"/>
            <w:vAlign w:val="center"/>
            <w:textDirection w:val="lrTb"/>
            <w:noWrap w:val="false"/>
          </w:tcPr>
          <w:p>
            <w:pPr>
              <w:jc w:val="center"/>
              <w:spacing w:line="240" w:lineRule="auto"/>
              <w:shd w:val="clear" w:color="auto" w:fill="ffffff"/>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r>
      <w:tr>
        <w:trPr>
          <w:jc w:val="center"/>
          <w:trHeight w:val="285"/>
        </w:trPr>
        <w:tc>
          <w:tcPr>
            <w:tcW w:w="611" w:type="dxa"/>
            <w:vAlign w:val="center"/>
            <w:textDirection w:val="lrTb"/>
            <w:noWrap w:val="false"/>
          </w:tcPr>
          <w:p>
            <w:pPr>
              <w:jc w:val="both"/>
              <w:spacing w:line="240" w:lineRule="auto"/>
              <w:shd w:val="clear" w:color="auto" w:fill="ffffff"/>
              <w:widowControl/>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21</w:t>
            </w:r>
            <w:r/>
          </w:p>
        </w:tc>
        <w:tc>
          <w:tcPr>
            <w:tcW w:w="1429" w:type="dxa"/>
            <w:vAlign w:val="center"/>
            <w:textDirection w:val="lrTb"/>
            <w:noWrap w:val="false"/>
          </w:tcPr>
          <w:p>
            <w:pPr>
              <w:jc w:val="center"/>
              <w:spacing w:line="240" w:lineRule="auto"/>
              <w:shd w:val="clear" w:color="auto" w:fill="ffffff"/>
              <w:widowControl/>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吴滩分局</w:t>
            </w:r>
            <w:r/>
          </w:p>
        </w:tc>
        <w:tc>
          <w:tcPr>
            <w:tcW w:w="3149" w:type="dxa"/>
            <w:vAlign w:val="center"/>
            <w:textDirection w:val="lrTb"/>
            <w:noWrap w:val="false"/>
          </w:tcPr>
          <w:p>
            <w:pPr>
              <w:jc w:val="center"/>
              <w:spacing w:line="24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合利镇兴农农贸市场</w:t>
            </w:r>
            <w:r/>
          </w:p>
        </w:tc>
        <w:tc>
          <w:tcPr>
            <w:tcW w:w="1319" w:type="dxa"/>
            <w:vAlign w:val="center"/>
            <w:textDirection w:val="lrTb"/>
            <w:noWrap w:val="false"/>
          </w:tcPr>
          <w:p>
            <w:pPr>
              <w:jc w:val="center"/>
              <w:spacing w:line="240" w:lineRule="auto"/>
              <w:shd w:val="clear" w:color="auto" w:fill="ffffff"/>
              <w:widowControl/>
              <w:rPr>
                <w:rFonts w:hint="eastAsia" w:ascii="宋体" w:hAnsi="宋体" w:eastAsia="宋体" w:cs="宋体"/>
                <w:sz w:val="21"/>
                <w:szCs w:val="21"/>
                <w:lang w:val="en-US" w:eastAsia="zh-CN"/>
              </w:rPr>
            </w:pPr>
            <w:r>
              <w:rPr>
                <w:rFonts w:hint="eastAsia" w:ascii="宋体" w:hAnsi="宋体" w:eastAsia="宋体" w:cs="宋体"/>
                <w:sz w:val="21"/>
                <w:szCs w:val="21"/>
                <w:lang w:eastAsia="zh-CN"/>
              </w:rPr>
              <w:t xml:space="preserve">是</w:t>
            </w:r>
            <w:r/>
          </w:p>
        </w:tc>
        <w:tc>
          <w:tcPr>
            <w:tcW w:w="1397" w:type="dxa"/>
            <w:vAlign w:val="center"/>
            <w:textDirection w:val="lrTb"/>
            <w:noWrap w:val="false"/>
          </w:tcPr>
          <w:p>
            <w:pPr>
              <w:jc w:val="center"/>
              <w:spacing w:line="240" w:lineRule="auto"/>
              <w:shd w:val="clear" w:color="auto" w:fill="ffffff"/>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农贸市场</w:t>
            </w:r>
            <w:r/>
          </w:p>
        </w:tc>
        <w:tc>
          <w:tcPr>
            <w:tcW w:w="1407" w:type="dxa"/>
            <w:vAlign w:val="center"/>
            <w:textDirection w:val="lrTb"/>
            <w:noWrap w:val="false"/>
          </w:tcPr>
          <w:p>
            <w:pPr>
              <w:jc w:val="center"/>
              <w:spacing w:line="240" w:lineRule="auto"/>
              <w:shd w:val="clear" w:color="auto" w:fill="ffffff"/>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r>
      <w:tr>
        <w:trPr>
          <w:jc w:val="center"/>
          <w:trHeight w:val="285"/>
        </w:trPr>
        <w:tc>
          <w:tcPr>
            <w:tcW w:w="611" w:type="dxa"/>
            <w:vAlign w:val="center"/>
            <w:textDirection w:val="lrTb"/>
            <w:noWrap w:val="false"/>
          </w:tcPr>
          <w:p>
            <w:pPr>
              <w:jc w:val="both"/>
              <w:spacing w:line="240" w:lineRule="auto"/>
              <w:shd w:val="clear" w:color="auto" w:fill="ffffff"/>
              <w:widowControl/>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22</w:t>
            </w:r>
            <w:r/>
          </w:p>
        </w:tc>
        <w:tc>
          <w:tcPr>
            <w:tcW w:w="1429" w:type="dxa"/>
            <w:vAlign w:val="center"/>
            <w:textDirection w:val="lrTb"/>
            <w:noWrap w:val="false"/>
          </w:tcPr>
          <w:p>
            <w:pPr>
              <w:jc w:val="center"/>
              <w:spacing w:line="240" w:lineRule="auto"/>
              <w:shd w:val="clear" w:color="auto" w:fill="ffffff"/>
              <w:widowControl/>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沟墩分局</w:t>
            </w:r>
            <w:r/>
          </w:p>
        </w:tc>
        <w:tc>
          <w:tcPr>
            <w:tcW w:w="3149" w:type="dxa"/>
            <w:vAlign w:val="center"/>
            <w:textDirection w:val="lrTb"/>
            <w:noWrap w:val="false"/>
          </w:tcPr>
          <w:p>
            <w:pPr>
              <w:jc w:val="center"/>
              <w:spacing w:line="24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陈良克亮农贸市场</w:t>
            </w:r>
            <w:r/>
          </w:p>
        </w:tc>
        <w:tc>
          <w:tcPr>
            <w:tcW w:w="1319" w:type="dxa"/>
            <w:vAlign w:val="center"/>
            <w:textDirection w:val="lrTb"/>
            <w:noWrap w:val="false"/>
          </w:tcPr>
          <w:p>
            <w:pPr>
              <w:jc w:val="center"/>
              <w:spacing w:line="240" w:lineRule="auto"/>
              <w:shd w:val="clear" w:color="auto" w:fill="ffffff"/>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是</w:t>
            </w:r>
            <w:r/>
          </w:p>
        </w:tc>
        <w:tc>
          <w:tcPr>
            <w:tcW w:w="1397" w:type="dxa"/>
            <w:vAlign w:val="center"/>
            <w:textDirection w:val="lrTb"/>
            <w:noWrap w:val="false"/>
          </w:tcPr>
          <w:p>
            <w:pPr>
              <w:jc w:val="center"/>
              <w:spacing w:line="240" w:lineRule="auto"/>
              <w:shd w:val="clear" w:color="auto" w:fill="ffffff"/>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农贸市场</w:t>
            </w:r>
            <w:r/>
          </w:p>
        </w:tc>
        <w:tc>
          <w:tcPr>
            <w:tcW w:w="1407" w:type="dxa"/>
            <w:vAlign w:val="center"/>
            <w:textDirection w:val="lrTb"/>
            <w:noWrap w:val="false"/>
          </w:tcPr>
          <w:p>
            <w:pPr>
              <w:jc w:val="center"/>
              <w:spacing w:line="240" w:lineRule="auto"/>
              <w:shd w:val="clear" w:color="auto" w:fill="ffffff"/>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r>
      <w:tr>
        <w:trPr>
          <w:jc w:val="center"/>
          <w:trHeight w:val="285"/>
        </w:trPr>
        <w:tc>
          <w:tcPr>
            <w:tcW w:w="611" w:type="dxa"/>
            <w:vAlign w:val="center"/>
            <w:textDirection w:val="lrTb"/>
            <w:noWrap w:val="false"/>
          </w:tcPr>
          <w:p>
            <w:pPr>
              <w:jc w:val="both"/>
              <w:spacing w:line="240" w:lineRule="auto"/>
              <w:shd w:val="clear" w:color="auto" w:fill="ffffff"/>
              <w:widowControl/>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23</w:t>
            </w:r>
            <w:r/>
          </w:p>
        </w:tc>
        <w:tc>
          <w:tcPr>
            <w:tcW w:w="1429" w:type="dxa"/>
            <w:vAlign w:val="center"/>
            <w:textDirection w:val="lrTb"/>
            <w:noWrap w:val="false"/>
          </w:tcPr>
          <w:p>
            <w:pPr>
              <w:jc w:val="center"/>
              <w:spacing w:line="240" w:lineRule="auto"/>
              <w:shd w:val="clear" w:color="auto" w:fill="ffffff"/>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沟墩分局</w:t>
            </w:r>
            <w:r/>
          </w:p>
        </w:tc>
        <w:tc>
          <w:tcPr>
            <w:tcW w:w="3149" w:type="dxa"/>
            <w:vAlign w:val="center"/>
            <w:textDirection w:val="lrTb"/>
            <w:noWrap w:val="false"/>
          </w:tcPr>
          <w:p>
            <w:pPr>
              <w:jc w:val="center"/>
              <w:spacing w:line="240" w:lineRule="auto"/>
              <w:shd w:val="clear" w:color="auto" w:fill="ffffff"/>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沟墩农副产品交易市场</w:t>
            </w:r>
            <w:r/>
          </w:p>
        </w:tc>
        <w:tc>
          <w:tcPr>
            <w:tcW w:w="1319" w:type="dxa"/>
            <w:vAlign w:val="center"/>
            <w:textDirection w:val="lrTb"/>
            <w:noWrap w:val="false"/>
          </w:tcPr>
          <w:p>
            <w:pPr>
              <w:jc w:val="center"/>
              <w:spacing w:line="240" w:lineRule="auto"/>
              <w:shd w:val="clear" w:color="auto" w:fill="ffffff"/>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是</w:t>
            </w:r>
            <w:r/>
          </w:p>
        </w:tc>
        <w:tc>
          <w:tcPr>
            <w:tcW w:w="1397" w:type="dxa"/>
            <w:vAlign w:val="center"/>
            <w:textDirection w:val="lrTb"/>
            <w:noWrap w:val="false"/>
          </w:tcPr>
          <w:p>
            <w:pPr>
              <w:jc w:val="center"/>
              <w:spacing w:line="240" w:lineRule="auto"/>
              <w:shd w:val="clear" w:color="auto" w:fill="ffffff"/>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农贸市场</w:t>
            </w:r>
            <w:r/>
          </w:p>
        </w:tc>
        <w:tc>
          <w:tcPr>
            <w:tcW w:w="1407" w:type="dxa"/>
            <w:vAlign w:val="center"/>
            <w:textDirection w:val="lrTb"/>
            <w:noWrap w:val="false"/>
          </w:tcPr>
          <w:p>
            <w:pPr>
              <w:jc w:val="center"/>
              <w:spacing w:line="240" w:lineRule="auto"/>
              <w:shd w:val="clear" w:color="auto" w:fill="ffffff"/>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r>
      <w:tr>
        <w:trPr>
          <w:jc w:val="center"/>
          <w:trHeight w:val="285"/>
        </w:trPr>
        <w:tc>
          <w:tcPr>
            <w:shd w:val="clear" w:color="auto" w:fill="auto"/>
            <w:tcW w:w="611" w:type="dxa"/>
            <w:vAlign w:val="center"/>
            <w:textDirection w:val="lrTb"/>
            <w:noWrap w:val="false"/>
          </w:tcPr>
          <w:p>
            <w:pPr>
              <w:jc w:val="both"/>
              <w:spacing w:line="240" w:lineRule="auto"/>
              <w:shd w:val="clear" w:color="auto" w:fill="ffffff"/>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rPr>
              <w:t xml:space="preserve">24</w:t>
            </w:r>
            <w:r/>
          </w:p>
        </w:tc>
        <w:tc>
          <w:tcPr>
            <w:tcW w:w="1429" w:type="dxa"/>
            <w:vAlign w:val="center"/>
            <w:textDirection w:val="lrTb"/>
            <w:noWrap w:val="false"/>
          </w:tcPr>
          <w:p>
            <w:pPr>
              <w:jc w:val="center"/>
              <w:spacing w:line="240" w:lineRule="auto"/>
              <w:shd w:val="clear" w:color="auto" w:fill="ffffff"/>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沟墩分局</w:t>
            </w:r>
            <w:r/>
          </w:p>
        </w:tc>
        <w:tc>
          <w:tcPr>
            <w:tcW w:w="3149" w:type="dxa"/>
            <w:vAlign w:val="center"/>
            <w:textDirection w:val="lrTb"/>
            <w:noWrap w:val="false"/>
          </w:tcPr>
          <w:p>
            <w:pPr>
              <w:jc w:val="center"/>
              <w:spacing w:line="240" w:lineRule="auto"/>
              <w:shd w:val="clear" w:color="auto" w:fill="ffffff"/>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新建沟墩七一河市场快检室，设备由中标单位自带，装修风格和其他市场接近。</w:t>
            </w:r>
            <w:r/>
          </w:p>
        </w:tc>
        <w:tc>
          <w:tcPr>
            <w:tcW w:w="1319" w:type="dxa"/>
            <w:vAlign w:val="center"/>
            <w:textDirection w:val="lrTb"/>
            <w:noWrap w:val="false"/>
          </w:tcPr>
          <w:p>
            <w:pPr>
              <w:jc w:val="center"/>
              <w:spacing w:line="240" w:lineRule="auto"/>
              <w:shd w:val="clear" w:color="auto" w:fill="ffffff"/>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否</w:t>
            </w:r>
            <w:r/>
          </w:p>
        </w:tc>
        <w:tc>
          <w:tcPr>
            <w:tcW w:w="1397" w:type="dxa"/>
            <w:vAlign w:val="center"/>
            <w:textDirection w:val="lrTb"/>
            <w:noWrap w:val="false"/>
          </w:tcPr>
          <w:p>
            <w:pPr>
              <w:jc w:val="center"/>
              <w:spacing w:line="240" w:lineRule="auto"/>
              <w:shd w:val="clear" w:color="auto" w:fill="ffffff"/>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批发市场</w:t>
            </w:r>
            <w:r/>
          </w:p>
        </w:tc>
        <w:tc>
          <w:tcPr>
            <w:tcW w:w="1407" w:type="dxa"/>
            <w:vAlign w:val="center"/>
            <w:textDirection w:val="lrTb"/>
            <w:noWrap w:val="false"/>
          </w:tcPr>
          <w:p>
            <w:pPr>
              <w:jc w:val="center"/>
              <w:spacing w:line="240" w:lineRule="auto"/>
              <w:shd w:val="clear" w:color="auto" w:fill="ffffff"/>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r>
      <w:tr>
        <w:trPr>
          <w:jc w:val="center"/>
          <w:trHeight w:val="285"/>
        </w:trPr>
        <w:tc>
          <w:tcPr>
            <w:shd w:val="clear" w:color="auto" w:fill="auto"/>
            <w:tcW w:w="611" w:type="dxa"/>
            <w:vAlign w:val="center"/>
            <w:textDirection w:val="lrTb"/>
            <w:noWrap w:val="false"/>
          </w:tcPr>
          <w:p>
            <w:pPr>
              <w:jc w:val="both"/>
              <w:spacing w:line="240" w:lineRule="auto"/>
              <w:shd w:val="clear" w:color="auto" w:fill="ffffff"/>
              <w:widowControl/>
              <w:rPr>
                <w:rFonts w:hint="default"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25</w:t>
            </w:r>
            <w:r/>
          </w:p>
        </w:tc>
        <w:tc>
          <w:tcPr>
            <w:tcW w:w="1429" w:type="dxa"/>
            <w:vAlign w:val="center"/>
            <w:textDirection w:val="lrTb"/>
            <w:noWrap w:val="false"/>
          </w:tcPr>
          <w:p>
            <w:pPr>
              <w:jc w:val="center"/>
              <w:spacing w:line="240" w:lineRule="auto"/>
              <w:shd w:val="clear" w:color="auto" w:fill="ffffff"/>
              <w:widowControl/>
              <w:rPr>
                <w:rFonts w:ascii="宋体" w:hAnsi="宋体" w:eastAsia="宋体" w:cs="宋体"/>
                <w:sz w:val="21"/>
                <w:szCs w:val="21"/>
                <w:lang w:val="en-US" w:eastAsia="zh-CN"/>
              </w:rPr>
            </w:pPr>
            <w:r>
              <w:rPr>
                <w:rFonts w:hint="eastAsia" w:ascii="宋体" w:hAnsi="宋体" w:eastAsia="宋体" w:cs="宋体"/>
                <w:sz w:val="21"/>
                <w:szCs w:val="21"/>
                <w:lang w:eastAsia="zh-CN"/>
              </w:rPr>
              <w:t xml:space="preserve">羊寨分局</w:t>
            </w:r>
            <w:r/>
          </w:p>
        </w:tc>
        <w:tc>
          <w:tcPr>
            <w:tcW w:w="3149" w:type="dxa"/>
            <w:vAlign w:val="center"/>
            <w:textDirection w:val="lrTb"/>
            <w:noWrap w:val="false"/>
          </w:tcPr>
          <w:p>
            <w:pPr>
              <w:jc w:val="center"/>
              <w:spacing w:line="24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羊寨镇中心菜场</w:t>
            </w:r>
            <w:r/>
          </w:p>
        </w:tc>
        <w:tc>
          <w:tcPr>
            <w:tcW w:w="1319" w:type="dxa"/>
            <w:vAlign w:val="center"/>
            <w:textDirection w:val="lrTb"/>
            <w:noWrap w:val="false"/>
          </w:tcPr>
          <w:p>
            <w:pPr>
              <w:jc w:val="center"/>
              <w:spacing w:line="240" w:lineRule="auto"/>
              <w:shd w:val="clear" w:color="auto" w:fill="ffffff"/>
              <w:widowControl/>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是</w:t>
            </w:r>
            <w:r/>
          </w:p>
        </w:tc>
        <w:tc>
          <w:tcPr>
            <w:tcW w:w="1397" w:type="dxa"/>
            <w:vAlign w:val="center"/>
            <w:textDirection w:val="lrTb"/>
            <w:noWrap w:val="false"/>
          </w:tcPr>
          <w:p>
            <w:pPr>
              <w:jc w:val="center"/>
              <w:spacing w:line="24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农贸市场</w:t>
            </w:r>
            <w:r/>
          </w:p>
        </w:tc>
        <w:tc>
          <w:tcPr>
            <w:tcW w:w="1407" w:type="dxa"/>
            <w:vAlign w:val="center"/>
            <w:textDirection w:val="lrTb"/>
            <w:noWrap w:val="false"/>
          </w:tcPr>
          <w:p>
            <w:pPr>
              <w:jc w:val="center"/>
              <w:spacing w:line="240" w:lineRule="auto"/>
              <w:shd w:val="clear" w:color="auto" w:fill="ffffff"/>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r>
      <w:tr>
        <w:trPr>
          <w:jc w:val="center"/>
          <w:trHeight w:val="285"/>
        </w:trPr>
        <w:tc>
          <w:tcPr>
            <w:shd w:val="clear" w:color="auto" w:fill="auto"/>
            <w:tcW w:w="611" w:type="dxa"/>
            <w:vAlign w:val="center"/>
            <w:textDirection w:val="lrTb"/>
            <w:noWrap w:val="false"/>
          </w:tcPr>
          <w:p>
            <w:pPr>
              <w:jc w:val="both"/>
              <w:spacing w:line="240" w:lineRule="auto"/>
              <w:shd w:val="clear" w:color="auto" w:fill="ffffff"/>
              <w:widowControl/>
              <w:rPr>
                <w:rFonts w:hint="default"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26</w:t>
            </w:r>
            <w:r/>
          </w:p>
        </w:tc>
        <w:tc>
          <w:tcPr>
            <w:tcW w:w="1429" w:type="dxa"/>
            <w:vAlign w:val="center"/>
            <w:textDirection w:val="lrTb"/>
            <w:noWrap w:val="false"/>
          </w:tcPr>
          <w:p>
            <w:pPr>
              <w:jc w:val="center"/>
              <w:spacing w:line="24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羊寨分局</w:t>
            </w:r>
            <w:r/>
          </w:p>
        </w:tc>
        <w:tc>
          <w:tcPr>
            <w:tcW w:w="3149" w:type="dxa"/>
            <w:vAlign w:val="center"/>
            <w:textDirection w:val="lrTb"/>
            <w:noWrap w:val="false"/>
          </w:tcPr>
          <w:p>
            <w:pPr>
              <w:jc w:val="center"/>
              <w:spacing w:line="240" w:lineRule="auto"/>
              <w:shd w:val="clear" w:color="auto" w:fill="ffffff"/>
              <w:widowControl/>
              <w:rPr>
                <w:rFonts w:ascii="宋体" w:hAnsi="宋体" w:eastAsia="宋体" w:cs="宋体"/>
                <w:sz w:val="21"/>
                <w:szCs w:val="21"/>
                <w:lang w:val="en-US" w:eastAsia="zh-CN"/>
              </w:rPr>
            </w:pPr>
            <w:r>
              <w:rPr>
                <w:rFonts w:hint="eastAsia" w:ascii="宋体" w:hAnsi="宋体" w:eastAsia="宋体" w:cs="宋体"/>
                <w:sz w:val="21"/>
                <w:szCs w:val="21"/>
              </w:rPr>
              <w:t xml:space="preserve">宝玉农贸市场</w:t>
            </w:r>
            <w:r>
              <w:rPr>
                <w:rFonts w:hint="eastAsia" w:ascii="宋体" w:hAnsi="宋体" w:eastAsia="宋体" w:cs="宋体"/>
                <w:sz w:val="21"/>
                <w:szCs w:val="21"/>
                <w:lang w:val="en-US" w:eastAsia="zh-CN"/>
              </w:rPr>
              <w:t xml:space="preserve">(北沙)</w:t>
            </w:r>
            <w:r/>
          </w:p>
        </w:tc>
        <w:tc>
          <w:tcPr>
            <w:tcW w:w="1319" w:type="dxa"/>
            <w:vAlign w:val="center"/>
            <w:textDirection w:val="lrTb"/>
            <w:noWrap w:val="false"/>
          </w:tcPr>
          <w:p>
            <w:pPr>
              <w:jc w:val="center"/>
              <w:spacing w:line="240" w:lineRule="auto"/>
              <w:shd w:val="clear" w:color="auto" w:fill="ffffff"/>
              <w:widowControl/>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是</w:t>
            </w:r>
            <w:r/>
          </w:p>
        </w:tc>
        <w:tc>
          <w:tcPr>
            <w:tcW w:w="1397" w:type="dxa"/>
            <w:vAlign w:val="center"/>
            <w:textDirection w:val="lrTb"/>
            <w:noWrap w:val="false"/>
          </w:tcPr>
          <w:p>
            <w:pPr>
              <w:jc w:val="center"/>
              <w:spacing w:line="24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农贸市场</w:t>
            </w:r>
            <w:r/>
          </w:p>
        </w:tc>
        <w:tc>
          <w:tcPr>
            <w:tcW w:w="1407" w:type="dxa"/>
            <w:vAlign w:val="center"/>
            <w:textDirection w:val="lrTb"/>
            <w:noWrap w:val="false"/>
          </w:tcPr>
          <w:p>
            <w:pPr>
              <w:jc w:val="center"/>
              <w:spacing w:line="240" w:lineRule="auto"/>
              <w:shd w:val="clear" w:color="auto" w:fill="ffffff"/>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r>
      <w:tr>
        <w:trPr>
          <w:jc w:val="center"/>
          <w:trHeight w:val="285"/>
        </w:trPr>
        <w:tc>
          <w:tcPr>
            <w:shd w:val="clear" w:color="auto" w:fill="auto"/>
            <w:tcW w:w="611" w:type="dxa"/>
            <w:vAlign w:val="center"/>
            <w:textDirection w:val="lrTb"/>
            <w:noWrap w:val="false"/>
          </w:tcPr>
          <w:p>
            <w:pPr>
              <w:jc w:val="both"/>
              <w:spacing w:line="240" w:lineRule="auto"/>
              <w:shd w:val="clear" w:color="auto" w:fill="ffffff"/>
              <w:widowControl/>
              <w:rPr>
                <w:rFonts w:hint="default"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27</w:t>
            </w:r>
            <w:r/>
          </w:p>
        </w:tc>
        <w:tc>
          <w:tcPr>
            <w:tcW w:w="1429" w:type="dxa"/>
            <w:vAlign w:val="center"/>
            <w:textDirection w:val="lrTb"/>
            <w:noWrap w:val="false"/>
          </w:tcPr>
          <w:p>
            <w:pPr>
              <w:jc w:val="center"/>
              <w:spacing w:line="24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羊寨分局</w:t>
            </w:r>
            <w:r/>
          </w:p>
        </w:tc>
        <w:tc>
          <w:tcPr>
            <w:tcW w:w="3149" w:type="dxa"/>
            <w:vAlign w:val="center"/>
            <w:textDirection w:val="lrTb"/>
            <w:noWrap w:val="false"/>
          </w:tcPr>
          <w:p>
            <w:pPr>
              <w:jc w:val="center"/>
              <w:spacing w:line="24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芦蒲农贸市场</w:t>
            </w:r>
            <w:r/>
          </w:p>
        </w:tc>
        <w:tc>
          <w:tcPr>
            <w:tcW w:w="1319" w:type="dxa"/>
            <w:vAlign w:val="center"/>
            <w:textDirection w:val="lrTb"/>
            <w:noWrap w:val="false"/>
          </w:tcPr>
          <w:p>
            <w:pPr>
              <w:jc w:val="center"/>
              <w:spacing w:line="240" w:lineRule="auto"/>
              <w:shd w:val="clear" w:color="auto" w:fill="ffffff"/>
              <w:widowControl/>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是</w:t>
            </w:r>
            <w:r/>
          </w:p>
        </w:tc>
        <w:tc>
          <w:tcPr>
            <w:tcW w:w="1397" w:type="dxa"/>
            <w:vAlign w:val="center"/>
            <w:textDirection w:val="lrTb"/>
            <w:noWrap w:val="false"/>
          </w:tcPr>
          <w:p>
            <w:pPr>
              <w:jc w:val="center"/>
              <w:spacing w:line="24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农贸市场</w:t>
            </w:r>
            <w:r/>
          </w:p>
        </w:tc>
        <w:tc>
          <w:tcPr>
            <w:tcW w:w="1407" w:type="dxa"/>
            <w:vAlign w:val="center"/>
            <w:textDirection w:val="lrTb"/>
            <w:noWrap w:val="false"/>
          </w:tcPr>
          <w:p>
            <w:pPr>
              <w:jc w:val="center"/>
              <w:spacing w:line="240" w:lineRule="auto"/>
              <w:shd w:val="clear" w:color="auto" w:fill="ffffff"/>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r>
      <w:tr>
        <w:trPr>
          <w:jc w:val="center"/>
          <w:trHeight w:val="285"/>
        </w:trPr>
        <w:tc>
          <w:tcPr>
            <w:shd w:val="clear" w:color="auto" w:fill="auto"/>
            <w:tcW w:w="611" w:type="dxa"/>
            <w:vAlign w:val="center"/>
            <w:textDirection w:val="lrTb"/>
            <w:noWrap w:val="false"/>
          </w:tcPr>
          <w:p>
            <w:pPr>
              <w:jc w:val="both"/>
              <w:spacing w:line="240" w:lineRule="auto"/>
              <w:shd w:val="clear" w:color="auto" w:fill="ffffff"/>
              <w:widowControl/>
              <w:rPr>
                <w:rFonts w:hint="default"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28</w:t>
            </w:r>
            <w:r/>
          </w:p>
        </w:tc>
        <w:tc>
          <w:tcPr>
            <w:tcW w:w="1429" w:type="dxa"/>
            <w:vAlign w:val="center"/>
            <w:textDirection w:val="lrTb"/>
            <w:noWrap w:val="false"/>
          </w:tcPr>
          <w:p>
            <w:pPr>
              <w:jc w:val="center"/>
              <w:spacing w:line="240" w:lineRule="auto"/>
              <w:shd w:val="clear" w:color="auto" w:fill="ffffff"/>
              <w:widowControl/>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东沟分局</w:t>
            </w:r>
            <w:r/>
          </w:p>
        </w:tc>
        <w:tc>
          <w:tcPr>
            <w:tcW w:w="3149" w:type="dxa"/>
            <w:vAlign w:val="center"/>
            <w:textDirection w:val="lrTb"/>
            <w:noWrap w:val="false"/>
          </w:tcPr>
          <w:p>
            <w:pPr>
              <w:jc w:val="center"/>
              <w:spacing w:line="24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硕集益华农贸市场</w:t>
            </w:r>
            <w:r/>
          </w:p>
        </w:tc>
        <w:tc>
          <w:tcPr>
            <w:tcW w:w="1319" w:type="dxa"/>
            <w:vAlign w:val="center"/>
            <w:textDirection w:val="lrTb"/>
            <w:noWrap w:val="false"/>
          </w:tcPr>
          <w:p>
            <w:pPr>
              <w:jc w:val="center"/>
              <w:spacing w:line="240" w:lineRule="auto"/>
              <w:shd w:val="clear" w:color="auto" w:fill="ffffff"/>
              <w:widowControl/>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是</w:t>
            </w:r>
            <w:r/>
          </w:p>
        </w:tc>
        <w:tc>
          <w:tcPr>
            <w:tcW w:w="1397" w:type="dxa"/>
            <w:vAlign w:val="center"/>
            <w:textDirection w:val="lrTb"/>
            <w:noWrap w:val="false"/>
          </w:tcPr>
          <w:p>
            <w:pPr>
              <w:jc w:val="center"/>
              <w:spacing w:line="24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农贸市场</w:t>
            </w:r>
            <w:r/>
          </w:p>
        </w:tc>
        <w:tc>
          <w:tcPr>
            <w:tcW w:w="1407" w:type="dxa"/>
            <w:vAlign w:val="center"/>
            <w:textDirection w:val="lrTb"/>
            <w:noWrap w:val="false"/>
          </w:tcPr>
          <w:p>
            <w:pPr>
              <w:jc w:val="center"/>
              <w:spacing w:line="240" w:lineRule="auto"/>
              <w:shd w:val="clear" w:color="auto" w:fill="ffffff"/>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r>
      <w:tr>
        <w:trPr>
          <w:jc w:val="center"/>
          <w:trHeight w:val="285"/>
        </w:trPr>
        <w:tc>
          <w:tcPr>
            <w:shd w:val="clear" w:color="auto" w:fill="auto"/>
            <w:tcW w:w="611" w:type="dxa"/>
            <w:vAlign w:val="center"/>
            <w:textDirection w:val="lrTb"/>
            <w:noWrap w:val="false"/>
          </w:tcPr>
          <w:p>
            <w:pPr>
              <w:jc w:val="both"/>
              <w:spacing w:line="240" w:lineRule="auto"/>
              <w:shd w:val="clear" w:color="auto" w:fill="ffffff"/>
              <w:widowControl/>
              <w:rPr>
                <w:rFonts w:hint="default"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29</w:t>
            </w:r>
            <w:r/>
          </w:p>
        </w:tc>
        <w:tc>
          <w:tcPr>
            <w:tcW w:w="1429" w:type="dxa"/>
            <w:vAlign w:val="center"/>
            <w:textDirection w:val="lrTb"/>
            <w:noWrap w:val="false"/>
          </w:tcPr>
          <w:p>
            <w:pPr>
              <w:jc w:val="center"/>
              <w:spacing w:line="240" w:lineRule="auto"/>
              <w:shd w:val="clear" w:color="auto" w:fill="ffffff"/>
              <w:widowControl/>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东沟分局</w:t>
            </w:r>
            <w:r/>
          </w:p>
        </w:tc>
        <w:tc>
          <w:tcPr>
            <w:tcW w:w="3149" w:type="dxa"/>
            <w:vAlign w:val="center"/>
            <w:textDirection w:val="lrTb"/>
            <w:noWrap w:val="false"/>
          </w:tcPr>
          <w:p>
            <w:pPr>
              <w:jc w:val="center"/>
              <w:spacing w:line="24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公兴为超农贸市场</w:t>
            </w:r>
            <w:r/>
          </w:p>
        </w:tc>
        <w:tc>
          <w:tcPr>
            <w:tcW w:w="1319" w:type="dxa"/>
            <w:vAlign w:val="center"/>
            <w:textDirection w:val="lrTb"/>
            <w:noWrap w:val="false"/>
          </w:tcPr>
          <w:p>
            <w:pPr>
              <w:jc w:val="center"/>
              <w:spacing w:line="240" w:lineRule="auto"/>
              <w:shd w:val="clear" w:color="auto" w:fill="ffffff"/>
              <w:widowControl/>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是</w:t>
            </w:r>
            <w:r/>
          </w:p>
        </w:tc>
        <w:tc>
          <w:tcPr>
            <w:tcW w:w="1397" w:type="dxa"/>
            <w:vAlign w:val="center"/>
            <w:textDirection w:val="lrTb"/>
            <w:noWrap w:val="false"/>
          </w:tcPr>
          <w:p>
            <w:pPr>
              <w:jc w:val="center"/>
              <w:spacing w:line="24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农贸市场</w:t>
            </w:r>
            <w:r/>
          </w:p>
        </w:tc>
        <w:tc>
          <w:tcPr>
            <w:tcW w:w="1407" w:type="dxa"/>
            <w:vAlign w:val="center"/>
            <w:textDirection w:val="lrTb"/>
            <w:noWrap w:val="false"/>
          </w:tcPr>
          <w:p>
            <w:pPr>
              <w:jc w:val="center"/>
              <w:spacing w:line="240" w:lineRule="auto"/>
              <w:shd w:val="clear" w:color="auto" w:fill="ffffff"/>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r>
      <w:tr>
        <w:trPr>
          <w:jc w:val="center"/>
          <w:trHeight w:val="285"/>
        </w:trPr>
        <w:tc>
          <w:tcPr>
            <w:shd w:val="clear" w:color="auto" w:fill="auto"/>
            <w:tcW w:w="611" w:type="dxa"/>
            <w:vAlign w:val="center"/>
            <w:textDirection w:val="lrTb"/>
            <w:noWrap w:val="false"/>
          </w:tcPr>
          <w:p>
            <w:pPr>
              <w:jc w:val="both"/>
              <w:spacing w:line="240" w:lineRule="auto"/>
              <w:shd w:val="clear" w:color="auto" w:fill="ffffff"/>
              <w:widowControl/>
              <w:rPr>
                <w:rFonts w:hint="default"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30</w:t>
            </w:r>
            <w:r/>
          </w:p>
        </w:tc>
        <w:tc>
          <w:tcPr>
            <w:tcW w:w="1429" w:type="dxa"/>
            <w:vAlign w:val="center"/>
            <w:textDirection w:val="lrTb"/>
            <w:noWrap w:val="false"/>
          </w:tcPr>
          <w:p>
            <w:pPr>
              <w:jc w:val="center"/>
              <w:spacing w:line="240" w:lineRule="auto"/>
              <w:shd w:val="clear" w:color="auto" w:fill="ffffff"/>
              <w:widowControl/>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东沟分局</w:t>
            </w:r>
            <w:r/>
          </w:p>
        </w:tc>
        <w:tc>
          <w:tcPr>
            <w:tcW w:w="3149" w:type="dxa"/>
            <w:vAlign w:val="center"/>
            <w:textDirection w:val="lrTb"/>
            <w:noWrap w:val="false"/>
          </w:tcPr>
          <w:p>
            <w:pPr>
              <w:jc w:val="center"/>
              <w:spacing w:line="24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东沟农贸市场</w:t>
            </w:r>
            <w:r/>
          </w:p>
        </w:tc>
        <w:tc>
          <w:tcPr>
            <w:tcW w:w="1319" w:type="dxa"/>
            <w:vAlign w:val="center"/>
            <w:textDirection w:val="lrTb"/>
            <w:noWrap w:val="false"/>
          </w:tcPr>
          <w:p>
            <w:pPr>
              <w:jc w:val="center"/>
              <w:spacing w:line="240" w:lineRule="auto"/>
              <w:shd w:val="clear" w:color="auto" w:fill="ffffff"/>
              <w:widowControl/>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是</w:t>
            </w:r>
            <w:r/>
          </w:p>
        </w:tc>
        <w:tc>
          <w:tcPr>
            <w:tcW w:w="1397" w:type="dxa"/>
            <w:vAlign w:val="center"/>
            <w:textDirection w:val="lrTb"/>
            <w:noWrap w:val="false"/>
          </w:tcPr>
          <w:p>
            <w:pPr>
              <w:jc w:val="center"/>
              <w:spacing w:line="24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农贸市场</w:t>
            </w:r>
            <w:r/>
          </w:p>
        </w:tc>
        <w:tc>
          <w:tcPr>
            <w:tcW w:w="1407" w:type="dxa"/>
            <w:vAlign w:val="center"/>
            <w:textDirection w:val="lrTb"/>
            <w:noWrap w:val="false"/>
          </w:tcPr>
          <w:p>
            <w:pPr>
              <w:jc w:val="center"/>
              <w:spacing w:line="240" w:lineRule="auto"/>
              <w:shd w:val="clear" w:color="auto" w:fill="ffffff"/>
              <w:widowControl/>
              <w:rPr>
                <w:rFonts w:hint="default" w:ascii="宋体" w:hAnsi="宋体" w:eastAsia="宋体" w:cs="宋体"/>
                <w:sz w:val="21"/>
                <w:szCs w:val="21"/>
                <w:lang w:val="en-US" w:eastAsia="zh-CN"/>
              </w:rPr>
            </w:pPr>
            <w:r>
              <w:rPr>
                <w:rFonts w:hint="default" w:ascii="宋体" w:hAnsi="宋体" w:eastAsia="宋体" w:cs="宋体"/>
                <w:sz w:val="21"/>
                <w:szCs w:val="21"/>
                <w:lang w:val="en-US" w:eastAsia="zh-CN"/>
              </w:rPr>
            </w:r>
            <w:r/>
          </w:p>
        </w:tc>
      </w:tr>
      <w:tr>
        <w:trPr>
          <w:jc w:val="center"/>
          <w:trHeight w:val="285"/>
        </w:trPr>
        <w:tc>
          <w:tcPr>
            <w:shd w:val="clear" w:color="auto" w:fill="auto"/>
            <w:tcW w:w="611" w:type="dxa"/>
            <w:vAlign w:val="center"/>
            <w:textDirection w:val="lrTb"/>
            <w:noWrap w:val="false"/>
          </w:tcPr>
          <w:p>
            <w:pPr>
              <w:jc w:val="both"/>
              <w:spacing w:line="240" w:lineRule="auto"/>
              <w:shd w:val="clear" w:color="auto" w:fill="ffffff"/>
              <w:widowControl/>
              <w:rPr>
                <w:rFonts w:hint="default"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31</w:t>
            </w:r>
            <w:r/>
          </w:p>
        </w:tc>
        <w:tc>
          <w:tcPr>
            <w:tcW w:w="1429" w:type="dxa"/>
            <w:vAlign w:val="center"/>
            <w:textDirection w:val="lrTb"/>
            <w:noWrap w:val="false"/>
          </w:tcPr>
          <w:p>
            <w:pPr>
              <w:jc w:val="center"/>
              <w:spacing w:line="240" w:lineRule="auto"/>
              <w:shd w:val="clear" w:color="auto" w:fill="ffffff"/>
              <w:widowControl/>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郭墅分局</w:t>
            </w:r>
            <w:r/>
          </w:p>
        </w:tc>
        <w:tc>
          <w:tcPr>
            <w:tcW w:w="3149" w:type="dxa"/>
            <w:vAlign w:val="center"/>
            <w:textDirection w:val="lrTb"/>
            <w:noWrap w:val="false"/>
          </w:tcPr>
          <w:p>
            <w:pPr>
              <w:jc w:val="center"/>
              <w:spacing w:line="240" w:lineRule="auto"/>
              <w:shd w:val="clear" w:color="auto" w:fill="ffffff"/>
              <w:widowControl/>
              <w:rPr>
                <w:rFonts w:hint="eastAsia" w:ascii="宋体" w:hAnsi="宋体" w:eastAsia="宋体" w:cs="宋体"/>
                <w:sz w:val="21"/>
                <w:szCs w:val="21"/>
                <w:lang w:eastAsia="zh-CN"/>
              </w:rPr>
            </w:pPr>
            <w:r>
              <w:rPr>
                <w:rFonts w:hint="eastAsia" w:ascii="宋体" w:hAnsi="宋体" w:eastAsia="宋体" w:cs="宋体"/>
                <w:sz w:val="21"/>
                <w:szCs w:val="21"/>
              </w:rPr>
              <w:t xml:space="preserve">黎之海农贸市场</w:t>
            </w:r>
            <w:r>
              <w:rPr>
                <w:rFonts w:hint="eastAsia" w:ascii="宋体" w:hAnsi="宋体" w:eastAsia="宋体" w:cs="宋体"/>
                <w:sz w:val="21"/>
                <w:szCs w:val="21"/>
                <w:lang w:eastAsia="zh-CN"/>
              </w:rPr>
              <w:t xml:space="preserve">（新沟）</w:t>
            </w:r>
            <w:r/>
          </w:p>
        </w:tc>
        <w:tc>
          <w:tcPr>
            <w:tcW w:w="1319" w:type="dxa"/>
            <w:vAlign w:val="center"/>
            <w:textDirection w:val="lrTb"/>
            <w:noWrap w:val="false"/>
          </w:tcPr>
          <w:p>
            <w:pPr>
              <w:jc w:val="center"/>
              <w:spacing w:line="240" w:lineRule="auto"/>
              <w:shd w:val="clear" w:color="auto" w:fill="ffffff"/>
              <w:widowControl/>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是</w:t>
            </w:r>
            <w:r/>
          </w:p>
        </w:tc>
        <w:tc>
          <w:tcPr>
            <w:tcW w:w="1397" w:type="dxa"/>
            <w:vAlign w:val="center"/>
            <w:textDirection w:val="lrTb"/>
            <w:noWrap w:val="false"/>
          </w:tcPr>
          <w:p>
            <w:pPr>
              <w:jc w:val="center"/>
              <w:spacing w:line="24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农贸市场</w:t>
            </w:r>
            <w:r/>
          </w:p>
        </w:tc>
        <w:tc>
          <w:tcPr>
            <w:tcW w:w="1407" w:type="dxa"/>
            <w:vAlign w:val="center"/>
            <w:textDirection w:val="lrTb"/>
            <w:noWrap w:val="false"/>
          </w:tcPr>
          <w:p>
            <w:pPr>
              <w:jc w:val="center"/>
              <w:spacing w:line="240" w:lineRule="auto"/>
              <w:shd w:val="clear" w:color="auto" w:fill="ffffff"/>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r>
      <w:tr>
        <w:trPr>
          <w:jc w:val="center"/>
          <w:trHeight w:val="285"/>
        </w:trPr>
        <w:tc>
          <w:tcPr>
            <w:shd w:val="clear" w:color="auto" w:fill="auto"/>
            <w:tcW w:w="611" w:type="dxa"/>
            <w:vAlign w:val="center"/>
            <w:textDirection w:val="lrTb"/>
            <w:noWrap w:val="false"/>
          </w:tcPr>
          <w:p>
            <w:pPr>
              <w:jc w:val="both"/>
              <w:spacing w:line="240" w:lineRule="auto"/>
              <w:shd w:val="clear" w:color="auto" w:fill="ffffff"/>
              <w:widowControl/>
              <w:rPr>
                <w:rFonts w:hint="default"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32</w:t>
            </w:r>
            <w:r/>
          </w:p>
        </w:tc>
        <w:tc>
          <w:tcPr>
            <w:tcW w:w="1429" w:type="dxa"/>
            <w:vAlign w:val="center"/>
            <w:textDirection w:val="lrTb"/>
            <w:noWrap w:val="false"/>
          </w:tcPr>
          <w:p>
            <w:pPr>
              <w:jc w:val="center"/>
              <w:spacing w:line="24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郭墅分局</w:t>
            </w:r>
            <w:r/>
          </w:p>
        </w:tc>
        <w:tc>
          <w:tcPr>
            <w:tcW w:w="3149" w:type="dxa"/>
            <w:vAlign w:val="center"/>
            <w:textDirection w:val="lrTb"/>
            <w:noWrap w:val="false"/>
          </w:tcPr>
          <w:p>
            <w:pPr>
              <w:jc w:val="center"/>
              <w:spacing w:line="240" w:lineRule="auto"/>
              <w:shd w:val="clear" w:color="auto" w:fill="ffffff"/>
              <w:widowControl/>
              <w:rPr>
                <w:rFonts w:hint="eastAsia" w:ascii="宋体" w:hAnsi="宋体" w:eastAsia="宋体" w:cs="宋体"/>
                <w:sz w:val="21"/>
                <w:szCs w:val="21"/>
                <w:lang w:eastAsia="zh-CN"/>
              </w:rPr>
            </w:pPr>
            <w:r>
              <w:rPr>
                <w:rFonts w:hint="eastAsia" w:ascii="宋体" w:hAnsi="宋体" w:eastAsia="宋体" w:cs="宋体"/>
                <w:sz w:val="21"/>
                <w:szCs w:val="21"/>
              </w:rPr>
              <w:t xml:space="preserve">禾佳农贸市场</w:t>
            </w:r>
            <w:r>
              <w:rPr>
                <w:rFonts w:hint="eastAsia" w:ascii="宋体" w:hAnsi="宋体" w:eastAsia="宋体" w:cs="宋体"/>
                <w:sz w:val="21"/>
                <w:szCs w:val="21"/>
                <w:lang w:eastAsia="zh-CN"/>
              </w:rPr>
              <w:t xml:space="preserve">（郭墅东）</w:t>
            </w:r>
            <w:r/>
          </w:p>
        </w:tc>
        <w:tc>
          <w:tcPr>
            <w:tcW w:w="1319" w:type="dxa"/>
            <w:vAlign w:val="center"/>
            <w:textDirection w:val="lrTb"/>
            <w:noWrap w:val="false"/>
          </w:tcPr>
          <w:p>
            <w:pPr>
              <w:jc w:val="center"/>
              <w:spacing w:line="240" w:lineRule="auto"/>
              <w:shd w:val="clear" w:color="auto" w:fill="ffffff"/>
              <w:widowControl/>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是</w:t>
            </w:r>
            <w:r/>
          </w:p>
        </w:tc>
        <w:tc>
          <w:tcPr>
            <w:tcW w:w="1397" w:type="dxa"/>
            <w:vAlign w:val="center"/>
            <w:textDirection w:val="lrTb"/>
            <w:noWrap w:val="false"/>
          </w:tcPr>
          <w:p>
            <w:pPr>
              <w:jc w:val="center"/>
              <w:spacing w:line="24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农贸市场</w:t>
            </w:r>
            <w:r/>
          </w:p>
        </w:tc>
        <w:tc>
          <w:tcPr>
            <w:tcW w:w="1407" w:type="dxa"/>
            <w:vAlign w:val="center"/>
            <w:textDirection w:val="lrTb"/>
            <w:noWrap w:val="false"/>
          </w:tcPr>
          <w:p>
            <w:pPr>
              <w:jc w:val="center"/>
              <w:spacing w:line="240" w:lineRule="auto"/>
              <w:shd w:val="clear" w:color="auto" w:fill="ffffff"/>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r>
      <w:tr>
        <w:trPr>
          <w:jc w:val="center"/>
          <w:trHeight w:val="285"/>
        </w:trPr>
        <w:tc>
          <w:tcPr>
            <w:shd w:val="clear" w:color="auto" w:fill="auto"/>
            <w:tcW w:w="611" w:type="dxa"/>
            <w:vAlign w:val="center"/>
            <w:textDirection w:val="lrTb"/>
            <w:noWrap w:val="false"/>
          </w:tcPr>
          <w:p>
            <w:pPr>
              <w:jc w:val="both"/>
              <w:spacing w:line="240" w:lineRule="auto"/>
              <w:shd w:val="clear" w:color="auto" w:fill="ffffff"/>
              <w:widowControl/>
              <w:rPr>
                <w:rFonts w:hint="default"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33</w:t>
            </w:r>
            <w:r/>
          </w:p>
        </w:tc>
        <w:tc>
          <w:tcPr>
            <w:tcW w:w="1429" w:type="dxa"/>
            <w:vAlign w:val="center"/>
            <w:textDirection w:val="lrTb"/>
            <w:noWrap w:val="false"/>
          </w:tcPr>
          <w:p>
            <w:pPr>
              <w:jc w:val="center"/>
              <w:spacing w:line="24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郭墅分局</w:t>
            </w:r>
            <w:r/>
          </w:p>
        </w:tc>
        <w:tc>
          <w:tcPr>
            <w:tcW w:w="3149" w:type="dxa"/>
            <w:vAlign w:val="center"/>
            <w:textDirection w:val="lrTb"/>
            <w:noWrap w:val="false"/>
          </w:tcPr>
          <w:p>
            <w:pPr>
              <w:jc w:val="center"/>
              <w:spacing w:line="240" w:lineRule="auto"/>
              <w:shd w:val="clear" w:color="auto" w:fill="ffffff"/>
              <w:widowControl/>
              <w:rPr>
                <w:rFonts w:hint="eastAsia" w:ascii="宋体" w:hAnsi="宋体" w:eastAsia="宋体" w:cs="宋体"/>
                <w:sz w:val="21"/>
                <w:szCs w:val="21"/>
                <w:lang w:eastAsia="zh-CN"/>
              </w:rPr>
            </w:pPr>
            <w:r>
              <w:rPr>
                <w:rFonts w:hint="eastAsia" w:ascii="宋体" w:hAnsi="宋体" w:eastAsia="宋体" w:cs="宋体"/>
                <w:sz w:val="21"/>
                <w:szCs w:val="21"/>
              </w:rPr>
              <w:t xml:space="preserve">聚鑫农贸市场</w:t>
            </w:r>
            <w:r>
              <w:rPr>
                <w:rFonts w:hint="eastAsia" w:ascii="宋体" w:hAnsi="宋体" w:eastAsia="宋体" w:cs="宋体"/>
                <w:sz w:val="21"/>
                <w:szCs w:val="21"/>
                <w:lang w:eastAsia="zh-CN"/>
              </w:rPr>
              <w:t xml:space="preserve">（郭墅西）</w:t>
            </w:r>
            <w:r/>
          </w:p>
        </w:tc>
        <w:tc>
          <w:tcPr>
            <w:tcW w:w="1319" w:type="dxa"/>
            <w:vAlign w:val="center"/>
            <w:textDirection w:val="lrTb"/>
            <w:noWrap w:val="false"/>
          </w:tcPr>
          <w:p>
            <w:pPr>
              <w:jc w:val="center"/>
              <w:spacing w:line="240" w:lineRule="auto"/>
              <w:shd w:val="clear" w:color="auto" w:fill="ffffff"/>
              <w:widowControl/>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是</w:t>
            </w:r>
            <w:r/>
          </w:p>
        </w:tc>
        <w:tc>
          <w:tcPr>
            <w:tcW w:w="1397" w:type="dxa"/>
            <w:vAlign w:val="center"/>
            <w:textDirection w:val="lrTb"/>
            <w:noWrap w:val="false"/>
          </w:tcPr>
          <w:p>
            <w:pPr>
              <w:jc w:val="center"/>
              <w:spacing w:line="24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农贸市场</w:t>
            </w:r>
            <w:r/>
          </w:p>
        </w:tc>
        <w:tc>
          <w:tcPr>
            <w:tcW w:w="1407" w:type="dxa"/>
            <w:vAlign w:val="center"/>
            <w:textDirection w:val="lrTb"/>
            <w:noWrap w:val="false"/>
          </w:tcPr>
          <w:p>
            <w:pPr>
              <w:jc w:val="center"/>
              <w:spacing w:line="240" w:lineRule="auto"/>
              <w:shd w:val="clear" w:color="auto" w:fill="ffffff"/>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r>
      <w:tr>
        <w:trPr>
          <w:jc w:val="center"/>
          <w:trHeight w:val="285"/>
        </w:trPr>
        <w:tc>
          <w:tcPr>
            <w:shd w:val="clear" w:color="auto" w:fill="auto"/>
            <w:tcW w:w="611" w:type="dxa"/>
            <w:vAlign w:val="center"/>
            <w:textDirection w:val="lrTb"/>
            <w:noWrap w:val="false"/>
          </w:tcPr>
          <w:p>
            <w:pPr>
              <w:jc w:val="both"/>
              <w:spacing w:line="240" w:lineRule="auto"/>
              <w:shd w:val="clear" w:color="auto" w:fill="ffffff"/>
              <w:widowControl/>
              <w:rPr>
                <w:rFonts w:hint="default"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34</w:t>
            </w:r>
            <w:r/>
          </w:p>
        </w:tc>
        <w:tc>
          <w:tcPr>
            <w:tcW w:w="1429" w:type="dxa"/>
            <w:vAlign w:val="center"/>
            <w:textDirection w:val="lrTb"/>
            <w:noWrap w:val="false"/>
          </w:tcPr>
          <w:p>
            <w:pPr>
              <w:jc w:val="center"/>
              <w:spacing w:line="240" w:lineRule="auto"/>
              <w:shd w:val="clear" w:color="auto" w:fill="ffffff"/>
              <w:widowControl/>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益林分局</w:t>
            </w:r>
            <w:r/>
          </w:p>
        </w:tc>
        <w:tc>
          <w:tcPr>
            <w:tcW w:w="3149" w:type="dxa"/>
            <w:vAlign w:val="center"/>
            <w:textDirection w:val="lrTb"/>
            <w:noWrap w:val="false"/>
          </w:tcPr>
          <w:p>
            <w:pPr>
              <w:jc w:val="center"/>
              <w:spacing w:line="24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益林镇城东菜场</w:t>
            </w:r>
            <w:r/>
          </w:p>
        </w:tc>
        <w:tc>
          <w:tcPr>
            <w:tcW w:w="1319" w:type="dxa"/>
            <w:vAlign w:val="center"/>
            <w:textDirection w:val="lrTb"/>
            <w:noWrap w:val="false"/>
          </w:tcPr>
          <w:p>
            <w:pPr>
              <w:jc w:val="center"/>
              <w:spacing w:line="240" w:lineRule="auto"/>
              <w:shd w:val="clear" w:color="auto" w:fill="ffffff"/>
              <w:widowControl/>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是</w:t>
            </w:r>
            <w:r/>
          </w:p>
        </w:tc>
        <w:tc>
          <w:tcPr>
            <w:tcW w:w="1397" w:type="dxa"/>
            <w:vAlign w:val="center"/>
            <w:textDirection w:val="lrTb"/>
            <w:noWrap w:val="false"/>
          </w:tcPr>
          <w:p>
            <w:pPr>
              <w:jc w:val="center"/>
              <w:spacing w:line="24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农贸市场</w:t>
            </w:r>
            <w:r/>
          </w:p>
        </w:tc>
        <w:tc>
          <w:tcPr>
            <w:tcW w:w="1407" w:type="dxa"/>
            <w:vAlign w:val="center"/>
            <w:textDirection w:val="lrTb"/>
            <w:noWrap w:val="false"/>
          </w:tcPr>
          <w:p>
            <w:pPr>
              <w:jc w:val="center"/>
              <w:spacing w:line="240" w:lineRule="auto"/>
              <w:shd w:val="clear" w:color="auto" w:fill="ffffff"/>
              <w:widowControl/>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代检邱氏蔬菜每天10个批次蔬菜，其中胶体金5个批次。</w:t>
            </w:r>
            <w:r/>
          </w:p>
        </w:tc>
      </w:tr>
      <w:tr>
        <w:trPr>
          <w:jc w:val="center"/>
          <w:trHeight w:val="285"/>
        </w:trPr>
        <w:tc>
          <w:tcPr>
            <w:shd w:val="clear" w:color="auto" w:fill="auto"/>
            <w:tcW w:w="611" w:type="dxa"/>
            <w:vAlign w:val="center"/>
            <w:textDirection w:val="lrTb"/>
            <w:noWrap w:val="false"/>
          </w:tcPr>
          <w:p>
            <w:pPr>
              <w:jc w:val="both"/>
              <w:spacing w:line="240" w:lineRule="auto"/>
              <w:shd w:val="clear" w:color="auto" w:fill="ffffff"/>
              <w:widowControl/>
              <w:rPr>
                <w:rFonts w:hint="default"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35</w:t>
            </w:r>
            <w:r/>
          </w:p>
        </w:tc>
        <w:tc>
          <w:tcPr>
            <w:tcW w:w="1429" w:type="dxa"/>
            <w:vAlign w:val="center"/>
            <w:textDirection w:val="lrTb"/>
            <w:noWrap w:val="false"/>
          </w:tcPr>
          <w:p>
            <w:pPr>
              <w:jc w:val="center"/>
              <w:spacing w:line="240" w:lineRule="auto"/>
              <w:shd w:val="clear" w:color="auto" w:fill="ffffff"/>
              <w:widowControl/>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益林分局</w:t>
            </w:r>
            <w:r/>
          </w:p>
        </w:tc>
        <w:tc>
          <w:tcPr>
            <w:tcW w:w="3149" w:type="dxa"/>
            <w:vAlign w:val="center"/>
            <w:textDirection w:val="lrTb"/>
            <w:noWrap w:val="false"/>
          </w:tcPr>
          <w:p>
            <w:pPr>
              <w:jc w:val="center"/>
              <w:spacing w:line="24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益林镇城</w:t>
            </w:r>
            <w:r>
              <w:rPr>
                <w:rFonts w:hint="eastAsia" w:ascii="宋体" w:hAnsi="宋体" w:eastAsia="宋体" w:cs="宋体"/>
                <w:sz w:val="21"/>
                <w:szCs w:val="21"/>
                <w:lang w:eastAsia="zh-CN"/>
              </w:rPr>
              <w:t xml:space="preserve">中</w:t>
            </w:r>
            <w:r>
              <w:rPr>
                <w:rFonts w:hint="eastAsia" w:ascii="宋体" w:hAnsi="宋体" w:eastAsia="宋体" w:cs="宋体"/>
                <w:sz w:val="21"/>
                <w:szCs w:val="21"/>
              </w:rPr>
              <w:t xml:space="preserve">菜场</w:t>
            </w:r>
            <w:r/>
          </w:p>
        </w:tc>
        <w:tc>
          <w:tcPr>
            <w:tcW w:w="1319" w:type="dxa"/>
            <w:vAlign w:val="center"/>
            <w:textDirection w:val="lrTb"/>
            <w:noWrap w:val="false"/>
          </w:tcPr>
          <w:p>
            <w:pPr>
              <w:jc w:val="center"/>
              <w:spacing w:line="240" w:lineRule="auto"/>
              <w:shd w:val="clear" w:color="auto" w:fill="ffffff"/>
              <w:widowControl/>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是</w:t>
            </w:r>
            <w:r/>
          </w:p>
        </w:tc>
        <w:tc>
          <w:tcPr>
            <w:tcW w:w="1397" w:type="dxa"/>
            <w:vAlign w:val="center"/>
            <w:textDirection w:val="lrTb"/>
            <w:noWrap w:val="false"/>
          </w:tcPr>
          <w:p>
            <w:pPr>
              <w:jc w:val="center"/>
              <w:spacing w:line="24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农贸市场</w:t>
            </w:r>
            <w:r/>
          </w:p>
        </w:tc>
        <w:tc>
          <w:tcPr>
            <w:tcW w:w="1407" w:type="dxa"/>
            <w:vAlign w:val="center"/>
            <w:textDirection w:val="lrTb"/>
            <w:noWrap w:val="false"/>
          </w:tcPr>
          <w:p>
            <w:pPr>
              <w:jc w:val="center"/>
              <w:spacing w:line="240" w:lineRule="auto"/>
              <w:shd w:val="clear" w:color="auto" w:fill="ffffff"/>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r>
      <w:tr>
        <w:trPr>
          <w:jc w:val="center"/>
          <w:trHeight w:val="285"/>
        </w:trPr>
        <w:tc>
          <w:tcPr>
            <w:shd w:val="clear" w:color="auto" w:fill="auto"/>
            <w:tcW w:w="611" w:type="dxa"/>
            <w:vAlign w:val="center"/>
            <w:textDirection w:val="lrTb"/>
            <w:noWrap w:val="false"/>
          </w:tcPr>
          <w:p>
            <w:pPr>
              <w:jc w:val="both"/>
              <w:spacing w:line="240" w:lineRule="auto"/>
              <w:shd w:val="clear" w:color="auto" w:fill="ffffff"/>
              <w:widowControl/>
              <w:rPr>
                <w:rFonts w:hint="default"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36</w:t>
            </w:r>
            <w:r/>
          </w:p>
        </w:tc>
        <w:tc>
          <w:tcPr>
            <w:tcW w:w="1429" w:type="dxa"/>
            <w:vAlign w:val="center"/>
            <w:textDirection w:val="lrTb"/>
            <w:noWrap w:val="false"/>
          </w:tcPr>
          <w:p>
            <w:pPr>
              <w:jc w:val="center"/>
              <w:spacing w:line="240" w:lineRule="auto"/>
              <w:shd w:val="clear" w:color="auto" w:fill="ffffff"/>
              <w:widowControl/>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益林分局</w:t>
            </w:r>
            <w:r/>
          </w:p>
        </w:tc>
        <w:tc>
          <w:tcPr>
            <w:tcW w:w="3149" w:type="dxa"/>
            <w:vAlign w:val="center"/>
            <w:textDirection w:val="lrTb"/>
            <w:noWrap w:val="false"/>
          </w:tcPr>
          <w:p>
            <w:pPr>
              <w:jc w:val="center"/>
              <w:spacing w:line="24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杨集兴盛农贸市场</w:t>
            </w:r>
            <w:r/>
          </w:p>
        </w:tc>
        <w:tc>
          <w:tcPr>
            <w:tcW w:w="1319" w:type="dxa"/>
            <w:vAlign w:val="center"/>
            <w:textDirection w:val="lrTb"/>
            <w:noWrap w:val="false"/>
          </w:tcPr>
          <w:p>
            <w:pPr>
              <w:jc w:val="center"/>
              <w:spacing w:line="240" w:lineRule="auto"/>
              <w:shd w:val="clear" w:color="auto" w:fill="ffffff"/>
              <w:widowControl/>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是</w:t>
            </w:r>
            <w:r/>
          </w:p>
        </w:tc>
        <w:tc>
          <w:tcPr>
            <w:tcW w:w="1397" w:type="dxa"/>
            <w:vAlign w:val="center"/>
            <w:textDirection w:val="lrTb"/>
            <w:noWrap w:val="false"/>
          </w:tcPr>
          <w:p>
            <w:pPr>
              <w:jc w:val="center"/>
              <w:spacing w:line="24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农贸市场</w:t>
            </w:r>
            <w:r/>
          </w:p>
        </w:tc>
        <w:tc>
          <w:tcPr>
            <w:tcW w:w="1407" w:type="dxa"/>
            <w:vAlign w:val="center"/>
            <w:textDirection w:val="lrTb"/>
            <w:noWrap w:val="false"/>
          </w:tcPr>
          <w:p>
            <w:pPr>
              <w:jc w:val="center"/>
              <w:spacing w:line="240" w:lineRule="auto"/>
              <w:shd w:val="clear" w:color="auto" w:fill="ffffff"/>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r>
      <w:tr>
        <w:trPr>
          <w:jc w:val="center"/>
          <w:trHeight w:val="285"/>
        </w:trPr>
        <w:tc>
          <w:tcPr>
            <w:shd w:val="clear" w:color="auto" w:fill="auto"/>
            <w:tcW w:w="611" w:type="dxa"/>
            <w:vAlign w:val="center"/>
            <w:textDirection w:val="lrTb"/>
            <w:noWrap w:val="false"/>
          </w:tcPr>
          <w:p>
            <w:pPr>
              <w:jc w:val="both"/>
              <w:spacing w:line="240" w:lineRule="auto"/>
              <w:shd w:val="clear" w:color="auto" w:fill="ffffff"/>
              <w:widowControl/>
              <w:rPr>
                <w:rFonts w:hint="default"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37</w:t>
            </w:r>
            <w:r/>
          </w:p>
        </w:tc>
        <w:tc>
          <w:tcPr>
            <w:tcW w:w="1429" w:type="dxa"/>
            <w:vAlign w:val="center"/>
            <w:textDirection w:val="lrTb"/>
            <w:noWrap w:val="false"/>
          </w:tcPr>
          <w:p>
            <w:pPr>
              <w:jc w:val="center"/>
              <w:spacing w:line="24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益林分局</w:t>
            </w:r>
            <w:r/>
          </w:p>
        </w:tc>
        <w:tc>
          <w:tcPr>
            <w:tcW w:w="3149" w:type="dxa"/>
            <w:vAlign w:val="center"/>
            <w:textDirection w:val="lrTb"/>
            <w:noWrap w:val="false"/>
          </w:tcPr>
          <w:p>
            <w:pPr>
              <w:jc w:val="center"/>
              <w:spacing w:line="24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罗桥镇兴隆路农贸市场</w:t>
            </w:r>
            <w:r/>
          </w:p>
        </w:tc>
        <w:tc>
          <w:tcPr>
            <w:tcW w:w="1319" w:type="dxa"/>
            <w:vAlign w:val="center"/>
            <w:textDirection w:val="lrTb"/>
            <w:noWrap w:val="false"/>
          </w:tcPr>
          <w:p>
            <w:pPr>
              <w:jc w:val="center"/>
              <w:spacing w:line="240" w:lineRule="auto"/>
              <w:shd w:val="clear" w:color="auto" w:fill="ffffff"/>
              <w:widowControl/>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是</w:t>
            </w:r>
            <w:r/>
          </w:p>
        </w:tc>
        <w:tc>
          <w:tcPr>
            <w:tcW w:w="1397" w:type="dxa"/>
            <w:vAlign w:val="center"/>
            <w:textDirection w:val="lrTb"/>
            <w:noWrap w:val="false"/>
          </w:tcPr>
          <w:p>
            <w:pPr>
              <w:jc w:val="center"/>
              <w:spacing w:line="24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农贸市场</w:t>
            </w:r>
            <w:r/>
          </w:p>
        </w:tc>
        <w:tc>
          <w:tcPr>
            <w:tcW w:w="1407" w:type="dxa"/>
            <w:vAlign w:val="center"/>
            <w:textDirection w:val="lrTb"/>
            <w:noWrap w:val="false"/>
          </w:tcPr>
          <w:p>
            <w:pPr>
              <w:jc w:val="center"/>
              <w:spacing w:line="240" w:lineRule="auto"/>
              <w:shd w:val="clear" w:color="auto" w:fill="ffffff"/>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r>
      <w:tr>
        <w:trPr>
          <w:jc w:val="center"/>
          <w:trHeight w:val="285"/>
        </w:trPr>
        <w:tc>
          <w:tcPr>
            <w:shd w:val="clear" w:color="auto" w:fill="auto"/>
            <w:tcW w:w="611" w:type="dxa"/>
            <w:vAlign w:val="center"/>
            <w:textDirection w:val="lrTb"/>
            <w:noWrap w:val="false"/>
          </w:tcPr>
          <w:p>
            <w:pPr>
              <w:jc w:val="both"/>
              <w:spacing w:line="240" w:lineRule="auto"/>
              <w:shd w:val="clear" w:color="auto" w:fill="ffffff"/>
              <w:widowControl/>
              <w:rPr>
                <w:rFonts w:hint="default"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38</w:t>
            </w:r>
            <w:r/>
          </w:p>
        </w:tc>
        <w:tc>
          <w:tcPr>
            <w:tcW w:w="1429" w:type="dxa"/>
            <w:vAlign w:val="center"/>
            <w:textDirection w:val="lrTb"/>
            <w:noWrap w:val="false"/>
          </w:tcPr>
          <w:p>
            <w:pPr>
              <w:jc w:val="center"/>
              <w:spacing w:line="240" w:lineRule="auto"/>
              <w:shd w:val="clear" w:color="auto" w:fill="ffffff"/>
              <w:widowControl/>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益林分局</w:t>
            </w:r>
            <w:r/>
          </w:p>
        </w:tc>
        <w:tc>
          <w:tcPr>
            <w:tcW w:w="3149" w:type="dxa"/>
            <w:vAlign w:val="center"/>
            <w:textDirection w:val="lrTb"/>
            <w:noWrap w:val="false"/>
          </w:tcPr>
          <w:p>
            <w:pPr>
              <w:jc w:val="center"/>
              <w:spacing w:line="240" w:lineRule="auto"/>
              <w:shd w:val="clear" w:color="auto" w:fill="ffffff"/>
              <w:widowControl/>
              <w:rPr>
                <w:rFonts w:hint="eastAsia" w:ascii="宋体" w:hAnsi="宋体" w:eastAsia="宋体" w:cs="宋体"/>
                <w:sz w:val="21"/>
                <w:szCs w:val="21"/>
                <w:lang w:eastAsia="zh-CN"/>
              </w:rPr>
            </w:pPr>
            <w:r>
              <w:rPr>
                <w:rFonts w:hint="eastAsia" w:ascii="宋体" w:hAnsi="宋体" w:eastAsia="宋体" w:cs="宋体"/>
                <w:sz w:val="21"/>
                <w:szCs w:val="21"/>
              </w:rPr>
              <w:t xml:space="preserve">何家坞农贸市场</w:t>
            </w:r>
            <w:r>
              <w:rPr>
                <w:rFonts w:hint="eastAsia" w:ascii="宋体" w:hAnsi="宋体" w:eastAsia="宋体" w:cs="宋体"/>
                <w:sz w:val="21"/>
                <w:szCs w:val="21"/>
                <w:lang w:eastAsia="zh-CN"/>
              </w:rPr>
              <w:t xml:space="preserve">（古河）</w:t>
            </w:r>
            <w:r/>
          </w:p>
        </w:tc>
        <w:tc>
          <w:tcPr>
            <w:tcW w:w="1319" w:type="dxa"/>
            <w:vAlign w:val="center"/>
            <w:textDirection w:val="lrTb"/>
            <w:noWrap w:val="false"/>
          </w:tcPr>
          <w:p>
            <w:pPr>
              <w:jc w:val="center"/>
              <w:spacing w:line="240" w:lineRule="auto"/>
              <w:shd w:val="clear" w:color="auto" w:fill="ffffff"/>
              <w:widowControl/>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是</w:t>
            </w:r>
            <w:r/>
          </w:p>
        </w:tc>
        <w:tc>
          <w:tcPr>
            <w:tcW w:w="1397" w:type="dxa"/>
            <w:vAlign w:val="center"/>
            <w:textDirection w:val="lrTb"/>
            <w:noWrap w:val="false"/>
          </w:tcPr>
          <w:p>
            <w:pPr>
              <w:jc w:val="center"/>
              <w:spacing w:line="24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农贸市场</w:t>
            </w:r>
            <w:r/>
          </w:p>
        </w:tc>
        <w:tc>
          <w:tcPr>
            <w:tcW w:w="1407" w:type="dxa"/>
            <w:vAlign w:val="center"/>
            <w:textDirection w:val="lrTb"/>
            <w:noWrap w:val="false"/>
          </w:tcPr>
          <w:p>
            <w:pPr>
              <w:jc w:val="center"/>
              <w:spacing w:line="240" w:lineRule="auto"/>
              <w:shd w:val="clear" w:color="auto" w:fill="ffffff"/>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r>
      <w:tr>
        <w:trPr>
          <w:jc w:val="center"/>
          <w:trHeight w:val="285"/>
        </w:trPr>
        <w:tc>
          <w:tcPr>
            <w:shd w:val="clear" w:color="auto" w:fill="auto"/>
            <w:tcW w:w="611" w:type="dxa"/>
            <w:vAlign w:val="center"/>
            <w:textDirection w:val="lrTb"/>
            <w:noWrap w:val="false"/>
          </w:tcPr>
          <w:p>
            <w:pPr>
              <w:jc w:val="both"/>
              <w:spacing w:line="240" w:lineRule="auto"/>
              <w:shd w:val="clear" w:color="auto" w:fill="ffffff"/>
              <w:widowControl/>
              <w:rPr>
                <w:rFonts w:hint="default"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39</w:t>
            </w:r>
            <w:r/>
          </w:p>
        </w:tc>
        <w:tc>
          <w:tcPr>
            <w:tcW w:w="1429" w:type="dxa"/>
            <w:vAlign w:val="center"/>
            <w:textDirection w:val="lrTb"/>
            <w:noWrap w:val="false"/>
          </w:tcPr>
          <w:p>
            <w:pPr>
              <w:jc w:val="center"/>
              <w:spacing w:line="240" w:lineRule="auto"/>
              <w:shd w:val="clear" w:color="auto" w:fill="ffffff"/>
              <w:widowControl/>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陈集分局</w:t>
            </w:r>
            <w:r/>
          </w:p>
        </w:tc>
        <w:tc>
          <w:tcPr>
            <w:tcW w:w="3149" w:type="dxa"/>
            <w:vAlign w:val="center"/>
            <w:textDirection w:val="lrTb"/>
            <w:noWrap w:val="false"/>
          </w:tcPr>
          <w:p>
            <w:pPr>
              <w:jc w:val="center"/>
              <w:spacing w:line="24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陈集农贸市场</w:t>
            </w:r>
            <w:r/>
          </w:p>
        </w:tc>
        <w:tc>
          <w:tcPr>
            <w:tcW w:w="1319" w:type="dxa"/>
            <w:vAlign w:val="center"/>
            <w:textDirection w:val="lrTb"/>
            <w:noWrap w:val="false"/>
          </w:tcPr>
          <w:p>
            <w:pPr>
              <w:jc w:val="center"/>
              <w:spacing w:line="240" w:lineRule="auto"/>
              <w:shd w:val="clear" w:color="auto" w:fill="ffffff"/>
              <w:widowControl/>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是</w:t>
            </w:r>
            <w:r/>
          </w:p>
        </w:tc>
        <w:tc>
          <w:tcPr>
            <w:tcW w:w="1397" w:type="dxa"/>
            <w:vAlign w:val="center"/>
            <w:textDirection w:val="lrTb"/>
            <w:noWrap w:val="false"/>
          </w:tcPr>
          <w:p>
            <w:pPr>
              <w:jc w:val="center"/>
              <w:spacing w:line="24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农贸市场</w:t>
            </w:r>
            <w:r/>
          </w:p>
        </w:tc>
        <w:tc>
          <w:tcPr>
            <w:tcW w:w="1407" w:type="dxa"/>
            <w:vAlign w:val="center"/>
            <w:textDirection w:val="lrTb"/>
            <w:noWrap w:val="false"/>
          </w:tcPr>
          <w:p>
            <w:pPr>
              <w:jc w:val="center"/>
              <w:spacing w:line="240" w:lineRule="auto"/>
              <w:shd w:val="clear" w:color="auto" w:fill="ffffff"/>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r>
      <w:tr>
        <w:trPr>
          <w:jc w:val="center"/>
          <w:trHeight w:val="285"/>
        </w:trPr>
        <w:tc>
          <w:tcPr>
            <w:shd w:val="clear" w:color="auto" w:fill="auto"/>
            <w:tcW w:w="611" w:type="dxa"/>
            <w:vAlign w:val="center"/>
            <w:textDirection w:val="lrTb"/>
            <w:noWrap w:val="false"/>
          </w:tcPr>
          <w:p>
            <w:pPr>
              <w:jc w:val="both"/>
              <w:spacing w:line="240" w:lineRule="auto"/>
              <w:shd w:val="clear" w:color="auto" w:fill="ffffff"/>
              <w:widowControl/>
              <w:rPr>
                <w:rFonts w:hint="default"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40</w:t>
            </w:r>
            <w:r/>
          </w:p>
        </w:tc>
        <w:tc>
          <w:tcPr>
            <w:tcW w:w="1429" w:type="dxa"/>
            <w:vAlign w:val="center"/>
            <w:textDirection w:val="lrTb"/>
            <w:noWrap w:val="false"/>
          </w:tcPr>
          <w:p>
            <w:pPr>
              <w:jc w:val="center"/>
              <w:spacing w:line="240" w:lineRule="auto"/>
              <w:shd w:val="clear" w:color="auto" w:fill="ffffff"/>
              <w:widowControl/>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陈集分局</w:t>
            </w:r>
            <w:r/>
          </w:p>
        </w:tc>
        <w:tc>
          <w:tcPr>
            <w:tcW w:w="3149" w:type="dxa"/>
            <w:vAlign w:val="center"/>
            <w:textDirection w:val="lrTb"/>
            <w:noWrap w:val="false"/>
          </w:tcPr>
          <w:p>
            <w:pPr>
              <w:jc w:val="center"/>
              <w:spacing w:line="24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lang w:eastAsia="zh-CN"/>
              </w:rPr>
              <w:t xml:space="preserve">板湖</w:t>
            </w:r>
            <w:r>
              <w:rPr>
                <w:rFonts w:hint="eastAsia" w:ascii="宋体" w:hAnsi="宋体" w:eastAsia="宋体" w:cs="宋体"/>
                <w:sz w:val="21"/>
                <w:szCs w:val="21"/>
              </w:rPr>
              <w:t xml:space="preserve">湖心农贸市场</w:t>
            </w:r>
            <w:r/>
          </w:p>
        </w:tc>
        <w:tc>
          <w:tcPr>
            <w:tcW w:w="1319" w:type="dxa"/>
            <w:vAlign w:val="center"/>
            <w:textDirection w:val="lrTb"/>
            <w:noWrap w:val="false"/>
          </w:tcPr>
          <w:p>
            <w:pPr>
              <w:jc w:val="center"/>
              <w:spacing w:line="240" w:lineRule="auto"/>
              <w:shd w:val="clear" w:color="auto" w:fill="ffffff"/>
              <w:widowControl/>
              <w:rPr>
                <w:rFonts w:ascii="宋体" w:hAnsi="宋体" w:eastAsia="宋体" w:cs="宋体"/>
                <w:sz w:val="21"/>
                <w:szCs w:val="21"/>
                <w:lang w:val="en-US" w:eastAsia="zh-CN"/>
              </w:rPr>
            </w:pPr>
            <w:r>
              <w:rPr>
                <w:rFonts w:hint="eastAsia" w:ascii="宋体" w:hAnsi="宋体" w:eastAsia="宋体" w:cs="宋体"/>
                <w:sz w:val="21"/>
                <w:szCs w:val="21"/>
                <w:lang w:eastAsia="zh-CN"/>
              </w:rPr>
              <w:t xml:space="preserve">是</w:t>
            </w:r>
            <w:r>
              <w:rPr>
                <w:rFonts w:hint="eastAsia" w:ascii="宋体" w:hAnsi="宋体" w:eastAsia="宋体" w:cs="宋体"/>
                <w:sz w:val="21"/>
                <w:szCs w:val="21"/>
                <w:lang w:val="en-US" w:eastAsia="zh-CN"/>
              </w:rPr>
              <w:t xml:space="preserve"> </w:t>
            </w:r>
            <w:r/>
          </w:p>
        </w:tc>
        <w:tc>
          <w:tcPr>
            <w:tcW w:w="1397" w:type="dxa"/>
            <w:vAlign w:val="center"/>
            <w:textDirection w:val="lrTb"/>
            <w:noWrap w:val="false"/>
          </w:tcPr>
          <w:p>
            <w:pPr>
              <w:jc w:val="center"/>
              <w:spacing w:line="24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农贸市场</w:t>
            </w:r>
            <w:r/>
          </w:p>
        </w:tc>
        <w:tc>
          <w:tcPr>
            <w:tcW w:w="1407" w:type="dxa"/>
            <w:vAlign w:val="center"/>
            <w:textDirection w:val="lrTb"/>
            <w:noWrap w:val="false"/>
          </w:tcPr>
          <w:p>
            <w:pPr>
              <w:jc w:val="center"/>
              <w:spacing w:line="240" w:lineRule="auto"/>
              <w:shd w:val="clear" w:color="auto" w:fill="ffffff"/>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r>
      <w:tr>
        <w:trPr>
          <w:jc w:val="center"/>
          <w:trHeight w:val="285"/>
        </w:trPr>
        <w:tc>
          <w:tcPr>
            <w:shd w:val="clear" w:color="auto" w:fill="auto"/>
            <w:tcW w:w="611" w:type="dxa"/>
            <w:vAlign w:val="center"/>
            <w:textDirection w:val="lrTb"/>
            <w:noWrap w:val="false"/>
          </w:tcPr>
          <w:p>
            <w:pPr>
              <w:jc w:val="both"/>
              <w:spacing w:line="240" w:lineRule="auto"/>
              <w:shd w:val="clear" w:color="auto" w:fill="ffffff"/>
              <w:widowControl/>
              <w:rPr>
                <w:rFonts w:hint="default"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41</w:t>
            </w:r>
            <w:r/>
          </w:p>
        </w:tc>
        <w:tc>
          <w:tcPr>
            <w:tcW w:w="1429" w:type="dxa"/>
            <w:vAlign w:val="center"/>
            <w:textDirection w:val="lrTb"/>
            <w:noWrap w:val="false"/>
          </w:tcPr>
          <w:p>
            <w:pPr>
              <w:jc w:val="center"/>
              <w:spacing w:line="240" w:lineRule="auto"/>
              <w:shd w:val="clear" w:color="auto" w:fill="ffffff"/>
              <w:widowControl/>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城中分局</w:t>
            </w:r>
            <w:r/>
          </w:p>
        </w:tc>
        <w:tc>
          <w:tcPr>
            <w:tcW w:w="3149" w:type="dxa"/>
            <w:vAlign w:val="center"/>
            <w:textDirection w:val="lrTb"/>
            <w:noWrap w:val="false"/>
          </w:tcPr>
          <w:p>
            <w:pPr>
              <w:jc w:val="center"/>
              <w:spacing w:line="240" w:lineRule="auto"/>
              <w:shd w:val="clear" w:color="auto" w:fill="ffffff"/>
              <w:widowControl/>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阜东大桥水产交易市场</w:t>
            </w:r>
            <w:r/>
          </w:p>
        </w:tc>
        <w:tc>
          <w:tcPr>
            <w:tcW w:w="1319" w:type="dxa"/>
            <w:vAlign w:val="center"/>
            <w:textDirection w:val="lrTb"/>
            <w:noWrap w:val="false"/>
          </w:tcPr>
          <w:p>
            <w:pPr>
              <w:jc w:val="center"/>
              <w:spacing w:line="240" w:lineRule="auto"/>
              <w:shd w:val="clear" w:color="auto" w:fill="ffffff"/>
              <w:widowControl/>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是</w:t>
            </w:r>
            <w:r/>
          </w:p>
        </w:tc>
        <w:tc>
          <w:tcPr>
            <w:tcW w:w="1397" w:type="dxa"/>
            <w:vAlign w:val="center"/>
            <w:textDirection w:val="lrTb"/>
            <w:noWrap w:val="false"/>
          </w:tcPr>
          <w:p>
            <w:pPr>
              <w:jc w:val="center"/>
              <w:spacing w:line="240" w:lineRule="auto"/>
              <w:shd w:val="clear" w:color="auto" w:fill="ffffff"/>
              <w:widowControl/>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批发市场</w:t>
            </w:r>
            <w:r/>
          </w:p>
        </w:tc>
        <w:tc>
          <w:tcPr>
            <w:tcW w:w="1407" w:type="dxa"/>
            <w:vAlign w:val="center"/>
            <w:textDirection w:val="lrTb"/>
            <w:noWrap w:val="false"/>
          </w:tcPr>
          <w:p>
            <w:pPr>
              <w:jc w:val="center"/>
              <w:spacing w:line="240" w:lineRule="auto"/>
              <w:shd w:val="clear" w:color="auto" w:fill="ffffff"/>
              <w:widowControl/>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水产批发</w:t>
            </w:r>
            <w:r/>
          </w:p>
        </w:tc>
      </w:tr>
      <w:tr>
        <w:trPr>
          <w:jc w:val="center"/>
          <w:trHeight w:val="285"/>
        </w:trPr>
        <w:tc>
          <w:tcPr>
            <w:shd w:val="clear" w:color="auto" w:fill="auto"/>
            <w:tcW w:w="611" w:type="dxa"/>
            <w:vAlign w:val="center"/>
            <w:textDirection w:val="lrTb"/>
            <w:noWrap w:val="false"/>
          </w:tcPr>
          <w:p>
            <w:pPr>
              <w:jc w:val="both"/>
              <w:spacing w:line="240" w:lineRule="auto"/>
              <w:shd w:val="clear" w:color="auto" w:fill="ffffff"/>
              <w:widowControl/>
              <w:rPr>
                <w:rFonts w:hint="default"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42</w:t>
            </w:r>
            <w:r/>
          </w:p>
        </w:tc>
        <w:tc>
          <w:tcPr>
            <w:tcW w:w="1429" w:type="dxa"/>
            <w:vAlign w:val="center"/>
            <w:textDirection w:val="lrTb"/>
            <w:noWrap w:val="false"/>
          </w:tcPr>
          <w:p>
            <w:pPr>
              <w:jc w:val="center"/>
              <w:spacing w:line="240" w:lineRule="auto"/>
              <w:shd w:val="clear" w:color="auto" w:fill="ffffff"/>
              <w:widowControl/>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城北分局</w:t>
            </w:r>
            <w:r/>
          </w:p>
        </w:tc>
        <w:tc>
          <w:tcPr>
            <w:tcW w:w="3149" w:type="dxa"/>
            <w:vAlign w:val="center"/>
            <w:textDirection w:val="lrTb"/>
            <w:noWrap w:val="false"/>
          </w:tcPr>
          <w:p>
            <w:pPr>
              <w:jc w:val="center"/>
              <w:spacing w:line="240" w:lineRule="auto"/>
              <w:shd w:val="clear" w:color="auto" w:fill="ffffff"/>
              <w:widowControl/>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新兴路水产交易市场</w:t>
            </w:r>
            <w:r/>
          </w:p>
        </w:tc>
        <w:tc>
          <w:tcPr>
            <w:tcW w:w="1319" w:type="dxa"/>
            <w:vAlign w:val="center"/>
            <w:textDirection w:val="lrTb"/>
            <w:noWrap w:val="false"/>
          </w:tcPr>
          <w:p>
            <w:pPr>
              <w:jc w:val="center"/>
              <w:spacing w:line="240" w:lineRule="auto"/>
              <w:shd w:val="clear" w:color="auto" w:fill="ffffff"/>
              <w:widowControl/>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是</w:t>
            </w:r>
            <w:r/>
          </w:p>
        </w:tc>
        <w:tc>
          <w:tcPr>
            <w:tcW w:w="1397" w:type="dxa"/>
            <w:vAlign w:val="center"/>
            <w:textDirection w:val="lrTb"/>
            <w:noWrap w:val="false"/>
          </w:tcPr>
          <w:p>
            <w:pPr>
              <w:jc w:val="center"/>
              <w:spacing w:line="24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批发市场</w:t>
            </w:r>
            <w:r/>
          </w:p>
        </w:tc>
        <w:tc>
          <w:tcPr>
            <w:tcW w:w="1407" w:type="dxa"/>
            <w:vAlign w:val="center"/>
            <w:textDirection w:val="lrTb"/>
            <w:noWrap w:val="false"/>
          </w:tcPr>
          <w:p>
            <w:pPr>
              <w:jc w:val="center"/>
              <w:spacing w:line="240" w:lineRule="auto"/>
              <w:shd w:val="clear" w:color="auto" w:fill="ffffff"/>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水产批发</w:t>
            </w:r>
            <w:r/>
          </w:p>
        </w:tc>
      </w:tr>
      <w:tr>
        <w:trPr>
          <w:jc w:val="center"/>
          <w:trHeight w:val="285"/>
        </w:trPr>
        <w:tc>
          <w:tcPr>
            <w:shd w:val="clear" w:color="auto" w:fill="auto"/>
            <w:tcW w:w="611" w:type="dxa"/>
            <w:vAlign w:val="center"/>
            <w:textDirection w:val="lrTb"/>
            <w:noWrap w:val="false"/>
          </w:tcPr>
          <w:p>
            <w:pPr>
              <w:jc w:val="both"/>
              <w:spacing w:line="240" w:lineRule="auto"/>
              <w:shd w:val="clear" w:color="auto" w:fill="ffffff"/>
              <w:widowControl/>
              <w:rPr>
                <w:rFonts w:hint="default"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43</w:t>
            </w:r>
            <w:r/>
          </w:p>
        </w:tc>
        <w:tc>
          <w:tcPr>
            <w:tcW w:w="1429" w:type="dxa"/>
            <w:vAlign w:val="center"/>
            <w:textDirection w:val="lrTb"/>
            <w:noWrap w:val="false"/>
          </w:tcPr>
          <w:p>
            <w:pPr>
              <w:jc w:val="center"/>
              <w:spacing w:line="240" w:lineRule="auto"/>
              <w:shd w:val="clear" w:color="auto" w:fill="ffffff"/>
              <w:widowControl/>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城中分局</w:t>
            </w:r>
            <w:r/>
          </w:p>
        </w:tc>
        <w:tc>
          <w:tcPr>
            <w:tcW w:w="3149" w:type="dxa"/>
            <w:vAlign w:val="center"/>
            <w:textDirection w:val="lrTb"/>
            <w:noWrap w:val="false"/>
          </w:tcPr>
          <w:p>
            <w:pPr>
              <w:jc w:val="center"/>
              <w:spacing w:line="240" w:lineRule="auto"/>
              <w:shd w:val="clear" w:color="auto" w:fill="ffffff"/>
              <w:widowControl/>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通城水果交易市场</w:t>
            </w:r>
            <w:r/>
          </w:p>
        </w:tc>
        <w:tc>
          <w:tcPr>
            <w:tcW w:w="1319" w:type="dxa"/>
            <w:vAlign w:val="center"/>
            <w:textDirection w:val="lrTb"/>
            <w:noWrap w:val="false"/>
          </w:tcPr>
          <w:p>
            <w:pPr>
              <w:jc w:val="center"/>
              <w:spacing w:line="240" w:lineRule="auto"/>
              <w:shd w:val="clear" w:color="auto" w:fill="ffffff"/>
              <w:widowControl/>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是</w:t>
            </w:r>
            <w:r/>
          </w:p>
        </w:tc>
        <w:tc>
          <w:tcPr>
            <w:tcW w:w="1397" w:type="dxa"/>
            <w:vAlign w:val="center"/>
            <w:textDirection w:val="lrTb"/>
            <w:noWrap w:val="false"/>
          </w:tcPr>
          <w:p>
            <w:pPr>
              <w:jc w:val="center"/>
              <w:spacing w:line="240" w:lineRule="auto"/>
              <w:shd w:val="clear" w:color="auto" w:fill="ffffff"/>
              <w:widowControl/>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批发市场</w:t>
            </w:r>
            <w:r/>
          </w:p>
        </w:tc>
        <w:tc>
          <w:tcPr>
            <w:tcW w:w="1407" w:type="dxa"/>
            <w:vAlign w:val="center"/>
            <w:textDirection w:val="lrTb"/>
            <w:noWrap w:val="false"/>
          </w:tcPr>
          <w:p>
            <w:pPr>
              <w:jc w:val="center"/>
              <w:spacing w:line="240" w:lineRule="auto"/>
              <w:shd w:val="clear" w:color="auto" w:fill="ffffff"/>
              <w:widowControl/>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水果批发</w:t>
            </w:r>
            <w:r/>
          </w:p>
        </w:tc>
      </w:tr>
      <w:tr>
        <w:trPr>
          <w:jc w:val="center"/>
          <w:trHeight w:val="858"/>
        </w:trPr>
        <w:tc>
          <w:tcPr>
            <w:tcW w:w="611" w:type="dxa"/>
            <w:vAlign w:val="center"/>
            <w:textDirection w:val="lrTb"/>
            <w:noWrap w:val="false"/>
          </w:tcPr>
          <w:p>
            <w:pPr>
              <w:jc w:val="both"/>
              <w:spacing w:line="240" w:lineRule="auto"/>
              <w:shd w:val="clear" w:color="auto" w:fill="ffffff"/>
              <w:widowControl/>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44</w:t>
            </w:r>
            <w:r/>
          </w:p>
        </w:tc>
        <w:tc>
          <w:tcPr>
            <w:tcW w:w="1429" w:type="dxa"/>
            <w:vAlign w:val="center"/>
            <w:textDirection w:val="lrTb"/>
            <w:noWrap w:val="false"/>
          </w:tcPr>
          <w:p>
            <w:pPr>
              <w:jc w:val="center"/>
              <w:spacing w:line="240" w:lineRule="auto"/>
              <w:shd w:val="clear" w:color="auto" w:fill="ffffff"/>
              <w:widowControl/>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陈集分局</w:t>
            </w:r>
            <w:r/>
          </w:p>
        </w:tc>
        <w:tc>
          <w:tcPr>
            <w:tcW w:w="3149" w:type="dxa"/>
            <w:vAlign w:val="center"/>
            <w:textDirection w:val="lrTb"/>
            <w:noWrap w:val="false"/>
          </w:tcPr>
          <w:p>
            <w:pPr>
              <w:jc w:val="center"/>
              <w:spacing w:line="240" w:lineRule="auto"/>
              <w:shd w:val="clear" w:color="auto" w:fill="ffffff"/>
              <w:widowControl/>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蓝湖水产批发市场</w:t>
            </w:r>
            <w:r/>
          </w:p>
        </w:tc>
        <w:tc>
          <w:tcPr>
            <w:tcW w:w="1319" w:type="dxa"/>
            <w:vAlign w:val="center"/>
            <w:textDirection w:val="lrTb"/>
            <w:noWrap w:val="false"/>
          </w:tcPr>
          <w:p>
            <w:pPr>
              <w:jc w:val="center"/>
              <w:spacing w:line="240" w:lineRule="auto"/>
              <w:shd w:val="clear" w:color="auto" w:fill="ffffff"/>
              <w:widowControl/>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是</w:t>
            </w:r>
            <w:r/>
          </w:p>
        </w:tc>
        <w:tc>
          <w:tcPr>
            <w:tcW w:w="1397" w:type="dxa"/>
            <w:vAlign w:val="center"/>
            <w:textDirection w:val="lrTb"/>
            <w:noWrap w:val="false"/>
          </w:tcPr>
          <w:p>
            <w:pPr>
              <w:jc w:val="center"/>
              <w:spacing w:line="240" w:lineRule="auto"/>
              <w:shd w:val="clear" w:color="auto" w:fill="ffffff"/>
              <w:widowControl/>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批发市场</w:t>
            </w:r>
            <w:r/>
          </w:p>
        </w:tc>
        <w:tc>
          <w:tcPr>
            <w:tcW w:w="1407" w:type="dxa"/>
            <w:vAlign w:val="center"/>
            <w:textDirection w:val="lrTb"/>
            <w:noWrap w:val="false"/>
          </w:tcPr>
          <w:p>
            <w:pPr>
              <w:jc w:val="center"/>
              <w:spacing w:line="240" w:lineRule="auto"/>
              <w:shd w:val="clear" w:color="auto" w:fill="ffffff"/>
              <w:widowControl/>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螃蟹季节批发</w:t>
            </w:r>
            <w:r/>
          </w:p>
        </w:tc>
      </w:tr>
    </w:tbl>
    <w:p>
      <w:pPr>
        <w:keepLines/>
        <w:keepNext/>
        <w:spacing w:line="360" w:lineRule="auto"/>
        <w:rPr>
          <w:rFonts w:hint="eastAsia"/>
          <w:b/>
          <w:sz w:val="28"/>
        </w:rPr>
        <w:outlineLvl w:val="2"/>
      </w:pPr>
      <w:r>
        <w:rPr>
          <w:rFonts w:hint="eastAsia"/>
          <w:b/>
          <w:sz w:val="28"/>
        </w:rPr>
        <w:t xml:space="preserve">3、检测批次及要求</w:t>
      </w:r>
      <w:r/>
    </w:p>
    <w:p>
      <w:pPr>
        <w:ind w:firstLine="480"/>
        <w:spacing w:line="360" w:lineRule="auto"/>
        <w:rPr>
          <w:rFonts w:hint="eastAsia" w:ascii="宋体" w:hAnsi="宋体" w:eastAsia="宋体" w:cs="宋体"/>
          <w:sz w:val="24"/>
          <w:szCs w:val="24"/>
          <w:highlight w:val="none"/>
          <w:vertAlign w:val="baseline"/>
          <w:lang w:val="en-US"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44</w:t>
      </w:r>
      <w:r>
        <w:rPr>
          <w:rFonts w:hint="eastAsia" w:ascii="宋体" w:hAnsi="宋体" w:eastAsia="宋体" w:cs="宋体"/>
          <w:color w:val="auto"/>
          <w:sz w:val="24"/>
          <w:szCs w:val="24"/>
          <w:highlight w:val="none"/>
        </w:rPr>
        <w:t xml:space="preserve">个农</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市场检测室</w:t>
      </w:r>
      <w:r>
        <w:rPr>
          <w:rFonts w:hint="eastAsia" w:ascii="宋体" w:hAnsi="宋体" w:eastAsia="宋体" w:cs="宋体"/>
          <w:color w:val="auto"/>
          <w:sz w:val="24"/>
          <w:szCs w:val="24"/>
          <w:highlight w:val="none"/>
          <w:lang w:val="en-US" w:eastAsia="zh-CN" w:bidi="ar"/>
        </w:rPr>
        <w:t xml:space="preserve">服</w:t>
      </w:r>
      <w:r>
        <w:rPr>
          <w:rFonts w:hint="eastAsia" w:ascii="宋体" w:hAnsi="宋体" w:eastAsia="宋体" w:cs="宋体"/>
          <w:color w:val="auto"/>
          <w:sz w:val="24"/>
          <w:szCs w:val="24"/>
          <w:highlight w:val="none"/>
          <w:lang w:eastAsia="zh-CN" w:bidi="ar"/>
        </w:rPr>
        <w:t xml:space="preserve">务期内重点问题食用农产品检测样本数量不少于</w:t>
      </w:r>
      <w:r>
        <w:rPr>
          <w:rFonts w:hint="eastAsia" w:ascii="宋体" w:hAnsi="宋体" w:eastAsia="宋体" w:cs="宋体"/>
          <w:color w:val="auto"/>
          <w:sz w:val="24"/>
          <w:szCs w:val="24"/>
          <w:highlight w:val="none"/>
          <w:lang w:val="en-US" w:eastAsia="zh-CN" w:bidi="ar"/>
        </w:rPr>
        <w:t xml:space="preserve">40000</w:t>
      </w:r>
      <w:r>
        <w:rPr>
          <w:rFonts w:hint="eastAsia" w:ascii="宋体" w:hAnsi="宋体" w:eastAsia="宋体" w:cs="宋体"/>
          <w:color w:val="auto"/>
          <w:sz w:val="24"/>
          <w:szCs w:val="24"/>
          <w:highlight w:val="none"/>
          <w:lang w:eastAsia="zh-CN" w:bidi="ar"/>
        </w:rPr>
        <w:t xml:space="preserve">个</w:t>
      </w:r>
      <w:r>
        <w:rPr>
          <w:rFonts w:hint="eastAsia" w:ascii="宋体" w:hAnsi="宋体" w:eastAsia="宋体" w:cs="宋体"/>
          <w:color w:val="auto"/>
          <w:sz w:val="24"/>
          <w:szCs w:val="24"/>
          <w:highlight w:val="none"/>
          <w:u w:val="none"/>
          <w:lang w:val="en-US" w:eastAsia="zh-CN"/>
        </w:rPr>
        <w:t xml:space="preserve">（其中</w:t>
      </w:r>
      <w:r>
        <w:rPr>
          <w:rFonts w:hint="default" w:ascii="宋体" w:hAnsi="宋体" w:eastAsia="宋体" w:cs="宋体"/>
          <w:color w:val="auto"/>
          <w:sz w:val="24"/>
          <w:szCs w:val="24"/>
          <w:highlight w:val="none"/>
          <w:u w:val="none"/>
          <w:lang w:val="en-US" w:eastAsia="zh-CN"/>
        </w:rPr>
        <w:t xml:space="preserve">“七条鱼</w:t>
      </w:r>
      <w:r>
        <w:rPr>
          <w:rFonts w:hint="eastAsia" w:ascii="宋体" w:hAnsi="宋体" w:eastAsia="宋体" w:cs="宋体"/>
          <w:color w:val="auto"/>
          <w:sz w:val="24"/>
          <w:szCs w:val="24"/>
          <w:highlight w:val="none"/>
          <w:u w:val="none"/>
          <w:lang w:val="en-US" w:eastAsia="zh-CN"/>
        </w:rPr>
        <w:t xml:space="preserve">与海参</w:t>
      </w:r>
      <w:r>
        <w:rPr>
          <w:rFonts w:hint="default" w:ascii="宋体" w:hAnsi="宋体" w:eastAsia="宋体" w:cs="宋体"/>
          <w:color w:val="auto"/>
          <w:sz w:val="24"/>
          <w:szCs w:val="24"/>
          <w:highlight w:val="none"/>
          <w:u w:val="none"/>
          <w:lang w:val="en-US" w:eastAsia="zh-CN"/>
        </w:rPr>
        <w:t xml:space="preserve">”</w:t>
      </w:r>
      <w:r>
        <w:rPr>
          <w:rFonts w:hint="eastAsia" w:ascii="宋体" w:hAnsi="宋体" w:eastAsia="宋体" w:cs="宋体"/>
          <w:color w:val="auto"/>
          <w:sz w:val="24"/>
          <w:szCs w:val="24"/>
          <w:highlight w:val="none"/>
          <w:u w:val="none"/>
          <w:lang w:val="en-US" w:eastAsia="zh-CN"/>
        </w:rPr>
        <w:t xml:space="preserve">样本不少于24000个，</w:t>
      </w:r>
      <w:r>
        <w:rPr>
          <w:rStyle w:val="872"/>
          <w:rFonts w:hint="eastAsia" w:ascii="宋体" w:hAnsi="宋体"/>
          <w:b w:val="0"/>
          <w:i w:val="0"/>
          <w:caps w:val="0"/>
          <w:color w:val="auto"/>
          <w:spacing w:val="0"/>
          <w:sz w:val="24"/>
          <w:szCs w:val="24"/>
          <w:highlight w:val="none"/>
          <w:lang w:val="en-US" w:eastAsia="zh-CN" w:bidi="ar-SA"/>
        </w:rPr>
        <w:t xml:space="preserve">其余重点问题食用农产品样本不少于16000个</w:t>
      </w:r>
      <w:r>
        <w:rPr>
          <w:rFonts w:hint="eastAsia" w:ascii="宋体" w:hAnsi="宋体" w:eastAsia="宋体" w:cs="宋体"/>
          <w:color w:val="auto"/>
          <w:sz w:val="24"/>
          <w:szCs w:val="24"/>
          <w:highlight w:val="none"/>
          <w:u w:val="none"/>
          <w:lang w:val="en-US" w:eastAsia="zh-CN"/>
        </w:rPr>
        <w:t xml:space="preserve">），总检测参数不少于</w:t>
      </w:r>
      <w:r>
        <w:rPr>
          <w:rFonts w:hint="eastAsia" w:ascii="宋体" w:hAnsi="宋体" w:eastAsia="宋体" w:cs="宋体"/>
          <w:color w:val="auto"/>
          <w:sz w:val="24"/>
          <w:szCs w:val="24"/>
          <w:highlight w:val="none"/>
          <w:lang w:val="en-US" w:eastAsia="zh-CN"/>
        </w:rPr>
        <w:t xml:space="preserve">172320</w:t>
      </w:r>
      <w:r>
        <w:rPr>
          <w:rStyle w:val="872"/>
          <w:rFonts w:hint="eastAsia" w:ascii="宋体" w:hAnsi="宋体"/>
          <w:b w:val="0"/>
          <w:i w:val="0"/>
          <w:caps w:val="0"/>
          <w:color w:val="auto"/>
          <w:spacing w:val="0"/>
          <w:sz w:val="24"/>
          <w:szCs w:val="24"/>
          <w:highlight w:val="none"/>
          <w:lang w:val="en-US" w:eastAsia="zh-CN" w:bidi="ar-SA"/>
        </w:rPr>
        <w:t xml:space="preserve">参数（其中“七条鱼与海参”样本不少于60000参数，其余重点问题食用农产品样本不少于34000参数，猪肉、牛</w:t>
      </w:r>
      <w:r>
        <w:rPr>
          <w:rStyle w:val="872"/>
          <w:rFonts w:hint="eastAsia" w:ascii="宋体" w:hAnsi="宋体" w:eastAsia="宋体"/>
          <w:b w:val="0"/>
          <w:i w:val="0"/>
          <w:caps w:val="0"/>
          <w:color w:val="auto"/>
          <w:spacing w:val="0"/>
          <w:sz w:val="24"/>
          <w:szCs w:val="24"/>
          <w:highlight w:val="none"/>
          <w:lang w:val="en-US" w:eastAsia="zh-CN" w:bidi="ar-SA"/>
        </w:rPr>
        <w:t xml:space="preserve">肉及其制品等临时调整品种10000个参数 </w:t>
      </w:r>
      <w:r>
        <w:rPr>
          <w:rFonts w:hint="eastAsia" w:ascii="宋体" w:hAnsi="宋体" w:cs="宋体"/>
          <w:color w:val="auto"/>
          <w:sz w:val="24"/>
          <w:highlight w:val="none"/>
        </w:rPr>
        <w:t xml:space="preserve">，</w:t>
      </w:r>
      <w:r>
        <w:rPr>
          <w:rFonts w:hint="eastAsia" w:ascii="宋体" w:hAnsi="宋体" w:eastAsia="宋体" w:cs="宋体"/>
          <w:color w:val="auto"/>
          <w:sz w:val="24"/>
          <w:szCs w:val="24"/>
          <w:highlight w:val="none"/>
          <w:vertAlign w:val="baseline"/>
          <w:lang w:val="en-US" w:eastAsia="zh-CN"/>
        </w:rPr>
        <w:t xml:space="preserve">县局根据盐城市专项整治要求、季节变化等情况，可对快检数量和项目做适当的调整。如遇到新开市场，</w:t>
      </w:r>
      <w:r>
        <w:rPr>
          <w:rFonts w:hint="eastAsia" w:ascii="宋体" w:hAnsi="宋体" w:eastAsia="宋体" w:cs="宋体"/>
          <w:sz w:val="24"/>
          <w:szCs w:val="24"/>
          <w:highlight w:val="none"/>
          <w:vertAlign w:val="baseline"/>
          <w:lang w:val="en-US" w:eastAsia="zh-CN"/>
        </w:rPr>
        <w:t xml:space="preserve">采购人优先考虑中标供应商；如遇关闭市场，采购人可对检测批次进行调整，总批次不变或按比例扣除服务费用。</w:t>
      </w:r>
      <w:r/>
    </w:p>
    <w:p>
      <w:pPr>
        <w:ind w:firstLine="480"/>
        <w:spacing w:line="360" w:lineRule="auto"/>
        <w:rPr>
          <w:rFonts w:hint="eastAsia" w:ascii="宋体" w:hAnsi="宋体" w:eastAsia="宋体" w:cs="宋体"/>
          <w:sz w:val="24"/>
          <w:szCs w:val="24"/>
          <w:highlight w:val="none"/>
          <w:vertAlign w:val="baseline"/>
          <w:lang w:val="en-US" w:eastAsia="zh-CN"/>
        </w:rPr>
      </w:pPr>
      <w:r>
        <w:rPr>
          <w:rFonts w:hint="eastAsia" w:ascii="宋体" w:hAnsi="宋体" w:eastAsia="宋体" w:cs="宋体"/>
          <w:color w:val="auto"/>
          <w:sz w:val="24"/>
          <w:szCs w:val="24"/>
          <w:highlight w:val="none"/>
          <w:lang w:val="en-US" w:eastAsia="zh-CN" w:bidi="ar"/>
        </w:rPr>
        <w:t xml:space="preserve"> </w:t>
      </w:r>
      <w:r/>
    </w:p>
    <w:p>
      <w:pPr>
        <w:ind w:firstLine="480"/>
        <w:spacing w:line="360" w:lineRule="auto"/>
        <w:rPr>
          <w:rFonts w:hint="eastAsia" w:ascii="宋体" w:hAnsi="宋体" w:cs="宋体"/>
          <w:color w:val="000000"/>
          <w:sz w:val="24"/>
          <w:lang w:bidi="ar"/>
        </w:rPr>
      </w:pPr>
      <w:r>
        <w:rPr>
          <w:rFonts w:hint="eastAsia" w:ascii="宋体" w:hAnsi="宋体" w:eastAsia="宋体" w:cs="宋体"/>
          <w:color w:val="000000"/>
          <w:sz w:val="24"/>
          <w:lang w:val="en-US" w:eastAsia="zh-CN" w:bidi="ar"/>
        </w:rPr>
        <w:t xml:space="preserve">2.</w:t>
      </w:r>
      <w:r>
        <w:rPr>
          <w:rFonts w:hint="eastAsia" w:ascii="宋体" w:hAnsi="宋体" w:cs="宋体"/>
          <w:color w:val="000000"/>
          <w:sz w:val="24"/>
          <w:lang w:bidi="ar"/>
        </w:rPr>
        <w:t xml:space="preserve">投标人须依据农办质〔2025〕10号《农业农村部办公厅 市场监管总局办公厅关于开展重点问题食用农产品专项整治行动的通知》及市局相关要求，</w:t>
      </w:r>
      <w:r>
        <w:rPr>
          <w:rFonts w:hint="eastAsia" w:ascii="宋体" w:hAnsi="宋体" w:cs="宋体"/>
          <w:color w:val="000000"/>
          <w:sz w:val="24"/>
          <w:highlight w:val="none"/>
          <w:lang w:bidi="ar"/>
        </w:rPr>
        <w:t xml:space="preserve">针对重点问题食用农产品，聚焦“7条鱼”(黄鳝、牛蛙、泥鳅、大口黑鲈、 鳊鱼、鲫鱼、乌鳢)、海参、4棵菜(豇豆、芹菜、葱、</w:t>
      </w:r>
      <w:r>
        <w:rPr>
          <w:rFonts w:hint="eastAsia"/>
          <w:sz w:val="24"/>
          <w:highlight w:val="none"/>
        </w:rPr>
        <w:t xml:space="preserve">甘薯</w:t>
      </w:r>
      <w:r>
        <w:rPr>
          <w:rFonts w:hint="eastAsia" w:ascii="宋体" w:hAnsi="宋体" w:cs="宋体"/>
          <w:color w:val="000000"/>
          <w:sz w:val="24"/>
          <w:highlight w:val="none"/>
          <w:lang w:bidi="ar"/>
        </w:rPr>
        <w:t xml:space="preserve">)、鸡蛋、荔枝等上级部门规定重点问题品种开展专项检测。</w:t>
      </w:r>
      <w:r>
        <w:rPr>
          <w:rFonts w:hint="eastAsia" w:ascii="宋体" w:hAnsi="宋体" w:cs="宋体"/>
          <w:color w:val="000000"/>
          <w:sz w:val="24"/>
          <w:lang w:bidi="ar"/>
        </w:rPr>
        <w:t xml:space="preserve">检测根据市县要求作动态调整，具体以实际检验批次及参数结算。</w:t>
      </w:r>
      <w:r/>
    </w:p>
    <w:p>
      <w:pPr>
        <w:keepLines/>
        <w:keepNext/>
        <w:spacing w:line="360" w:lineRule="auto"/>
        <w:rPr>
          <w:rFonts w:hint="eastAsia"/>
          <w:b/>
          <w:sz w:val="28"/>
        </w:rPr>
        <w:outlineLvl w:val="2"/>
      </w:pPr>
      <w:r>
        <w:rPr>
          <w:rFonts w:hint="eastAsia"/>
          <w:b/>
          <w:sz w:val="28"/>
        </w:rPr>
        <w:t xml:space="preserve">4、▲人员要求</w:t>
      </w:r>
      <w:r/>
    </w:p>
    <w:p>
      <w:pPr>
        <w:contextualSpacing/>
        <w:ind w:firstLine="480"/>
        <w:spacing w:line="360" w:lineRule="auto"/>
        <w:tabs>
          <w:tab w:val="left" w:pos="1710" w:leader="none"/>
        </w:tabs>
        <w:rPr>
          <w:rFonts w:hint="eastAsia" w:ascii="宋体" w:hAnsi="宋体" w:cs="宋体"/>
          <w:b/>
          <w:bCs/>
          <w:sz w:val="24"/>
          <w:highlight w:val="none"/>
        </w:rPr>
      </w:pPr>
      <w:r>
        <w:rPr>
          <w:rFonts w:hint="eastAsia" w:ascii="宋体" w:hAnsi="宋体" w:cs="宋体"/>
          <w:color w:val="000000"/>
          <w:sz w:val="24"/>
          <w:highlight w:val="none"/>
          <w:lang w:bidi="ar"/>
        </w:rPr>
        <w:t xml:space="preserve">投标人应为本项目的顺利实施</w:t>
      </w:r>
      <w:r>
        <w:rPr>
          <w:rFonts w:hint="eastAsia" w:ascii="宋体" w:hAnsi="宋体" w:cs="宋体"/>
          <w:b/>
          <w:bCs/>
          <w:color w:val="000000"/>
          <w:sz w:val="24"/>
          <w:highlight w:val="none"/>
          <w:u w:val="single"/>
          <w:lang w:bidi="ar"/>
        </w:rPr>
        <w:t xml:space="preserve">指定1名项目负责人</w:t>
      </w:r>
      <w:r>
        <w:rPr>
          <w:rFonts w:hint="eastAsia" w:ascii="宋体" w:hAnsi="宋体" w:cs="宋体"/>
          <w:color w:val="000000"/>
          <w:sz w:val="24"/>
          <w:highlight w:val="none"/>
          <w:lang w:bidi="ar"/>
        </w:rPr>
        <w:t xml:space="preserve">，并为每个正常运营的农贸</w:t>
      </w:r>
      <w:r>
        <w:rPr>
          <w:rFonts w:hint="eastAsia" w:ascii="宋体" w:hAnsi="宋体" w:eastAsia="宋体" w:cs="宋体"/>
          <w:color w:val="000000"/>
          <w:sz w:val="24"/>
          <w:highlight w:val="none"/>
          <w:lang w:eastAsia="zh-CN" w:bidi="ar"/>
        </w:rPr>
        <w:t xml:space="preserve">（</w:t>
      </w:r>
      <w:r>
        <w:rPr>
          <w:rFonts w:hint="eastAsia" w:ascii="宋体" w:hAnsi="宋体" w:eastAsia="宋体" w:cs="宋体"/>
          <w:color w:val="000000"/>
          <w:sz w:val="24"/>
          <w:highlight w:val="none"/>
          <w:lang w:val="en-US" w:eastAsia="zh-CN" w:bidi="ar"/>
        </w:rPr>
        <w:t xml:space="preserve">农批</w:t>
      </w:r>
      <w:r>
        <w:rPr>
          <w:rFonts w:hint="eastAsia" w:ascii="宋体" w:hAnsi="宋体" w:eastAsia="宋体" w:cs="宋体"/>
          <w:color w:val="000000"/>
          <w:sz w:val="24"/>
          <w:highlight w:val="none"/>
          <w:lang w:eastAsia="zh-CN" w:bidi="ar"/>
        </w:rPr>
        <w:t xml:space="preserve">）</w:t>
      </w:r>
      <w:r>
        <w:rPr>
          <w:rFonts w:hint="eastAsia" w:ascii="宋体" w:hAnsi="宋体" w:cs="宋体"/>
          <w:color w:val="000000"/>
          <w:sz w:val="24"/>
          <w:highlight w:val="none"/>
          <w:lang w:bidi="ar"/>
        </w:rPr>
        <w:t xml:space="preserve">市场快检室提供</w:t>
      </w:r>
      <w:r>
        <w:rPr>
          <w:rFonts w:hint="eastAsia" w:ascii="宋体" w:hAnsi="宋体" w:cs="宋体"/>
          <w:b/>
          <w:bCs/>
          <w:color w:val="000000"/>
          <w:sz w:val="24"/>
          <w:highlight w:val="none"/>
          <w:u w:val="single"/>
          <w:lang w:bidi="ar"/>
        </w:rPr>
        <w:t xml:space="preserve">不少于1名符合要求的快检服务人员</w:t>
      </w:r>
      <w:r>
        <w:rPr>
          <w:rFonts w:hint="eastAsia" w:ascii="宋体" w:hAnsi="宋体" w:cs="宋体"/>
          <w:color w:val="auto"/>
          <w:sz w:val="24"/>
          <w:highlight w:val="none"/>
          <w:lang w:bidi="ar"/>
        </w:rPr>
        <w:t xml:space="preserve">，总计派驻不少于</w:t>
      </w:r>
      <w:r>
        <w:rPr>
          <w:rFonts w:hint="eastAsia" w:ascii="宋体" w:hAnsi="宋体" w:eastAsia="宋体" w:cs="宋体"/>
          <w:color w:val="auto"/>
          <w:sz w:val="24"/>
          <w:highlight w:val="none"/>
          <w:lang w:val="en-US" w:eastAsia="zh-CN" w:bidi="ar"/>
        </w:rPr>
        <w:t xml:space="preserve">46</w:t>
      </w:r>
      <w:r>
        <w:rPr>
          <w:rFonts w:hint="eastAsia" w:ascii="宋体" w:hAnsi="宋体" w:cs="宋体"/>
          <w:color w:val="auto"/>
          <w:sz w:val="24"/>
          <w:highlight w:val="none"/>
          <w:lang w:bidi="ar"/>
        </w:rPr>
        <w:t xml:space="preserve">名专</w:t>
      </w:r>
      <w:r>
        <w:rPr>
          <w:rFonts w:hint="eastAsia" w:ascii="宋体" w:hAnsi="宋体" w:eastAsia="宋体" w:cs="宋体"/>
          <w:color w:val="auto"/>
          <w:sz w:val="24"/>
          <w:highlight w:val="none"/>
          <w:lang w:eastAsia="zh-CN" w:bidi="ar"/>
        </w:rPr>
        <w:t xml:space="preserve">（</w:t>
      </w:r>
      <w:r>
        <w:rPr>
          <w:rFonts w:hint="eastAsia" w:ascii="宋体" w:hAnsi="宋体" w:eastAsia="宋体" w:cs="宋体"/>
          <w:color w:val="auto"/>
          <w:sz w:val="24"/>
          <w:highlight w:val="none"/>
          <w:lang w:val="en-US" w:eastAsia="zh-CN" w:bidi="ar"/>
        </w:rPr>
        <w:t xml:space="preserve">兼</w:t>
      </w:r>
      <w:r>
        <w:rPr>
          <w:rFonts w:hint="eastAsia" w:ascii="宋体" w:hAnsi="宋体" w:eastAsia="宋体" w:cs="宋体"/>
          <w:color w:val="auto"/>
          <w:sz w:val="24"/>
          <w:highlight w:val="none"/>
          <w:lang w:eastAsia="zh-CN" w:bidi="ar"/>
        </w:rPr>
        <w:t xml:space="preserve">）</w:t>
      </w:r>
      <w:r>
        <w:rPr>
          <w:rFonts w:hint="eastAsia" w:ascii="宋体" w:hAnsi="宋体" w:cs="宋体"/>
          <w:color w:val="auto"/>
          <w:sz w:val="24"/>
          <w:highlight w:val="none"/>
          <w:lang w:bidi="ar"/>
        </w:rPr>
        <w:t xml:space="preserve">职检测人员，</w:t>
      </w:r>
      <w:r>
        <w:rPr>
          <w:rFonts w:hint="eastAsia" w:ascii="宋体" w:hAnsi="宋体" w:eastAsia="宋体" w:cs="宋体"/>
          <w:color w:val="000000"/>
          <w:sz w:val="24"/>
          <w:highlight w:val="none"/>
          <w:lang w:val="en-US" w:eastAsia="zh-CN" w:bidi="ar"/>
        </w:rPr>
        <w:t xml:space="preserve">从事</w:t>
      </w:r>
      <w:r>
        <w:rPr>
          <w:rFonts w:hint="eastAsia" w:ascii="宋体" w:hAnsi="宋体" w:cs="宋体"/>
          <w:color w:val="000000"/>
          <w:sz w:val="24"/>
          <w:highlight w:val="none"/>
          <w:lang w:bidi="ar"/>
        </w:rPr>
        <w:t xml:space="preserve">食用农产品抽样、快速检测、结果公示</w:t>
      </w:r>
      <w:r>
        <w:rPr>
          <w:rFonts w:hint="eastAsia" w:ascii="宋体" w:hAnsi="宋体" w:eastAsia="宋体" w:cs="宋体"/>
          <w:color w:val="000000"/>
          <w:sz w:val="24"/>
          <w:highlight w:val="none"/>
          <w:lang w:val="en-US" w:eastAsia="zh-CN" w:bidi="ar"/>
        </w:rPr>
        <w:t xml:space="preserve">等工作</w:t>
      </w:r>
      <w:r>
        <w:rPr>
          <w:rFonts w:hint="eastAsia" w:ascii="宋体" w:hAnsi="宋体" w:cs="宋体"/>
          <w:color w:val="000000"/>
          <w:sz w:val="24"/>
          <w:highlight w:val="none"/>
          <w:lang w:bidi="ar"/>
        </w:rPr>
        <w:t xml:space="preserve">，并按照</w:t>
      </w:r>
      <w:r>
        <w:rPr>
          <w:rFonts w:hint="eastAsia" w:ascii="宋体" w:hAnsi="宋体" w:eastAsia="宋体" w:cs="宋体"/>
          <w:color w:val="000000"/>
          <w:sz w:val="24"/>
          <w:highlight w:val="none"/>
          <w:lang w:val="en-US" w:eastAsia="zh-CN" w:bidi="ar"/>
        </w:rPr>
        <w:t xml:space="preserve">阜宁</w:t>
      </w:r>
      <w:r>
        <w:rPr>
          <w:rFonts w:hint="eastAsia" w:ascii="宋体" w:hAnsi="宋体" w:cs="宋体"/>
          <w:color w:val="000000"/>
          <w:sz w:val="24"/>
          <w:highlight w:val="none"/>
          <w:lang w:bidi="ar"/>
        </w:rPr>
        <w:t xml:space="preserve">县市场监督管理局的要求，如实、按时上传、报送快检数据，指导、协助市场做好相关快检结果后续处理工作，同时做好台账等基础数据整理，实现从样品抽取到协助完成后续处理的全周期服务。</w:t>
      </w:r>
      <w:r/>
    </w:p>
    <w:p>
      <w:pPr>
        <w:ind w:firstLine="480"/>
        <w:jc w:val="left"/>
        <w:spacing w:line="360" w:lineRule="auto"/>
        <w:widowControl/>
        <w:rPr>
          <w:rFonts w:hint="eastAsia" w:ascii="宋体" w:hAnsi="宋体" w:cs="宋体"/>
          <w:color w:val="000000"/>
          <w:sz w:val="24"/>
          <w:lang w:bidi="ar"/>
        </w:rPr>
      </w:pPr>
      <w:r>
        <w:rPr>
          <w:rFonts w:hint="eastAsia" w:ascii="宋体" w:hAnsi="宋体" w:cs="宋体"/>
          <w:color w:val="000000"/>
          <w:sz w:val="24"/>
          <w:lang w:bidi="ar"/>
        </w:rPr>
        <w:t xml:space="preserve">投标人为本项目配备的快检服务人员，具体要求如下： </w:t>
      </w:r>
      <w:r/>
    </w:p>
    <w:p>
      <w:pPr>
        <w:jc w:val="left"/>
        <w:spacing w:line="360" w:lineRule="auto"/>
        <w:widowControl/>
        <w:rPr>
          <w:rFonts w:hint="eastAsia" w:ascii="宋体" w:hAnsi="宋体" w:cs="宋体"/>
          <w:color w:val="000000"/>
          <w:sz w:val="24"/>
          <w:lang w:bidi="ar"/>
        </w:rPr>
      </w:pPr>
      <w:r>
        <w:rPr>
          <w:rFonts w:hint="eastAsia" w:ascii="宋体" w:hAnsi="宋体" w:cs="宋体"/>
          <w:color w:val="000000"/>
          <w:sz w:val="24"/>
          <w:lang w:bidi="ar"/>
        </w:rPr>
        <w:t xml:space="preserve">（1）持有有效健康证明，并经培训考核合格后持证上岗，具备食品安全快检工作能力。</w:t>
      </w:r>
      <w:r/>
    </w:p>
    <w:p>
      <w:pPr>
        <w:jc w:val="left"/>
        <w:spacing w:line="360" w:lineRule="auto"/>
        <w:widowControl/>
        <w:rPr>
          <w:rFonts w:hint="eastAsia" w:ascii="宋体" w:hAnsi="宋体" w:cs="宋体"/>
          <w:color w:val="ff0000"/>
          <w:sz w:val="24"/>
          <w:lang w:bidi="ar"/>
        </w:rPr>
      </w:pPr>
      <w:r>
        <w:rPr>
          <w:rFonts w:hint="eastAsia" w:ascii="宋体" w:hAnsi="宋体" w:cs="宋体"/>
          <w:color w:val="000000"/>
          <w:sz w:val="24"/>
          <w:lang w:bidi="ar"/>
        </w:rPr>
        <w:t xml:space="preserve">（2）能熟练操作食品安全快检设备及计算机。</w:t>
      </w:r>
      <w:r/>
    </w:p>
    <w:p>
      <w:pPr>
        <w:spacing w:line="360" w:lineRule="auto"/>
        <w:rPr>
          <w:rFonts w:hint="eastAsia" w:ascii="宋体" w:hAnsi="宋体" w:cs="宋体"/>
          <w:sz w:val="24"/>
          <w:lang w:bidi="ar"/>
        </w:rPr>
      </w:pPr>
      <w:r>
        <w:rPr>
          <w:rFonts w:hint="eastAsia" w:ascii="宋体" w:hAnsi="宋体" w:cs="宋体"/>
          <w:sz w:val="24"/>
          <w:lang w:bidi="ar"/>
        </w:rPr>
        <w:t xml:space="preserve">（3）投标人为保证该项目的顺利实施所配备的工作人员均为本企业员工，日常管理由投标人负责，一切安全责任事故亦由投标人负责。</w:t>
      </w:r>
      <w:r/>
    </w:p>
    <w:p>
      <w:pPr>
        <w:spacing w:line="360" w:lineRule="auto"/>
        <w:rPr>
          <w:rFonts w:hint="eastAsia" w:ascii="宋体" w:hAnsi="宋体" w:cs="宋体"/>
          <w:sz w:val="24"/>
          <w:highlight w:val="none"/>
          <w:lang w:bidi="ar"/>
        </w:rPr>
      </w:pPr>
      <w:r>
        <w:rPr>
          <w:rFonts w:hint="eastAsia" w:ascii="宋体" w:hAnsi="宋体" w:cs="宋体"/>
          <w:sz w:val="24"/>
          <w:lang w:bidi="ar"/>
        </w:rPr>
        <w:t xml:space="preserve">（4）</w:t>
      </w:r>
      <w:r>
        <w:rPr>
          <w:rFonts w:hint="eastAsia" w:ascii="宋体" w:hAnsi="宋体" w:cs="宋体"/>
          <w:color w:val="000000"/>
          <w:sz w:val="24"/>
          <w:lang w:bidi="ar"/>
        </w:rPr>
        <w:t xml:space="preserve">投标人应明确各岗位人员职责，建立各岗位人员考评奖惩制度。</w:t>
      </w:r>
      <w:r>
        <w:rPr>
          <w:rFonts w:hint="eastAsia" w:ascii="宋体" w:hAnsi="宋体" w:cs="宋体"/>
          <w:sz w:val="24"/>
          <w:lang w:bidi="ar"/>
        </w:rPr>
        <w:t xml:space="preserve">须建立内部培训管理制度，对快检服务人员定期组织开展食品安全法律法规、仪器使用与管理、数据处理、质量控制及管理等方面的培训及考核，</w:t>
      </w:r>
      <w:r>
        <w:rPr>
          <w:rFonts w:hint="eastAsia" w:ascii="宋体" w:hAnsi="宋体" w:cs="宋体"/>
          <w:sz w:val="24"/>
          <w:highlight w:val="none"/>
          <w:lang w:bidi="ar"/>
        </w:rPr>
        <w:t xml:space="preserve">每年进行不少于40小时的技术培训。（每季度提供培训记录）。</w:t>
      </w:r>
      <w:r/>
    </w:p>
    <w:p>
      <w:pPr>
        <w:spacing w:line="360" w:lineRule="auto"/>
        <w:rPr>
          <w:rFonts w:hint="eastAsia" w:ascii="宋体" w:hAnsi="宋体" w:cs="宋体"/>
          <w:sz w:val="24"/>
        </w:rPr>
      </w:pPr>
      <w:r>
        <w:rPr>
          <w:rFonts w:hint="eastAsia" w:ascii="宋体" w:hAnsi="宋体" w:cs="宋体"/>
          <w:color w:val="000000"/>
          <w:sz w:val="24"/>
          <w:lang w:bidi="ar"/>
        </w:rPr>
        <w:t xml:space="preserve">（5）快检服务人员工作时应当穿着统一检测工作服。投标人应在采购人建好的食品快检室开展检测工作，上午负责到辖区内农贸</w:t>
      </w:r>
      <w:r>
        <w:rPr>
          <w:rFonts w:hint="eastAsia" w:ascii="宋体" w:hAnsi="宋体" w:eastAsia="宋体" w:cs="宋体"/>
          <w:color w:val="000000"/>
          <w:sz w:val="24"/>
          <w:lang w:eastAsia="zh-CN" w:bidi="ar"/>
        </w:rPr>
        <w:t xml:space="preserve">（</w:t>
      </w:r>
      <w:r>
        <w:rPr>
          <w:rFonts w:hint="eastAsia" w:ascii="宋体" w:hAnsi="宋体" w:eastAsia="宋体" w:cs="宋体"/>
          <w:color w:val="000000"/>
          <w:sz w:val="24"/>
          <w:lang w:val="en-US" w:eastAsia="zh-CN" w:bidi="ar"/>
        </w:rPr>
        <w:t xml:space="preserve">农批</w:t>
      </w:r>
      <w:r>
        <w:rPr>
          <w:rFonts w:hint="eastAsia" w:ascii="宋体" w:hAnsi="宋体" w:eastAsia="宋体" w:cs="宋体"/>
          <w:color w:val="000000"/>
          <w:sz w:val="24"/>
          <w:lang w:eastAsia="zh-CN" w:bidi="ar"/>
        </w:rPr>
        <w:t xml:space="preserve">）</w:t>
      </w:r>
      <w:r>
        <w:rPr>
          <w:rFonts w:hint="eastAsia" w:ascii="宋体" w:hAnsi="宋体" w:cs="宋体"/>
          <w:color w:val="000000"/>
          <w:sz w:val="24"/>
          <w:lang w:bidi="ar"/>
        </w:rPr>
        <w:t xml:space="preserve">市场进行食品抽样并送回检测室检测，汇总数据实时上传，并在当天规定时间内完成所有计划检测项目、归档及数据上传公示，能够协助举办重大活动食品安全保障，包括但不限于中高考保障、食品安全应急处置、基层执法辅助、公益宣传活动（宣传对象主要为交易市场内经营者及相关从业者等）</w:t>
      </w:r>
      <w:r>
        <w:rPr>
          <w:rFonts w:hint="eastAsia" w:ascii="宋体" w:hAnsi="宋体" w:eastAsia="宋体" w:cs="宋体"/>
          <w:color w:val="000000"/>
          <w:sz w:val="24"/>
          <w:lang w:eastAsia="zh-CN" w:bidi="ar"/>
        </w:rPr>
        <w:t xml:space="preserve">、</w:t>
      </w:r>
      <w:r>
        <w:rPr>
          <w:rFonts w:hint="eastAsia" w:ascii="宋体" w:hAnsi="宋体" w:cs="宋体"/>
          <w:color w:val="000000"/>
          <w:sz w:val="24"/>
          <w:lang w:bidi="ar"/>
        </w:rPr>
        <w:t xml:space="preserve">你点我检等工作（详见</w:t>
      </w:r>
      <w:r>
        <w:rPr>
          <w:rFonts w:hint="eastAsia" w:ascii="宋体" w:hAnsi="宋体" w:eastAsia="宋体" w:cs="宋体"/>
          <w:color w:val="000000"/>
          <w:sz w:val="24"/>
          <w:lang w:val="en-US" w:eastAsia="zh-CN" w:bidi="ar"/>
        </w:rPr>
        <w:t xml:space="preserve">检测</w:t>
      </w:r>
      <w:r>
        <w:rPr>
          <w:rFonts w:hint="eastAsia" w:ascii="宋体" w:hAnsi="宋体" w:cs="宋体"/>
          <w:color w:val="000000"/>
          <w:sz w:val="24"/>
          <w:lang w:bidi="ar"/>
        </w:rPr>
        <w:t xml:space="preserve">工作</w:t>
      </w:r>
      <w:r>
        <w:rPr>
          <w:rFonts w:hint="eastAsia" w:ascii="宋体" w:hAnsi="宋体" w:eastAsia="宋体" w:cs="宋体"/>
          <w:color w:val="000000"/>
          <w:sz w:val="24"/>
          <w:lang w:val="en-US" w:eastAsia="zh-CN" w:bidi="ar"/>
        </w:rPr>
        <w:t xml:space="preserve">要求</w:t>
      </w:r>
      <w:r>
        <w:rPr>
          <w:rFonts w:hint="eastAsia" w:ascii="宋体" w:hAnsi="宋体" w:cs="宋体"/>
          <w:color w:val="000000"/>
          <w:sz w:val="24"/>
          <w:lang w:bidi="ar"/>
        </w:rPr>
        <w:t xml:space="preserve">）。</w:t>
      </w:r>
      <w:r/>
    </w:p>
    <w:p>
      <w:pPr>
        <w:jc w:val="center"/>
        <w:rPr>
          <w:rFonts w:hint="eastAsia" w:ascii="宋体" w:hAnsi="宋体" w:eastAsia="宋体" w:cs="宋体"/>
          <w:lang w:val="en-US" w:eastAsia="zh-CN"/>
        </w:rPr>
      </w:pPr>
      <w:r>
        <w:rPr>
          <w:rFonts w:hint="eastAsia" w:ascii="宋体" w:hAnsi="宋体" w:eastAsia="宋体" w:cs="宋体"/>
          <w:lang w:val="en-US" w:eastAsia="zh-CN"/>
        </w:rPr>
        <w:t xml:space="preserve">检测日常</w:t>
      </w:r>
      <w:r>
        <w:rPr>
          <w:rFonts w:hint="eastAsia" w:ascii="宋体" w:hAnsi="宋体" w:cs="宋体"/>
        </w:rPr>
        <w:t xml:space="preserve">工作</w:t>
      </w:r>
      <w:r>
        <w:rPr>
          <w:rFonts w:hint="eastAsia" w:ascii="宋体" w:hAnsi="宋体" w:eastAsia="宋体" w:cs="宋体"/>
          <w:lang w:val="en-US" w:eastAsia="zh-CN"/>
        </w:rPr>
        <w:t xml:space="preserve">要求</w:t>
      </w:r>
      <w:r/>
    </w:p>
    <w:tbl>
      <w:tblPr>
        <w:tblStyle w:val="689"/>
        <w:tblW w:w="93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79"/>
        <w:gridCol w:w="7635"/>
      </w:tblGrid>
      <w:tr>
        <w:trPr>
          <w:jc w:val="center"/>
        </w:trPr>
        <w:tc>
          <w:tcPr>
            <w:tcW w:w="1679" w:type="dxa"/>
            <w:vAlign w:val="center"/>
            <w:textDirection w:val="lrTb"/>
            <w:noWrap w:val="false"/>
          </w:tcPr>
          <w:p>
            <w:pPr>
              <w:jc w:val="center"/>
              <w:rPr>
                <w:rFonts w:hint="eastAsia" w:ascii="宋体" w:hAnsi="宋体" w:cs="宋体"/>
                <w:b/>
                <w:szCs w:val="21"/>
              </w:rPr>
            </w:pPr>
            <w:r>
              <w:rPr>
                <w:rFonts w:hint="eastAsia" w:ascii="宋体" w:hAnsi="宋体" w:cs="宋体"/>
                <w:b/>
                <w:szCs w:val="21"/>
              </w:rPr>
              <w:t xml:space="preserve">工作时间</w:t>
            </w:r>
            <w:r/>
          </w:p>
        </w:tc>
        <w:tc>
          <w:tcPr>
            <w:tcW w:w="7635" w:type="dxa"/>
            <w:vAlign w:val="center"/>
            <w:textDirection w:val="lrTb"/>
            <w:noWrap w:val="false"/>
          </w:tcPr>
          <w:p>
            <w:pPr>
              <w:jc w:val="center"/>
              <w:rPr>
                <w:rFonts w:hint="eastAsia" w:ascii="宋体" w:hAnsi="宋体" w:cs="宋体"/>
                <w:b/>
                <w:szCs w:val="21"/>
              </w:rPr>
            </w:pPr>
            <w:r>
              <w:rPr>
                <w:rFonts w:hint="eastAsia" w:ascii="宋体" w:hAnsi="宋体" w:cs="宋体"/>
                <w:b/>
                <w:szCs w:val="21"/>
              </w:rPr>
              <w:t xml:space="preserve">工作内容</w:t>
            </w:r>
            <w:r/>
          </w:p>
        </w:tc>
      </w:tr>
      <w:tr>
        <w:trPr>
          <w:jc w:val="center"/>
        </w:trPr>
        <w:tc>
          <w:tcPr>
            <w:tcW w:w="1679" w:type="dxa"/>
            <w:vAlign w:val="center"/>
            <w:vMerge w:val="restart"/>
            <w:textDirection w:val="lrTb"/>
            <w:noWrap w:val="false"/>
          </w:tcPr>
          <w:p>
            <w:pPr>
              <w:jc w:val="center"/>
              <w:rPr>
                <w:rFonts w:hint="eastAsia" w:ascii="宋体" w:hAnsi="宋体" w:eastAsia="宋体" w:cs="宋体"/>
                <w:color w:val="auto"/>
                <w:szCs w:val="21"/>
                <w:lang w:eastAsia="zh-CN"/>
              </w:rPr>
            </w:pPr>
            <w:r>
              <w:rPr>
                <w:rFonts w:hint="eastAsia" w:ascii="宋体" w:hAnsi="宋体" w:cs="宋体"/>
                <w:color w:val="auto"/>
                <w:szCs w:val="21"/>
              </w:rPr>
              <w:t xml:space="preserve">6：30-9：30</w:t>
            </w:r>
            <w:r>
              <w:rPr>
                <w:rFonts w:hint="eastAsia" w:ascii="宋体" w:hAnsi="宋体" w:eastAsia="宋体" w:cs="宋体"/>
                <w:color w:val="auto"/>
                <w:szCs w:val="21"/>
                <w:lang w:eastAsia="zh-CN"/>
              </w:rPr>
              <w:t xml:space="preserve">（</w:t>
            </w:r>
            <w:r>
              <w:rPr>
                <w:rFonts w:hint="eastAsia" w:ascii="宋体" w:hAnsi="宋体" w:eastAsia="宋体" w:cs="宋体"/>
                <w:color w:val="auto"/>
                <w:szCs w:val="21"/>
                <w:lang w:val="en-US" w:eastAsia="zh-CN"/>
              </w:rPr>
              <w:t xml:space="preserve">根据需要可作适当调整</w:t>
            </w:r>
            <w:r>
              <w:rPr>
                <w:rFonts w:hint="eastAsia" w:ascii="宋体" w:hAnsi="宋体" w:eastAsia="宋体" w:cs="宋体"/>
                <w:color w:val="auto"/>
                <w:szCs w:val="21"/>
                <w:lang w:eastAsia="zh-CN"/>
              </w:rPr>
              <w:t xml:space="preserve">）</w:t>
            </w:r>
            <w:r/>
          </w:p>
        </w:tc>
        <w:tc>
          <w:tcPr>
            <w:tcW w:w="7635" w:type="dxa"/>
            <w:vAlign w:val="center"/>
            <w:textDirection w:val="lrTb"/>
            <w:noWrap w:val="false"/>
          </w:tcPr>
          <w:p>
            <w:pPr>
              <w:jc w:val="left"/>
              <w:rPr>
                <w:rFonts w:hint="eastAsia" w:ascii="宋体" w:hAnsi="宋体" w:cs="宋体"/>
                <w:color w:val="auto"/>
                <w:szCs w:val="21"/>
              </w:rPr>
            </w:pPr>
            <w:r>
              <w:rPr>
                <w:rFonts w:hint="eastAsia" w:ascii="宋体" w:hAnsi="宋体" w:cs="宋体"/>
                <w:color w:val="auto"/>
                <w:szCs w:val="21"/>
              </w:rPr>
              <w:t xml:space="preserve">打卡签到。开晨会，总结昨日快检情况 。</w:t>
            </w:r>
            <w:r/>
          </w:p>
        </w:tc>
      </w:tr>
      <w:tr>
        <w:trPr>
          <w:jc w:val="center"/>
        </w:trPr>
        <w:tc>
          <w:tcPr>
            <w:tcW w:w="1679" w:type="dxa"/>
            <w:vAlign w:val="center"/>
            <w:vMerge w:val="continue"/>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7635" w:type="dxa"/>
            <w:vAlign w:val="center"/>
            <w:textDirection w:val="lrTb"/>
            <w:noWrap w:val="false"/>
          </w:tcPr>
          <w:p>
            <w:pPr>
              <w:rPr>
                <w:rFonts w:hint="eastAsia" w:ascii="宋体" w:hAnsi="宋体" w:cs="宋体"/>
                <w:color w:val="auto"/>
                <w:szCs w:val="21"/>
              </w:rPr>
            </w:pPr>
            <w:r>
              <w:rPr>
                <w:rFonts w:hint="eastAsia" w:ascii="宋体" w:hAnsi="宋体" w:cs="宋体"/>
                <w:color w:val="auto"/>
                <w:szCs w:val="21"/>
              </w:rPr>
              <w:t xml:space="preserve">1、按照每日工作计划前往对应摊位开展采样工作，同时做好样本保存工作，并于完成商户信息的采集和样本信息的录入。</w:t>
            </w:r>
            <w:r/>
          </w:p>
        </w:tc>
      </w:tr>
      <w:tr>
        <w:trPr>
          <w:jc w:val="center"/>
        </w:trPr>
        <w:tc>
          <w:tcPr>
            <w:tcW w:w="1679" w:type="dxa"/>
            <w:vAlign w:val="center"/>
            <w:vMerge w:val="continue"/>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7635" w:type="dxa"/>
            <w:vAlign w:val="center"/>
            <w:textDirection w:val="lrTb"/>
            <w:noWrap w:val="false"/>
          </w:tcPr>
          <w:p>
            <w:pPr>
              <w:rPr>
                <w:rFonts w:hint="eastAsia" w:ascii="宋体" w:hAnsi="宋体" w:cs="宋体"/>
                <w:color w:val="auto"/>
                <w:szCs w:val="21"/>
              </w:rPr>
            </w:pPr>
            <w:r>
              <w:rPr>
                <w:rFonts w:hint="eastAsia" w:ascii="宋体" w:hAnsi="宋体" w:cs="宋体"/>
                <w:color w:val="auto"/>
                <w:szCs w:val="21"/>
              </w:rPr>
              <w:t xml:space="preserve">2、检查检测</w:t>
            </w:r>
            <w:r>
              <w:rPr>
                <w:rFonts w:hint="eastAsia" w:ascii="宋体" w:hAnsi="宋体" w:eastAsia="宋体" w:cs="宋体"/>
                <w:color w:val="auto"/>
                <w:szCs w:val="21"/>
                <w:lang w:val="en-US" w:eastAsia="zh-CN"/>
              </w:rPr>
              <w:t xml:space="preserve">仪器及前处理</w:t>
            </w:r>
            <w:r>
              <w:rPr>
                <w:rFonts w:hint="eastAsia" w:ascii="宋体" w:hAnsi="宋体" w:cs="宋体"/>
                <w:color w:val="auto"/>
                <w:szCs w:val="21"/>
              </w:rPr>
              <w:t xml:space="preserve">设备</w:t>
            </w:r>
            <w:r>
              <w:rPr>
                <w:rFonts w:hint="eastAsia" w:ascii="宋体" w:hAnsi="宋体" w:eastAsia="宋体" w:cs="宋体"/>
                <w:color w:val="auto"/>
                <w:szCs w:val="21"/>
                <w:lang w:val="en-US" w:eastAsia="zh-CN"/>
              </w:rPr>
              <w:t xml:space="preserve">是否</w:t>
            </w:r>
            <w:r>
              <w:rPr>
                <w:rFonts w:hint="eastAsia" w:ascii="宋体" w:hAnsi="宋体" w:cs="宋体"/>
                <w:color w:val="auto"/>
                <w:szCs w:val="21"/>
              </w:rPr>
              <w:t xml:space="preserve">完好</w:t>
            </w:r>
            <w:r>
              <w:rPr>
                <w:rFonts w:hint="eastAsia" w:ascii="宋体" w:hAnsi="宋体" w:eastAsia="宋体" w:cs="宋体"/>
                <w:color w:val="auto"/>
                <w:szCs w:val="21"/>
                <w:lang w:eastAsia="zh-CN"/>
              </w:rPr>
              <w:t xml:space="preserve">，</w:t>
            </w:r>
            <w:r>
              <w:rPr>
                <w:rFonts w:hint="eastAsia" w:ascii="宋体" w:hAnsi="宋体" w:eastAsia="宋体" w:cs="宋体"/>
                <w:color w:val="auto"/>
                <w:szCs w:val="21"/>
                <w:lang w:val="en-US" w:eastAsia="zh-CN"/>
              </w:rPr>
              <w:t xml:space="preserve">确保能正常运行</w:t>
            </w:r>
            <w:r>
              <w:rPr>
                <w:rFonts w:hint="eastAsia" w:ascii="宋体" w:hAnsi="宋体" w:cs="宋体"/>
                <w:color w:val="auto"/>
                <w:szCs w:val="21"/>
              </w:rPr>
              <w:t xml:space="preserve">。</w:t>
            </w:r>
            <w:r/>
          </w:p>
        </w:tc>
      </w:tr>
      <w:tr>
        <w:trPr>
          <w:jc w:val="center"/>
        </w:trPr>
        <w:tc>
          <w:tcPr>
            <w:tcW w:w="1679"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7635"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3、处理采样样品，做好检测前处理工作，并开展检测工作。原则上不晚于8:30前完成所有检测工作并上传公示，（检测量大或其他特殊情况除外）。</w:t>
            </w:r>
            <w:r/>
          </w:p>
        </w:tc>
      </w:tr>
      <w:tr>
        <w:trPr>
          <w:jc w:val="center"/>
        </w:trPr>
        <w:tc>
          <w:tcPr>
            <w:tcW w:w="1679"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7635" w:type="dxa"/>
            <w:vAlign w:val="center"/>
            <w:textDirection w:val="lrTb"/>
            <w:noWrap w:val="false"/>
          </w:tcPr>
          <w:p>
            <w:pPr>
              <w:rPr>
                <w:rFonts w:hint="eastAsia" w:ascii="宋体" w:hAnsi="宋体" w:cs="宋体"/>
                <w:szCs w:val="21"/>
              </w:rPr>
            </w:pPr>
            <w:r>
              <w:rPr>
                <w:rFonts w:hint="eastAsia" w:ascii="宋体" w:hAnsi="宋体" w:cs="宋体"/>
                <w:szCs w:val="21"/>
              </w:rPr>
              <w:t xml:space="preserve">4、不符合要求样本后期处理：二次从样品处理到快速检测的复测，复测合格的，以复测结果为准，复测仍不合格的，及时通知送检单位或上报监督部门，并配合做好后续处理工作。</w:t>
            </w:r>
            <w:r/>
          </w:p>
        </w:tc>
      </w:tr>
      <w:tr>
        <w:trPr>
          <w:jc w:val="center"/>
        </w:trPr>
        <w:tc>
          <w:tcPr>
            <w:tcW w:w="1679"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7635" w:type="dxa"/>
            <w:vAlign w:val="center"/>
            <w:textDirection w:val="lrTb"/>
            <w:noWrap w:val="false"/>
          </w:tcPr>
          <w:p>
            <w:pPr>
              <w:rPr>
                <w:rFonts w:hint="eastAsia" w:ascii="宋体" w:hAnsi="宋体" w:cs="宋体"/>
                <w:color w:val="auto"/>
                <w:szCs w:val="21"/>
              </w:rPr>
            </w:pPr>
            <w:r>
              <w:rPr>
                <w:rFonts w:hint="eastAsia" w:ascii="宋体" w:hAnsi="宋体" w:cs="宋体"/>
                <w:color w:val="auto"/>
                <w:szCs w:val="21"/>
              </w:rPr>
              <w:t xml:space="preserve">5、所有检测数据按照</w:t>
            </w:r>
            <w:r>
              <w:rPr>
                <w:rFonts w:hint="eastAsia" w:ascii="宋体" w:hAnsi="宋体" w:eastAsia="宋体" w:cs="宋体"/>
                <w:color w:val="auto"/>
                <w:szCs w:val="21"/>
                <w:lang w:val="en-US" w:eastAsia="zh-CN"/>
              </w:rPr>
              <w:t xml:space="preserve">阜宁</w:t>
            </w:r>
            <w:r>
              <w:rPr>
                <w:rFonts w:hint="eastAsia" w:ascii="宋体" w:hAnsi="宋体" w:cs="宋体"/>
                <w:color w:val="auto"/>
                <w:szCs w:val="21"/>
              </w:rPr>
              <w:t xml:space="preserve">县市场监管部门要求上传、报送。</w:t>
            </w:r>
            <w:r/>
          </w:p>
        </w:tc>
      </w:tr>
      <w:tr>
        <w:trPr>
          <w:jc w:val="center"/>
        </w:trPr>
        <w:tc>
          <w:tcPr>
            <w:tcW w:w="1679"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7635" w:type="dxa"/>
            <w:vAlign w:val="center"/>
            <w:textDirection w:val="lrTb"/>
            <w:noWrap w:val="false"/>
          </w:tcPr>
          <w:p>
            <w:pPr>
              <w:rPr>
                <w:rFonts w:hint="eastAsia" w:ascii="宋体" w:hAnsi="宋体" w:cs="宋体"/>
                <w:color w:val="auto"/>
                <w:szCs w:val="21"/>
              </w:rPr>
            </w:pPr>
            <w:r>
              <w:rPr>
                <w:rFonts w:hint="eastAsia" w:ascii="宋体" w:hAnsi="宋体" w:cs="宋体"/>
                <w:color w:val="auto"/>
                <w:szCs w:val="21"/>
              </w:rPr>
              <w:t xml:space="preserve">6、</w:t>
            </w:r>
            <w:r>
              <w:rPr>
                <w:rFonts w:hint="eastAsia" w:ascii="宋体" w:hAnsi="宋体" w:eastAsia="宋体" w:cs="宋体"/>
                <w:color w:val="auto"/>
                <w:szCs w:val="21"/>
                <w:lang w:val="en-US" w:eastAsia="zh-CN"/>
              </w:rPr>
              <w:t xml:space="preserve">做好样本标签填写及样本留样工作</w:t>
            </w:r>
            <w:r>
              <w:rPr>
                <w:rFonts w:hint="eastAsia" w:ascii="宋体" w:hAnsi="宋体" w:cs="宋体"/>
                <w:color w:val="auto"/>
                <w:szCs w:val="21"/>
              </w:rPr>
              <w:t xml:space="preserve">。</w:t>
            </w:r>
            <w:r/>
          </w:p>
        </w:tc>
      </w:tr>
      <w:tr>
        <w:trPr>
          <w:jc w:val="center"/>
        </w:trPr>
        <w:tc>
          <w:tcPr>
            <w:tcW w:w="1679"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7635" w:type="dxa"/>
            <w:vAlign w:val="center"/>
            <w:textDirection w:val="lrTb"/>
            <w:noWrap w:val="false"/>
          </w:tcPr>
          <w:p>
            <w:pPr>
              <w:rPr>
                <w:rFonts w:hint="eastAsia" w:ascii="宋体" w:hAnsi="宋体" w:cs="宋体"/>
                <w:szCs w:val="21"/>
              </w:rPr>
            </w:pPr>
            <w:r>
              <w:rPr>
                <w:rFonts w:hint="eastAsia" w:ascii="宋体" w:hAnsi="宋体" w:cs="宋体"/>
                <w:szCs w:val="21"/>
              </w:rPr>
              <w:t xml:space="preserve">7、按照实验室卫生管理制度做好清洁工作，包括固废、液废处理、物品摆放、地面和桌面卫生清洁。</w:t>
            </w:r>
            <w:r/>
          </w:p>
        </w:tc>
      </w:tr>
      <w:tr>
        <w:trPr>
          <w:jc w:val="center"/>
        </w:trPr>
        <w:tc>
          <w:tcPr>
            <w:tcW w:w="1679"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7635" w:type="dxa"/>
            <w:vAlign w:val="center"/>
            <w:textDirection w:val="lrTb"/>
            <w:noWrap w:val="false"/>
          </w:tcPr>
          <w:p>
            <w:pPr>
              <w:rPr>
                <w:rFonts w:hint="eastAsia" w:ascii="宋体" w:hAnsi="宋体" w:cs="宋体"/>
                <w:szCs w:val="21"/>
              </w:rPr>
            </w:pPr>
            <w:r>
              <w:rPr>
                <w:rFonts w:hint="eastAsia" w:ascii="宋体" w:hAnsi="宋体" w:cs="宋体"/>
                <w:szCs w:val="21"/>
              </w:rPr>
              <w:t xml:space="preserve">8、关闭电源。</w:t>
            </w:r>
            <w:r/>
          </w:p>
        </w:tc>
      </w:tr>
    </w:tbl>
    <w:p>
      <w:pPr>
        <w:spacing w:line="360" w:lineRule="auto"/>
        <w:rPr>
          <w:rFonts w:hint="eastAsia" w:ascii="宋体" w:hAnsi="宋体" w:cs="宋体"/>
          <w:sz w:val="24"/>
        </w:rPr>
      </w:pPr>
      <w:r>
        <w:rPr>
          <w:rFonts w:hint="eastAsia" w:ascii="宋体" w:hAnsi="宋体" w:cs="宋体"/>
          <w:sz w:val="24"/>
        </w:rPr>
      </w:r>
      <w:r/>
    </w:p>
    <w:p>
      <w:pPr>
        <w:keepLines/>
        <w:keepNext/>
        <w:spacing w:line="360" w:lineRule="auto"/>
        <w:rPr>
          <w:rFonts w:hint="eastAsia"/>
          <w:b/>
          <w:sz w:val="28"/>
        </w:rPr>
        <w:outlineLvl w:val="2"/>
      </w:pPr>
      <w:r>
        <w:rPr>
          <w:rFonts w:hint="eastAsia"/>
          <w:b/>
          <w:sz w:val="28"/>
        </w:rPr>
        <w:t xml:space="preserve">5、▲检测要求</w:t>
      </w:r>
      <w:r/>
    </w:p>
    <w:p>
      <w:pPr>
        <w:pStyle w:val="873"/>
        <w:numPr>
          <w:ilvl w:val="0"/>
          <w:numId w:val="0"/>
        </w:numPr>
        <w:keepLines w:val="0"/>
        <w:keepNext w:val="0"/>
        <w:pageBreakBefore w:val="0"/>
        <w:spacing w:line="360" w:lineRule="auto"/>
        <w:widowControl/>
        <w:rPr>
          <w:rFonts w:hint="eastAsia" w:cs="宋体"/>
          <w:sz w:val="24"/>
          <w:szCs w:val="24"/>
          <w:lang w:val="en-US" w:eastAsia="zh-CN" w:bidi="ar-SA"/>
        </w:rPr>
      </w:pPr>
      <w:r>
        <w:rPr>
          <w:rFonts w:hint="eastAsia" w:ascii="宋体" w:hAnsi="宋体" w:eastAsia="宋体" w:cs="宋体"/>
          <w:color w:val="000000"/>
          <w:sz w:val="24"/>
          <w:szCs w:val="24"/>
          <w:lang w:val="en-US" w:eastAsia="zh-CN" w:bidi="ar-SA"/>
        </w:rPr>
        <w:t xml:space="preserve">（</w:t>
      </w:r>
      <w:r>
        <w:rPr>
          <w:rFonts w:hint="eastAsia" w:cs="宋体"/>
          <w:color w:val="000000"/>
          <w:sz w:val="24"/>
          <w:szCs w:val="24"/>
          <w:lang w:val="en-US" w:eastAsia="zh-CN" w:bidi="ar-SA"/>
        </w:rPr>
        <w:t xml:space="preserve">1</w:t>
      </w:r>
      <w:r>
        <w:rPr>
          <w:rFonts w:hint="eastAsia" w:ascii="宋体" w:hAnsi="宋体" w:eastAsia="宋体" w:cs="宋体"/>
          <w:color w:val="000000"/>
          <w:sz w:val="24"/>
          <w:szCs w:val="24"/>
          <w:lang w:val="en-US" w:eastAsia="zh-CN" w:bidi="ar-SA"/>
        </w:rPr>
        <w:t xml:space="preserve">）</w:t>
      </w:r>
      <w:r>
        <w:rPr>
          <w:rFonts w:hint="eastAsia" w:cs="宋体"/>
          <w:sz w:val="24"/>
          <w:szCs w:val="24"/>
          <w:lang w:val="en-US" w:eastAsia="zh-CN" w:bidi="ar-SA"/>
        </w:rPr>
        <w:t xml:space="preserve">重点问题食用农产品检测样本、参数</w:t>
      </w:r>
      <w:r/>
    </w:p>
    <w:tbl>
      <w:tblPr>
        <w:tblStyle w:val="713"/>
        <w:tblW w:w="931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54"/>
        <w:gridCol w:w="4460"/>
        <w:gridCol w:w="3498"/>
      </w:tblGrid>
      <w:tr>
        <w:trPr>
          <w:trHeight w:val="631"/>
        </w:trPr>
        <w:tc>
          <w:tcPr>
            <w:tcW w:w="1354" w:type="dxa"/>
            <w:vAlign w:val="center"/>
            <w:textDirection w:val="lrTb"/>
            <w:noWrap w:val="false"/>
          </w:tcPr>
          <w:p>
            <w:pPr>
              <w:numPr>
                <w:ilvl w:val="0"/>
                <w:numId w:val="0"/>
              </w:numPr>
              <w:jc w:val="center"/>
              <w:spacing w:after="0" w:line="240" w:lineRule="auto"/>
              <w:rPr>
                <w:rFonts w:hint="default"/>
                <w:b w:val="0"/>
                <w:bCs w:val="0"/>
                <w:sz w:val="21"/>
                <w:szCs w:val="21"/>
                <w:vertAlign w:val="baseline"/>
                <w:lang w:val="en-US" w:eastAsia="zh-CN"/>
              </w:rPr>
            </w:pPr>
            <w:r>
              <w:rPr>
                <w:rFonts w:hint="eastAsia"/>
                <w:b w:val="0"/>
                <w:bCs w:val="0"/>
                <w:sz w:val="21"/>
                <w:szCs w:val="21"/>
                <w:vertAlign w:val="baseline"/>
                <w:lang w:val="en-US" w:eastAsia="zh-CN"/>
              </w:rPr>
              <w:t xml:space="preserve">样本</w:t>
            </w:r>
            <w:r/>
          </w:p>
        </w:tc>
        <w:tc>
          <w:tcPr>
            <w:tcW w:w="4460" w:type="dxa"/>
            <w:vAlign w:val="center"/>
            <w:textDirection w:val="lrTb"/>
            <w:noWrap w:val="false"/>
          </w:tcPr>
          <w:p>
            <w:pPr>
              <w:numPr>
                <w:ilvl w:val="0"/>
                <w:numId w:val="0"/>
              </w:numPr>
              <w:jc w:val="center"/>
              <w:spacing w:after="0" w:line="240" w:lineRule="auto"/>
              <w:rPr>
                <w:rFonts w:hint="default"/>
                <w:b w:val="0"/>
                <w:bCs w:val="0"/>
                <w:sz w:val="21"/>
                <w:szCs w:val="21"/>
                <w:vertAlign w:val="baseline"/>
                <w:lang w:val="en-US" w:eastAsia="zh-CN"/>
              </w:rPr>
            </w:pPr>
            <w:r>
              <w:rPr>
                <w:rFonts w:hint="eastAsia"/>
                <w:b w:val="0"/>
                <w:bCs w:val="0"/>
                <w:sz w:val="21"/>
                <w:szCs w:val="21"/>
                <w:vertAlign w:val="baseline"/>
                <w:lang w:val="en-US" w:eastAsia="zh-CN"/>
              </w:rPr>
              <w:t xml:space="preserve">常规药物参数（必检）</w:t>
            </w:r>
            <w:r/>
          </w:p>
        </w:tc>
        <w:tc>
          <w:tcPr>
            <w:tcW w:w="3498" w:type="dxa"/>
            <w:vAlign w:val="center"/>
            <w:textDirection w:val="lrTb"/>
            <w:noWrap w:val="false"/>
          </w:tcPr>
          <w:p>
            <w:pPr>
              <w:numPr>
                <w:ilvl w:val="0"/>
                <w:numId w:val="0"/>
              </w:numPr>
              <w:jc w:val="center"/>
              <w:spacing w:after="0" w:line="240" w:lineRule="auto"/>
              <w:rPr>
                <w:rFonts w:hint="default"/>
                <w:b w:val="0"/>
                <w:bCs w:val="0"/>
                <w:sz w:val="21"/>
                <w:szCs w:val="21"/>
                <w:vertAlign w:val="baseline"/>
                <w:lang w:val="en-US" w:eastAsia="zh-CN"/>
              </w:rPr>
            </w:pPr>
            <w:r>
              <w:rPr>
                <w:rFonts w:hint="eastAsia"/>
                <w:b w:val="0"/>
                <w:bCs w:val="0"/>
                <w:sz w:val="21"/>
                <w:szCs w:val="21"/>
                <w:vertAlign w:val="baseline"/>
                <w:lang w:val="en-US" w:eastAsia="zh-CN"/>
              </w:rPr>
              <w:t xml:space="preserve">禁（停）用药物检测参数（周覆盖）</w:t>
            </w:r>
            <w:r/>
          </w:p>
        </w:tc>
      </w:tr>
      <w:tr>
        <w:trPr>
          <w:trHeight w:val="641"/>
        </w:trPr>
        <w:tc>
          <w:tcPr>
            <w:shd w:val="clear" w:color="auto" w:fill="auto"/>
            <w:tcW w:w="1354" w:type="dxa"/>
            <w:vAlign w:val="center"/>
            <w:textDirection w:val="lrTb"/>
            <w:noWrap w:val="false"/>
          </w:tcPr>
          <w:p>
            <w:pPr>
              <w:jc w:val="center"/>
              <w:rPr>
                <w:rFonts w:hint="eastAsia" w:asciiTheme="minorHAnsi" w:hAnsiTheme="minorHAnsi" w:eastAsiaTheme="minorEastAsia" w:cstheme="minorBidi"/>
                <w:sz w:val="24"/>
                <w:szCs w:val="24"/>
                <w:lang w:val="en-US" w:eastAsia="zh-CN" w:bidi="ar-SA"/>
              </w:rPr>
            </w:pPr>
            <w:r>
              <w:rPr>
                <w:rFonts w:hint="eastAsia"/>
                <w:b/>
                <w:bCs/>
                <w:sz w:val="24"/>
              </w:rPr>
              <w:t xml:space="preserve">鳊鱼</w:t>
            </w:r>
            <w:r/>
          </w:p>
        </w:tc>
        <w:tc>
          <w:tcPr>
            <w:shd w:val="clear" w:color="auto" w:fill="auto"/>
            <w:tcW w:w="4460" w:type="dxa"/>
            <w:vAlign w:val="center"/>
            <w:textDirection w:val="lrTb"/>
            <w:noWrap w:val="false"/>
          </w:tcPr>
          <w:p>
            <w:pPr>
              <w:jc w:val="center"/>
              <w:rPr>
                <w:rFonts w:hint="default" w:asciiTheme="minorHAnsi" w:hAnsiTheme="minorHAnsi" w:eastAsiaTheme="minorEastAsia" w:cstheme="minorBidi"/>
                <w:sz w:val="24"/>
                <w:szCs w:val="24"/>
                <w:lang w:val="en-US" w:eastAsia="zh-CN" w:bidi="ar-SA"/>
              </w:rPr>
            </w:pPr>
            <w:r>
              <w:rPr>
                <w:rFonts w:hint="eastAsia"/>
                <w:sz w:val="24"/>
              </w:rPr>
              <w:t xml:space="preserve">恩诺沙星和环丙沙星、磺胺类</w:t>
            </w:r>
            <w:r/>
          </w:p>
        </w:tc>
        <w:tc>
          <w:tcPr>
            <w:shd w:val="clear" w:color="auto" w:fill="auto"/>
            <w:tcW w:w="3498" w:type="dxa"/>
            <w:vAlign w:val="center"/>
            <w:textDirection w:val="lrTb"/>
            <w:noWrap w:val="false"/>
          </w:tcPr>
          <w:p>
            <w:pPr>
              <w:jc w:val="center"/>
              <w:rPr>
                <w:rFonts w:hint="default" w:asciiTheme="minorHAnsi" w:hAnsiTheme="minorHAnsi" w:eastAsiaTheme="minorEastAsia" w:cstheme="minorBidi"/>
                <w:sz w:val="24"/>
                <w:szCs w:val="24"/>
                <w:lang w:val="en-US" w:eastAsia="zh-CN" w:bidi="ar-SA"/>
              </w:rPr>
            </w:pPr>
            <w:r>
              <w:rPr>
                <w:rFonts w:hint="eastAsia"/>
                <w:sz w:val="24"/>
              </w:rPr>
              <w:t xml:space="preserve">氧氟沙星、</w:t>
            </w:r>
            <w:r>
              <w:rPr>
                <w:sz w:val="24"/>
              </w:rPr>
              <w:t xml:space="preserve">氯霉素</w:t>
            </w:r>
            <w:r>
              <w:rPr>
                <w:rFonts w:hint="eastAsia"/>
                <w:sz w:val="24"/>
              </w:rPr>
              <w:t xml:space="preserve">、</w:t>
            </w:r>
            <w:r>
              <w:rPr>
                <w:sz w:val="24"/>
              </w:rPr>
              <w:t xml:space="preserve">孔雀石绿</w:t>
            </w:r>
            <w:r/>
          </w:p>
        </w:tc>
      </w:tr>
      <w:tr>
        <w:trPr/>
        <w:tc>
          <w:tcPr>
            <w:shd w:val="clear" w:color="auto" w:fill="auto"/>
            <w:tcW w:w="1354" w:type="dxa"/>
            <w:vAlign w:val="center"/>
            <w:textDirection w:val="lrTb"/>
            <w:noWrap w:val="false"/>
          </w:tcPr>
          <w:p>
            <w:pPr>
              <w:jc w:val="center"/>
              <w:rPr>
                <w:rFonts w:hint="eastAsia" w:asciiTheme="minorHAnsi" w:hAnsiTheme="minorHAnsi" w:eastAsiaTheme="minorEastAsia" w:cstheme="minorBidi"/>
                <w:sz w:val="24"/>
                <w:szCs w:val="24"/>
                <w:lang w:val="en-US" w:eastAsia="zh-CN" w:bidi="ar-SA"/>
              </w:rPr>
            </w:pPr>
            <w:r>
              <w:rPr>
                <w:rFonts w:hint="eastAsia"/>
                <w:b/>
                <w:bCs/>
                <w:sz w:val="24"/>
              </w:rPr>
              <w:t xml:space="preserve">黄鳝</w:t>
            </w:r>
            <w:r/>
          </w:p>
        </w:tc>
        <w:tc>
          <w:tcPr>
            <w:shd w:val="clear" w:color="auto" w:fill="auto"/>
            <w:tcW w:w="4460" w:type="dxa"/>
            <w:vAlign w:val="center"/>
            <w:textDirection w:val="lrTb"/>
            <w:noWrap w:val="false"/>
          </w:tcPr>
          <w:p>
            <w:pPr>
              <w:jc w:val="center"/>
              <w:rPr>
                <w:rFonts w:hint="default" w:asciiTheme="minorHAnsi" w:hAnsiTheme="minorHAnsi" w:eastAsiaTheme="minorEastAsia" w:cstheme="minorBidi"/>
                <w:sz w:val="24"/>
                <w:szCs w:val="24"/>
                <w:lang w:val="en-US" w:eastAsia="zh-CN" w:bidi="ar-SA"/>
              </w:rPr>
            </w:pPr>
            <w:r>
              <w:rPr>
                <w:rFonts w:hint="eastAsia"/>
                <w:sz w:val="24"/>
              </w:rPr>
              <w:t xml:space="preserve">恩诺沙星和环丙沙星、磺胺类、氟苯尼考和氟苯尼考胺之和</w:t>
            </w:r>
            <w:r/>
          </w:p>
        </w:tc>
        <w:tc>
          <w:tcPr>
            <w:shd w:val="clear" w:color="auto" w:fill="auto"/>
            <w:tcW w:w="3498" w:type="dxa"/>
            <w:vAlign w:val="center"/>
            <w:textDirection w:val="lrTb"/>
            <w:noWrap w:val="false"/>
          </w:tcPr>
          <w:p>
            <w:pPr>
              <w:jc w:val="center"/>
              <w:rPr>
                <w:rFonts w:hint="default" w:asciiTheme="minorHAnsi" w:hAnsiTheme="minorHAnsi" w:eastAsiaTheme="minorEastAsia" w:cstheme="minorBidi"/>
                <w:sz w:val="24"/>
                <w:szCs w:val="24"/>
                <w:lang w:val="en-US" w:eastAsia="zh-CN" w:bidi="ar-SA"/>
              </w:rPr>
            </w:pPr>
            <w:r>
              <w:rPr>
                <w:rFonts w:hint="eastAsia"/>
                <w:sz w:val="24"/>
              </w:rPr>
              <w:t xml:space="preserve">氧氟沙星、氯霉素、</w:t>
            </w:r>
            <w:r>
              <w:rPr>
                <w:sz w:val="24"/>
              </w:rPr>
              <w:t xml:space="preserve">孔雀石绿</w:t>
            </w:r>
            <w:r/>
          </w:p>
        </w:tc>
      </w:tr>
      <w:tr>
        <w:trPr>
          <w:trHeight w:val="522"/>
        </w:trPr>
        <w:tc>
          <w:tcPr>
            <w:shd w:val="clear" w:color="auto" w:fill="auto"/>
            <w:tcW w:w="1354" w:type="dxa"/>
            <w:vAlign w:val="center"/>
            <w:textDirection w:val="lrTb"/>
            <w:noWrap w:val="false"/>
          </w:tcPr>
          <w:p>
            <w:pPr>
              <w:jc w:val="center"/>
              <w:rPr>
                <w:rFonts w:hint="eastAsia" w:asciiTheme="minorHAnsi" w:hAnsiTheme="minorHAnsi" w:eastAsiaTheme="minorEastAsia" w:cstheme="minorBidi"/>
                <w:sz w:val="24"/>
                <w:szCs w:val="24"/>
                <w:lang w:val="en-US" w:eastAsia="zh-CN" w:bidi="ar-SA"/>
              </w:rPr>
            </w:pPr>
            <w:r>
              <w:rPr>
                <w:rFonts w:hint="eastAsia"/>
                <w:b/>
                <w:bCs/>
                <w:sz w:val="24"/>
              </w:rPr>
              <w:t xml:space="preserve">泥鳅</w:t>
            </w:r>
            <w:r/>
          </w:p>
        </w:tc>
        <w:tc>
          <w:tcPr>
            <w:shd w:val="clear" w:color="auto" w:fill="auto"/>
            <w:tcW w:w="4460" w:type="dxa"/>
            <w:vAlign w:val="center"/>
            <w:textDirection w:val="lrTb"/>
            <w:noWrap w:val="false"/>
          </w:tcPr>
          <w:p>
            <w:pPr>
              <w:jc w:val="center"/>
              <w:rPr>
                <w:rFonts w:hint="default" w:asciiTheme="minorHAnsi" w:hAnsiTheme="minorHAnsi" w:eastAsiaTheme="minorEastAsia" w:cstheme="minorBidi"/>
                <w:sz w:val="24"/>
                <w:szCs w:val="24"/>
                <w:lang w:val="en-US" w:eastAsia="zh-CN" w:bidi="ar-SA"/>
              </w:rPr>
            </w:pPr>
            <w:r>
              <w:rPr>
                <w:rFonts w:hint="eastAsia"/>
                <w:sz w:val="24"/>
              </w:rPr>
              <w:t xml:space="preserve">恩诺沙星和环丙沙星</w:t>
            </w:r>
            <w:r/>
          </w:p>
        </w:tc>
        <w:tc>
          <w:tcPr>
            <w:shd w:val="clear" w:color="auto" w:fill="auto"/>
            <w:tcW w:w="3498" w:type="dxa"/>
            <w:vAlign w:val="center"/>
            <w:textDirection w:val="lrTb"/>
            <w:noWrap w:val="false"/>
          </w:tcPr>
          <w:p>
            <w:pPr>
              <w:jc w:val="center"/>
              <w:rPr>
                <w:rFonts w:hint="default" w:asciiTheme="minorHAnsi" w:hAnsiTheme="minorHAnsi" w:eastAsiaTheme="minorEastAsia" w:cstheme="minorBidi"/>
                <w:sz w:val="24"/>
                <w:szCs w:val="24"/>
                <w:lang w:val="en-US" w:eastAsia="zh-CN" w:bidi="ar-SA"/>
              </w:rPr>
            </w:pPr>
            <w:r>
              <w:rPr>
                <w:sz w:val="24"/>
              </w:rPr>
              <w:t xml:space="preserve">孔雀石绿</w:t>
            </w:r>
            <w:r/>
          </w:p>
        </w:tc>
      </w:tr>
      <w:tr>
        <w:trPr/>
        <w:tc>
          <w:tcPr>
            <w:shd w:val="clear" w:color="auto" w:fill="auto"/>
            <w:tcW w:w="1354" w:type="dxa"/>
            <w:vAlign w:val="center"/>
            <w:textDirection w:val="lrTb"/>
            <w:noWrap w:val="false"/>
          </w:tcPr>
          <w:p>
            <w:pPr>
              <w:jc w:val="center"/>
              <w:rPr>
                <w:rFonts w:hint="eastAsia" w:asciiTheme="minorHAnsi" w:hAnsiTheme="minorHAnsi" w:eastAsiaTheme="minorEastAsia" w:cstheme="minorBidi"/>
                <w:sz w:val="24"/>
                <w:szCs w:val="24"/>
                <w:lang w:val="en-US" w:eastAsia="zh-CN" w:bidi="ar-SA"/>
              </w:rPr>
            </w:pPr>
            <w:r>
              <w:rPr>
                <w:b/>
                <w:bCs/>
                <w:sz w:val="24"/>
              </w:rPr>
              <w:t xml:space="preserve">牛蛙</w:t>
            </w:r>
            <w:r/>
          </w:p>
        </w:tc>
        <w:tc>
          <w:tcPr>
            <w:shd w:val="clear" w:color="auto" w:fill="auto"/>
            <w:tcW w:w="4460" w:type="dxa"/>
            <w:vAlign w:val="center"/>
            <w:textDirection w:val="lrTb"/>
            <w:noWrap w:val="false"/>
          </w:tcPr>
          <w:p>
            <w:pPr>
              <w:jc w:val="center"/>
              <w:rPr>
                <w:rFonts w:hint="eastAsia" w:asciiTheme="minorHAnsi" w:hAnsiTheme="minorHAnsi" w:eastAsiaTheme="minorEastAsia" w:cstheme="minorBidi"/>
                <w:sz w:val="24"/>
                <w:szCs w:val="24"/>
                <w:lang w:val="en-US" w:eastAsia="zh-CN" w:bidi="ar-SA"/>
              </w:rPr>
            </w:pPr>
            <w:r>
              <w:rPr>
                <w:rFonts w:hint="eastAsia"/>
                <w:sz w:val="24"/>
              </w:rPr>
              <w:t xml:space="preserve">恩诺沙星和环丙沙星、磺胺类、甲硝唑</w:t>
            </w:r>
            <w:r/>
          </w:p>
        </w:tc>
        <w:tc>
          <w:tcPr>
            <w:shd w:val="clear" w:color="auto" w:fill="auto"/>
            <w:tcW w:w="3498" w:type="dxa"/>
            <w:vAlign w:val="center"/>
            <w:textDirection w:val="lrTb"/>
            <w:noWrap w:val="false"/>
          </w:tcPr>
          <w:p>
            <w:pPr>
              <w:jc w:val="center"/>
              <w:rPr>
                <w:rFonts w:hint="eastAsia" w:asciiTheme="minorHAnsi" w:hAnsiTheme="minorHAnsi" w:eastAsiaTheme="minorEastAsia" w:cstheme="minorBidi"/>
                <w:sz w:val="24"/>
                <w:szCs w:val="24"/>
                <w:lang w:val="en-US" w:eastAsia="zh-CN" w:bidi="ar-SA"/>
              </w:rPr>
            </w:pPr>
            <w:r>
              <w:rPr>
                <w:rFonts w:hint="eastAsia"/>
                <w:sz w:val="24"/>
              </w:rPr>
              <w:t xml:space="preserve">氧氟沙星、呋喃唑酮代谢物、</w:t>
            </w:r>
            <w:r>
              <w:rPr>
                <w:sz w:val="24"/>
              </w:rPr>
              <w:t xml:space="preserve">氯霉素</w:t>
            </w:r>
            <w:r>
              <w:rPr>
                <w:rFonts w:hint="eastAsia"/>
                <w:sz w:val="24"/>
              </w:rPr>
              <w:t xml:space="preserve">、呋喃西林代谢物、</w:t>
            </w:r>
            <w:r>
              <w:rPr>
                <w:sz w:val="24"/>
              </w:rPr>
              <w:t xml:space="preserve">孔雀石绿</w:t>
            </w:r>
            <w:r/>
          </w:p>
        </w:tc>
      </w:tr>
      <w:tr>
        <w:trPr/>
        <w:tc>
          <w:tcPr>
            <w:shd w:val="clear" w:color="auto" w:fill="auto"/>
            <w:tcW w:w="1354" w:type="dxa"/>
            <w:vAlign w:val="center"/>
            <w:textDirection w:val="lrTb"/>
            <w:noWrap w:val="false"/>
          </w:tcPr>
          <w:p>
            <w:pPr>
              <w:jc w:val="center"/>
              <w:rPr>
                <w:rFonts w:hint="eastAsia" w:asciiTheme="minorHAnsi" w:hAnsiTheme="minorHAnsi" w:eastAsiaTheme="minorEastAsia" w:cstheme="minorBidi"/>
                <w:b/>
                <w:bCs/>
                <w:sz w:val="24"/>
                <w:szCs w:val="24"/>
                <w:lang w:val="en-US" w:eastAsia="zh-CN" w:bidi="ar-SA"/>
              </w:rPr>
            </w:pPr>
            <w:r>
              <w:rPr>
                <w:rFonts w:hint="eastAsia"/>
                <w:b/>
                <w:bCs/>
                <w:sz w:val="24"/>
              </w:rPr>
              <w:t xml:space="preserve">鲫鱼</w:t>
            </w:r>
            <w:r/>
          </w:p>
        </w:tc>
        <w:tc>
          <w:tcPr>
            <w:shd w:val="clear" w:color="auto" w:fill="auto"/>
            <w:tcW w:w="4460" w:type="dxa"/>
            <w:vAlign w:val="center"/>
            <w:textDirection w:val="lrTb"/>
            <w:noWrap w:val="false"/>
          </w:tcPr>
          <w:p>
            <w:pPr>
              <w:jc w:val="center"/>
              <w:rPr>
                <w:rFonts w:hint="default" w:asciiTheme="minorHAnsi" w:hAnsiTheme="minorHAnsi" w:eastAsiaTheme="minorEastAsia" w:cstheme="minorBidi"/>
                <w:sz w:val="24"/>
                <w:szCs w:val="24"/>
                <w:lang w:val="en-US" w:eastAsia="zh-CN" w:bidi="ar-SA"/>
              </w:rPr>
            </w:pPr>
            <w:r>
              <w:rPr>
                <w:rFonts w:hint="eastAsia"/>
                <w:sz w:val="24"/>
              </w:rPr>
              <w:t xml:space="preserve">恩诺沙星和环丙沙星</w:t>
            </w:r>
            <w:r/>
          </w:p>
        </w:tc>
        <w:tc>
          <w:tcPr>
            <w:shd w:val="clear" w:color="auto" w:fill="auto"/>
            <w:tcW w:w="3498" w:type="dxa"/>
            <w:vAlign w:val="center"/>
            <w:textDirection w:val="lrTb"/>
            <w:noWrap w:val="false"/>
          </w:tcPr>
          <w:p>
            <w:pPr>
              <w:jc w:val="center"/>
              <w:rPr>
                <w:rFonts w:hint="eastAsia" w:asciiTheme="minorHAnsi" w:hAnsiTheme="minorHAnsi" w:eastAsiaTheme="minorEastAsia" w:cstheme="minorBidi"/>
                <w:sz w:val="24"/>
                <w:szCs w:val="24"/>
                <w:lang w:val="en-US" w:eastAsia="zh-CN" w:bidi="ar-SA"/>
              </w:rPr>
            </w:pPr>
            <w:r>
              <w:rPr>
                <w:rFonts w:hint="eastAsia"/>
                <w:sz w:val="24"/>
              </w:rPr>
              <w:t xml:space="preserve">氧氟沙星、呋喃唑酮代谢物、</w:t>
            </w:r>
            <w:r>
              <w:rPr>
                <w:sz w:val="24"/>
              </w:rPr>
              <w:t xml:space="preserve">孔雀石绿</w:t>
            </w:r>
            <w:r/>
          </w:p>
        </w:tc>
      </w:tr>
      <w:tr>
        <w:trPr/>
        <w:tc>
          <w:tcPr>
            <w:shd w:val="clear" w:color="auto" w:fill="auto"/>
            <w:tcW w:w="1354" w:type="dxa"/>
            <w:vAlign w:val="center"/>
            <w:textDirection w:val="lrTb"/>
            <w:noWrap w:val="false"/>
          </w:tcPr>
          <w:p>
            <w:pPr>
              <w:jc w:val="center"/>
              <w:rPr>
                <w:rFonts w:hint="eastAsia" w:asciiTheme="minorHAnsi" w:hAnsiTheme="minorHAnsi" w:eastAsiaTheme="minorEastAsia" w:cstheme="minorBidi"/>
                <w:b/>
                <w:bCs/>
                <w:sz w:val="24"/>
                <w:szCs w:val="24"/>
                <w:lang w:val="en-US" w:eastAsia="zh-CN" w:bidi="ar-SA"/>
              </w:rPr>
            </w:pPr>
            <w:r>
              <w:rPr>
                <w:b/>
                <w:bCs/>
                <w:sz w:val="24"/>
              </w:rPr>
              <w:t xml:space="preserve">大口黑鲈</w:t>
            </w:r>
            <w:r/>
          </w:p>
        </w:tc>
        <w:tc>
          <w:tcPr>
            <w:shd w:val="clear" w:color="auto" w:fill="auto"/>
            <w:tcW w:w="4460" w:type="dxa"/>
            <w:vAlign w:val="center"/>
            <w:textDirection w:val="lrTb"/>
            <w:noWrap w:val="false"/>
          </w:tcPr>
          <w:p>
            <w:pPr>
              <w:jc w:val="center"/>
              <w:rPr>
                <w:rFonts w:hint="eastAsia" w:asciiTheme="minorHAnsi" w:hAnsiTheme="minorHAnsi" w:eastAsiaTheme="minorEastAsia" w:cstheme="minorBidi"/>
                <w:sz w:val="24"/>
                <w:szCs w:val="24"/>
                <w:lang w:val="en-US" w:eastAsia="zh-CN" w:bidi="ar-SA"/>
              </w:rPr>
            </w:pPr>
            <w:r>
              <w:rPr>
                <w:rFonts w:hint="eastAsia"/>
                <w:sz w:val="24"/>
              </w:rPr>
              <w:t xml:space="preserve">恩诺沙星和环丙沙星之和、磺胺类、氟苯尼考和氟苯尼考胺</w:t>
            </w:r>
            <w:r/>
          </w:p>
        </w:tc>
        <w:tc>
          <w:tcPr>
            <w:shd w:val="clear" w:color="auto" w:fill="auto"/>
            <w:tcW w:w="3498" w:type="dxa"/>
            <w:vAlign w:val="center"/>
            <w:textDirection w:val="lrTb"/>
            <w:noWrap w:val="false"/>
          </w:tcPr>
          <w:p>
            <w:pPr>
              <w:jc w:val="center"/>
              <w:rPr>
                <w:rFonts w:hint="default" w:asciiTheme="minorHAnsi" w:hAnsiTheme="minorHAnsi" w:eastAsiaTheme="minorEastAsia" w:cstheme="minorBidi"/>
                <w:sz w:val="24"/>
                <w:szCs w:val="24"/>
                <w:lang w:val="en-US" w:eastAsia="zh-CN" w:bidi="ar-SA"/>
              </w:rPr>
            </w:pPr>
            <w:r>
              <w:rPr>
                <w:rFonts w:hint="eastAsia"/>
                <w:sz w:val="24"/>
              </w:rPr>
              <w:t xml:space="preserve">氧氟沙星、呋喃唑酮代谢物、</w:t>
            </w:r>
            <w:r>
              <w:rPr>
                <w:sz w:val="24"/>
              </w:rPr>
              <w:t xml:space="preserve">孔雀石绿</w:t>
            </w:r>
            <w:r/>
          </w:p>
        </w:tc>
      </w:tr>
      <w:tr>
        <w:trPr/>
        <w:tc>
          <w:tcPr>
            <w:shd w:val="clear" w:color="auto" w:fill="auto"/>
            <w:tcW w:w="1354" w:type="dxa"/>
            <w:vAlign w:val="center"/>
            <w:textDirection w:val="lrTb"/>
            <w:noWrap w:val="false"/>
          </w:tcPr>
          <w:p>
            <w:pPr>
              <w:jc w:val="center"/>
              <w:rPr>
                <w:rFonts w:hint="eastAsia" w:asciiTheme="minorHAnsi" w:hAnsiTheme="minorHAnsi" w:eastAsiaTheme="minorEastAsia" w:cstheme="minorBidi"/>
                <w:b/>
                <w:bCs/>
                <w:sz w:val="24"/>
                <w:szCs w:val="24"/>
                <w:lang w:val="en-US" w:eastAsia="zh-CN" w:bidi="ar-SA"/>
              </w:rPr>
            </w:pPr>
            <w:r>
              <w:rPr>
                <w:b/>
                <w:bCs/>
                <w:sz w:val="24"/>
              </w:rPr>
              <w:t xml:space="preserve">乌鳢</w:t>
            </w:r>
            <w:r/>
          </w:p>
        </w:tc>
        <w:tc>
          <w:tcPr>
            <w:shd w:val="clear" w:color="auto" w:fill="auto"/>
            <w:tcW w:w="4460" w:type="dxa"/>
            <w:vAlign w:val="center"/>
            <w:textDirection w:val="lrTb"/>
            <w:noWrap w:val="false"/>
          </w:tcPr>
          <w:p>
            <w:pPr>
              <w:jc w:val="center"/>
              <w:rPr>
                <w:rFonts w:hint="eastAsia" w:asciiTheme="minorHAnsi" w:hAnsiTheme="minorHAnsi" w:eastAsiaTheme="minorEastAsia" w:cstheme="minorBidi"/>
                <w:sz w:val="24"/>
                <w:szCs w:val="24"/>
                <w:lang w:val="en-US" w:eastAsia="zh-CN" w:bidi="ar-SA"/>
              </w:rPr>
            </w:pPr>
            <w:r>
              <w:rPr>
                <w:rFonts w:hint="eastAsia"/>
                <w:sz w:val="24"/>
              </w:rPr>
              <w:t xml:space="preserve">恩诺沙星和环丙沙星之和、磺胺类、氟苯尼考和氟苯尼考胺之和</w:t>
            </w:r>
            <w:r/>
          </w:p>
        </w:tc>
        <w:tc>
          <w:tcPr>
            <w:shd w:val="clear" w:color="auto" w:fill="auto"/>
            <w:tcW w:w="3498" w:type="dxa"/>
            <w:vAlign w:val="center"/>
            <w:textDirection w:val="lrTb"/>
            <w:noWrap w:val="false"/>
          </w:tcPr>
          <w:p>
            <w:pPr>
              <w:jc w:val="center"/>
              <w:rPr>
                <w:rFonts w:hint="default" w:asciiTheme="minorHAnsi" w:hAnsiTheme="minorHAnsi" w:eastAsiaTheme="minorEastAsia" w:cstheme="minorBidi"/>
                <w:sz w:val="24"/>
                <w:szCs w:val="24"/>
                <w:lang w:val="en-US" w:eastAsia="zh-CN" w:bidi="ar-SA"/>
              </w:rPr>
            </w:pPr>
            <w:r>
              <w:rPr>
                <w:rFonts w:hint="eastAsia"/>
                <w:sz w:val="24"/>
              </w:rPr>
              <w:t xml:space="preserve">氧氟沙星、呋喃唑酮代谢物、</w:t>
            </w:r>
            <w:r>
              <w:rPr>
                <w:sz w:val="24"/>
              </w:rPr>
              <w:t xml:space="preserve">孔雀石绿</w:t>
            </w:r>
            <w:r/>
          </w:p>
        </w:tc>
      </w:tr>
      <w:tr>
        <w:trPr/>
        <w:tc>
          <w:tcPr>
            <w:shd w:val="clear" w:color="auto" w:fill="auto"/>
            <w:tcW w:w="1354" w:type="dxa"/>
            <w:vAlign w:val="center"/>
            <w:textDirection w:val="lrTb"/>
            <w:noWrap w:val="false"/>
          </w:tcPr>
          <w:p>
            <w:pPr>
              <w:jc w:val="center"/>
              <w:rPr>
                <w:rFonts w:hint="default" w:asciiTheme="minorHAnsi" w:hAnsiTheme="minorHAnsi" w:eastAsiaTheme="minorEastAsia" w:cstheme="minorBidi"/>
                <w:b/>
                <w:bCs/>
                <w:sz w:val="24"/>
                <w:szCs w:val="24"/>
                <w:lang w:val="en-US" w:eastAsia="zh-CN" w:bidi="ar-SA"/>
              </w:rPr>
            </w:pPr>
            <w:r>
              <w:rPr>
                <w:rFonts w:hint="eastAsia"/>
                <w:b/>
                <w:bCs/>
                <w:sz w:val="24"/>
              </w:rPr>
              <w:t xml:space="preserve">海参</w:t>
            </w:r>
            <w:r/>
          </w:p>
        </w:tc>
        <w:tc>
          <w:tcPr>
            <w:shd w:val="clear" w:color="auto" w:fill="auto"/>
            <w:tcW w:w="4460" w:type="dxa"/>
            <w:vAlign w:val="center"/>
            <w:textDirection w:val="lrTb"/>
            <w:noWrap w:val="false"/>
          </w:tcPr>
          <w:p>
            <w:pPr>
              <w:jc w:val="center"/>
              <w:rPr>
                <w:rFonts w:hint="eastAsia" w:asciiTheme="minorHAnsi" w:hAnsiTheme="minorHAnsi" w:eastAsiaTheme="minorEastAsia" w:cstheme="minorBidi"/>
                <w:sz w:val="24"/>
                <w:szCs w:val="24"/>
                <w:lang w:val="en-US" w:eastAsia="zh-CN" w:bidi="ar-SA"/>
              </w:rPr>
            </w:pPr>
            <w:r>
              <w:rPr>
                <w:rFonts w:hint="eastAsia"/>
                <w:sz w:val="24"/>
              </w:rPr>
              <w:t xml:space="preserve">恩诺沙星和环丙沙星、氟苯尼考和氟苯尼考胺之和</w:t>
            </w:r>
            <w:r/>
          </w:p>
        </w:tc>
        <w:tc>
          <w:tcPr>
            <w:shd w:val="clear" w:color="auto" w:fill="auto"/>
            <w:tcW w:w="3498" w:type="dxa"/>
            <w:vAlign w:val="center"/>
            <w:textDirection w:val="lrTb"/>
            <w:noWrap w:val="false"/>
          </w:tcPr>
          <w:p>
            <w:pPr>
              <w:jc w:val="center"/>
              <w:rPr>
                <w:rFonts w:hint="default" w:asciiTheme="minorHAnsi" w:hAnsiTheme="minorHAnsi" w:eastAsiaTheme="minorEastAsia" w:cstheme="minorBidi"/>
                <w:sz w:val="24"/>
                <w:szCs w:val="24"/>
                <w:lang w:val="en-US" w:eastAsia="zh-CN" w:bidi="ar-SA"/>
              </w:rPr>
            </w:pPr>
            <w:r>
              <w:rPr>
                <w:rFonts w:hint="default" w:asciiTheme="minorHAnsi" w:hAnsiTheme="minorHAnsi" w:eastAsiaTheme="minorEastAsia" w:cstheme="minorBidi"/>
                <w:sz w:val="24"/>
                <w:szCs w:val="24"/>
                <w:lang w:val="en-US" w:eastAsia="zh-CN" w:bidi="ar-SA"/>
              </w:rPr>
            </w:r>
            <w:r/>
          </w:p>
        </w:tc>
      </w:tr>
      <w:tr>
        <w:trPr/>
        <w:tc>
          <w:tcPr>
            <w:shd w:val="clear" w:color="auto" w:fill="auto"/>
            <w:tcW w:w="1354" w:type="dxa"/>
            <w:vAlign w:val="center"/>
            <w:textDirection w:val="lrTb"/>
            <w:noWrap w:val="false"/>
          </w:tcPr>
          <w:p>
            <w:pPr>
              <w:jc w:val="center"/>
              <w:rPr>
                <w:rFonts w:hint="default" w:asciiTheme="minorHAnsi" w:hAnsiTheme="minorHAnsi" w:eastAsiaTheme="minorEastAsia" w:cstheme="minorBidi"/>
                <w:b/>
                <w:bCs/>
                <w:sz w:val="24"/>
                <w:szCs w:val="24"/>
                <w:lang w:val="en-US" w:eastAsia="zh-CN" w:bidi="ar-SA"/>
              </w:rPr>
            </w:pPr>
            <w:r>
              <w:rPr>
                <w:rFonts w:hint="eastAsia"/>
                <w:b/>
                <w:bCs/>
                <w:sz w:val="24"/>
              </w:rPr>
              <w:t xml:space="preserve">芹菜</w:t>
            </w:r>
            <w:r/>
          </w:p>
        </w:tc>
        <w:tc>
          <w:tcPr>
            <w:shd w:val="clear" w:color="auto" w:fill="auto"/>
            <w:tcW w:w="4460" w:type="dxa"/>
            <w:vAlign w:val="center"/>
            <w:textDirection w:val="lrTb"/>
            <w:noWrap w:val="false"/>
          </w:tcPr>
          <w:p>
            <w:pPr>
              <w:jc w:val="center"/>
              <w:rPr>
                <w:rFonts w:hint="eastAsia" w:asciiTheme="minorHAnsi" w:hAnsiTheme="minorHAnsi" w:eastAsiaTheme="minorEastAsia" w:cstheme="minorBidi"/>
                <w:sz w:val="24"/>
                <w:szCs w:val="24"/>
                <w:lang w:val="en-US" w:eastAsia="zh-CN" w:bidi="ar-SA"/>
              </w:rPr>
            </w:pPr>
            <w:r>
              <w:rPr>
                <w:rFonts w:hint="eastAsia" w:asciiTheme="minorHAnsi" w:hAnsiTheme="minorHAnsi" w:eastAsiaTheme="minorEastAsia" w:cstheme="minorBidi"/>
                <w:sz w:val="24"/>
                <w:szCs w:val="24"/>
                <w:lang w:val="en-US" w:eastAsia="zh-CN" w:bidi="ar-SA"/>
              </w:rPr>
            </w:r>
            <w:r/>
          </w:p>
        </w:tc>
        <w:tc>
          <w:tcPr>
            <w:shd w:val="clear" w:color="auto" w:fill="auto"/>
            <w:tcW w:w="3498" w:type="dxa"/>
            <w:vAlign w:val="center"/>
            <w:textDirection w:val="lrTb"/>
            <w:noWrap w:val="false"/>
          </w:tcPr>
          <w:p>
            <w:pPr>
              <w:jc w:val="center"/>
              <w:rPr>
                <w:rFonts w:hint="eastAsia" w:asciiTheme="minorHAnsi" w:hAnsiTheme="minorHAnsi" w:eastAsiaTheme="minorEastAsia" w:cstheme="minorBidi"/>
                <w:sz w:val="24"/>
                <w:szCs w:val="24"/>
                <w:lang w:val="en-US" w:eastAsia="zh-CN" w:bidi="ar-SA"/>
              </w:rPr>
            </w:pPr>
            <w:r>
              <w:rPr>
                <w:rFonts w:hint="eastAsia"/>
                <w:sz w:val="24"/>
              </w:rPr>
              <w:t xml:space="preserve">毒死蜱、氟虫腈</w:t>
            </w:r>
            <w:r/>
          </w:p>
        </w:tc>
      </w:tr>
      <w:tr>
        <w:trPr/>
        <w:tc>
          <w:tcPr>
            <w:shd w:val="clear" w:color="auto" w:fill="auto"/>
            <w:tcW w:w="1354" w:type="dxa"/>
            <w:vAlign w:val="center"/>
            <w:textDirection w:val="lrTb"/>
            <w:noWrap w:val="false"/>
          </w:tcPr>
          <w:p>
            <w:pPr>
              <w:jc w:val="center"/>
              <w:rPr>
                <w:rFonts w:hint="default" w:asciiTheme="minorHAnsi" w:hAnsiTheme="minorHAnsi" w:eastAsiaTheme="minorEastAsia" w:cstheme="minorBidi"/>
                <w:b/>
                <w:bCs/>
                <w:sz w:val="24"/>
                <w:szCs w:val="24"/>
                <w:lang w:val="en-US" w:eastAsia="zh-CN" w:bidi="ar-SA"/>
              </w:rPr>
            </w:pPr>
            <w:r>
              <w:rPr>
                <w:rFonts w:hint="eastAsia"/>
                <w:b/>
                <w:bCs/>
                <w:sz w:val="24"/>
              </w:rPr>
              <w:t xml:space="preserve">豇豆</w:t>
            </w:r>
            <w:r/>
          </w:p>
        </w:tc>
        <w:tc>
          <w:tcPr>
            <w:shd w:val="clear" w:color="auto" w:fill="auto"/>
            <w:tcW w:w="4460" w:type="dxa"/>
            <w:vAlign w:val="center"/>
            <w:textDirection w:val="lrTb"/>
            <w:noWrap w:val="false"/>
          </w:tcPr>
          <w:p>
            <w:pPr>
              <w:jc w:val="center"/>
              <w:rPr>
                <w:rFonts w:hint="default" w:asciiTheme="minorHAnsi" w:hAnsiTheme="minorHAnsi" w:eastAsiaTheme="minorEastAsia" w:cstheme="minorBidi"/>
                <w:sz w:val="24"/>
                <w:szCs w:val="24"/>
                <w:lang w:val="en-US" w:eastAsia="zh-CN" w:bidi="ar-SA"/>
              </w:rPr>
            </w:pPr>
            <w:r>
              <w:rPr>
                <w:rFonts w:hint="default" w:asciiTheme="minorHAnsi" w:hAnsiTheme="minorHAnsi" w:eastAsiaTheme="minorEastAsia" w:cstheme="minorBidi"/>
                <w:sz w:val="24"/>
                <w:szCs w:val="24"/>
                <w:lang w:val="en-US" w:eastAsia="zh-CN" w:bidi="ar-SA"/>
              </w:rPr>
            </w:r>
            <w:r/>
          </w:p>
        </w:tc>
        <w:tc>
          <w:tcPr>
            <w:shd w:val="clear" w:color="auto" w:fill="auto"/>
            <w:tcW w:w="3498" w:type="dxa"/>
            <w:vAlign w:val="center"/>
            <w:textDirection w:val="lrTb"/>
            <w:noWrap w:val="false"/>
          </w:tcPr>
          <w:p>
            <w:pPr>
              <w:jc w:val="center"/>
              <w:rPr>
                <w:rFonts w:hint="eastAsia" w:asciiTheme="minorHAnsi" w:hAnsiTheme="minorHAnsi" w:eastAsiaTheme="minorEastAsia" w:cstheme="minorBidi"/>
                <w:sz w:val="24"/>
                <w:szCs w:val="24"/>
                <w:lang w:val="en-US" w:eastAsia="zh-CN" w:bidi="ar-SA"/>
              </w:rPr>
            </w:pPr>
            <w:r>
              <w:rPr>
                <w:rFonts w:hint="eastAsia"/>
                <w:sz w:val="24"/>
              </w:rPr>
              <w:t xml:space="preserve">毒死蜱、氟虫腈</w:t>
            </w:r>
            <w:r/>
          </w:p>
        </w:tc>
      </w:tr>
      <w:tr>
        <w:trPr/>
        <w:tc>
          <w:tcPr>
            <w:shd w:val="clear" w:color="auto" w:fill="auto"/>
            <w:tcW w:w="1354" w:type="dxa"/>
            <w:vAlign w:val="center"/>
            <w:textDirection w:val="lrTb"/>
            <w:noWrap w:val="false"/>
          </w:tcPr>
          <w:p>
            <w:pPr>
              <w:jc w:val="center"/>
              <w:rPr>
                <w:rFonts w:hint="default" w:asciiTheme="minorHAnsi" w:hAnsiTheme="minorHAnsi" w:eastAsiaTheme="minorEastAsia" w:cstheme="minorBidi"/>
                <w:b/>
                <w:bCs/>
                <w:sz w:val="24"/>
                <w:szCs w:val="24"/>
                <w:lang w:val="en-US" w:eastAsia="zh-CN" w:bidi="ar-SA"/>
              </w:rPr>
            </w:pPr>
            <w:r>
              <w:rPr>
                <w:rFonts w:hint="eastAsia"/>
                <w:b/>
                <w:bCs/>
                <w:sz w:val="24"/>
              </w:rPr>
              <w:t xml:space="preserve">鸡蛋</w:t>
            </w:r>
            <w:r/>
          </w:p>
        </w:tc>
        <w:tc>
          <w:tcPr>
            <w:shd w:val="clear" w:color="auto" w:fill="auto"/>
            <w:tcW w:w="4460" w:type="dxa"/>
            <w:vAlign w:val="center"/>
            <w:textDirection w:val="lrTb"/>
            <w:noWrap w:val="false"/>
          </w:tcPr>
          <w:p>
            <w:pPr>
              <w:jc w:val="center"/>
              <w:rPr>
                <w:rFonts w:hint="default" w:asciiTheme="minorHAnsi" w:hAnsiTheme="minorHAnsi" w:eastAsiaTheme="minorEastAsia" w:cstheme="minorBidi"/>
                <w:sz w:val="24"/>
                <w:szCs w:val="24"/>
                <w:lang w:val="en-US" w:eastAsia="zh-CN" w:bidi="ar-SA"/>
              </w:rPr>
            </w:pPr>
            <w:r>
              <w:rPr>
                <w:rFonts w:hint="eastAsia"/>
                <w:sz w:val="24"/>
              </w:rPr>
              <w:t xml:space="preserve">氟苯尼考（禽蛋）、多西环素、恩诺沙星和环丙沙星、沙拉沙星、甲硝唑</w:t>
            </w:r>
            <w:r/>
          </w:p>
        </w:tc>
        <w:tc>
          <w:tcPr>
            <w:shd w:val="clear" w:color="auto" w:fill="auto"/>
            <w:tcW w:w="3498" w:type="dxa"/>
            <w:vAlign w:val="center"/>
            <w:textDirection w:val="lrTb"/>
            <w:noWrap w:val="false"/>
          </w:tcPr>
          <w:p>
            <w:pPr>
              <w:jc w:val="center"/>
              <w:rPr>
                <w:rFonts w:hint="eastAsia" w:asciiTheme="minorHAnsi" w:hAnsiTheme="minorHAnsi" w:eastAsiaTheme="minorEastAsia" w:cstheme="minorBidi"/>
                <w:sz w:val="24"/>
                <w:szCs w:val="24"/>
                <w:lang w:val="en-US" w:eastAsia="zh-CN" w:bidi="ar-SA"/>
              </w:rPr>
            </w:pPr>
            <w:r>
              <w:rPr>
                <w:rFonts w:hint="eastAsia" w:asciiTheme="minorHAnsi" w:hAnsiTheme="minorHAnsi" w:eastAsiaTheme="minorEastAsia" w:cstheme="minorBidi"/>
                <w:sz w:val="24"/>
                <w:szCs w:val="24"/>
                <w:lang w:val="en-US" w:eastAsia="zh-CN" w:bidi="ar-SA"/>
              </w:rPr>
            </w:r>
            <w:r/>
          </w:p>
        </w:tc>
      </w:tr>
      <w:tr>
        <w:trPr/>
        <w:tc>
          <w:tcPr>
            <w:shd w:val="clear" w:color="auto" w:fill="auto"/>
            <w:tcW w:w="1354" w:type="dxa"/>
            <w:vAlign w:val="center"/>
            <w:textDirection w:val="lrTb"/>
            <w:noWrap w:val="false"/>
          </w:tcPr>
          <w:p>
            <w:pPr>
              <w:jc w:val="center"/>
              <w:rPr>
                <w:rFonts w:hint="default" w:asciiTheme="minorHAnsi" w:hAnsiTheme="minorHAnsi" w:eastAsiaTheme="minorEastAsia" w:cstheme="minorBidi"/>
                <w:b/>
                <w:bCs/>
                <w:sz w:val="24"/>
                <w:szCs w:val="24"/>
                <w:lang w:val="en-US" w:eastAsia="zh-CN" w:bidi="ar-SA"/>
              </w:rPr>
            </w:pPr>
            <w:r>
              <w:rPr>
                <w:rFonts w:hint="eastAsia"/>
                <w:b/>
                <w:bCs/>
                <w:sz w:val="24"/>
              </w:rPr>
              <w:t xml:space="preserve">葱</w:t>
            </w:r>
            <w:r/>
          </w:p>
        </w:tc>
        <w:tc>
          <w:tcPr>
            <w:shd w:val="clear" w:color="auto" w:fill="auto"/>
            <w:tcW w:w="4460" w:type="dxa"/>
            <w:vAlign w:val="center"/>
            <w:textDirection w:val="lrTb"/>
            <w:noWrap w:val="false"/>
          </w:tcPr>
          <w:p>
            <w:pPr>
              <w:jc w:val="center"/>
              <w:rPr>
                <w:rFonts w:hint="eastAsia" w:asciiTheme="minorHAnsi" w:hAnsiTheme="minorHAnsi" w:eastAsiaTheme="minorEastAsia" w:cstheme="minorBidi"/>
                <w:sz w:val="24"/>
                <w:szCs w:val="24"/>
                <w:lang w:val="en-US" w:eastAsia="zh-CN" w:bidi="ar-SA"/>
              </w:rPr>
            </w:pPr>
            <w:r>
              <w:rPr>
                <w:rFonts w:hint="eastAsia" w:asciiTheme="minorHAnsi" w:hAnsiTheme="minorHAnsi" w:eastAsiaTheme="minorEastAsia" w:cstheme="minorBidi"/>
                <w:sz w:val="24"/>
                <w:szCs w:val="24"/>
                <w:lang w:val="en-US" w:eastAsia="zh-CN" w:bidi="ar-SA"/>
              </w:rPr>
            </w:r>
            <w:r/>
          </w:p>
        </w:tc>
        <w:tc>
          <w:tcPr>
            <w:shd w:val="clear" w:color="auto" w:fill="auto"/>
            <w:tcW w:w="3498" w:type="dxa"/>
            <w:vAlign w:val="center"/>
            <w:textDirection w:val="lrTb"/>
            <w:noWrap w:val="false"/>
          </w:tcPr>
          <w:p>
            <w:pPr>
              <w:jc w:val="center"/>
              <w:rPr>
                <w:rFonts w:hint="eastAsia" w:asciiTheme="minorHAnsi" w:hAnsiTheme="minorHAnsi" w:eastAsiaTheme="minorEastAsia" w:cstheme="minorBidi"/>
                <w:sz w:val="24"/>
                <w:szCs w:val="24"/>
                <w:lang w:val="en-US" w:eastAsia="zh-CN" w:bidi="ar-SA"/>
              </w:rPr>
            </w:pPr>
            <w:r>
              <w:rPr>
                <w:rFonts w:hint="eastAsia"/>
                <w:sz w:val="24"/>
              </w:rPr>
              <w:t xml:space="preserve">毒死蜱、氟虫腈</w:t>
            </w:r>
            <w:r/>
          </w:p>
        </w:tc>
      </w:tr>
      <w:tr>
        <w:trPr/>
        <w:tc>
          <w:tcPr>
            <w:shd w:val="clear" w:color="auto" w:fill="auto"/>
            <w:tcW w:w="1354" w:type="dxa"/>
            <w:vAlign w:val="center"/>
            <w:textDirection w:val="lrTb"/>
            <w:noWrap w:val="false"/>
          </w:tcPr>
          <w:p>
            <w:pPr>
              <w:jc w:val="center"/>
              <w:rPr>
                <w:rFonts w:hint="eastAsia" w:asciiTheme="minorHAnsi" w:hAnsiTheme="minorHAnsi" w:eastAsiaTheme="minorEastAsia" w:cstheme="minorBidi"/>
                <w:b/>
                <w:bCs/>
                <w:sz w:val="24"/>
                <w:szCs w:val="24"/>
                <w:lang w:val="en-US" w:eastAsia="zh-CN" w:bidi="ar-SA"/>
              </w:rPr>
            </w:pPr>
            <w:r>
              <w:rPr>
                <w:rFonts w:hint="eastAsia"/>
                <w:b/>
                <w:bCs/>
                <w:sz w:val="24"/>
              </w:rPr>
              <w:t xml:space="preserve">甘薯</w:t>
            </w:r>
            <w:r/>
          </w:p>
        </w:tc>
        <w:tc>
          <w:tcPr>
            <w:shd w:val="clear" w:color="auto" w:fill="auto"/>
            <w:tcW w:w="4460" w:type="dxa"/>
            <w:vAlign w:val="center"/>
            <w:textDirection w:val="lrTb"/>
            <w:noWrap w:val="false"/>
          </w:tcPr>
          <w:p>
            <w:pPr>
              <w:jc w:val="center"/>
              <w:rPr>
                <w:rFonts w:hint="eastAsia" w:asciiTheme="minorHAnsi" w:hAnsiTheme="minorHAnsi" w:eastAsiaTheme="minorEastAsia" w:cstheme="minorBidi"/>
                <w:sz w:val="24"/>
                <w:szCs w:val="24"/>
                <w:lang w:val="en-US" w:eastAsia="zh-CN" w:bidi="ar-SA"/>
              </w:rPr>
            </w:pPr>
            <w:r>
              <w:rPr>
                <w:rFonts w:hint="eastAsia"/>
                <w:sz w:val="24"/>
              </w:rPr>
              <w:t xml:space="preserve">氟虫腈</w:t>
            </w:r>
            <w:r/>
          </w:p>
        </w:tc>
        <w:tc>
          <w:tcPr>
            <w:shd w:val="clear" w:color="auto" w:fill="auto"/>
            <w:tcW w:w="3498" w:type="dxa"/>
            <w:vAlign w:val="center"/>
            <w:textDirection w:val="lrTb"/>
            <w:noWrap w:val="false"/>
          </w:tcPr>
          <w:p>
            <w:pPr>
              <w:jc w:val="center"/>
              <w:rPr>
                <w:rFonts w:hint="eastAsia" w:asciiTheme="minorHAnsi" w:hAnsiTheme="minorHAnsi" w:eastAsiaTheme="minorEastAsia" w:cstheme="minorBidi"/>
                <w:sz w:val="24"/>
                <w:szCs w:val="24"/>
                <w:lang w:val="en-US" w:eastAsia="zh-CN" w:bidi="ar-SA"/>
              </w:rPr>
            </w:pPr>
            <w:r>
              <w:rPr>
                <w:rFonts w:hint="eastAsia"/>
                <w:sz w:val="24"/>
              </w:rPr>
              <w:t xml:space="preserve">毒死蜱</w:t>
            </w:r>
            <w:r/>
          </w:p>
        </w:tc>
      </w:tr>
      <w:tr>
        <w:trPr/>
        <w:tc>
          <w:tcPr>
            <w:shd w:val="clear" w:color="auto" w:fill="auto"/>
            <w:tcW w:w="1354" w:type="dxa"/>
            <w:vAlign w:val="center"/>
            <w:textDirection w:val="lrTb"/>
            <w:noWrap w:val="false"/>
          </w:tcPr>
          <w:p>
            <w:pPr>
              <w:jc w:val="center"/>
              <w:rPr>
                <w:rFonts w:hint="eastAsia" w:asciiTheme="minorHAnsi" w:hAnsiTheme="minorHAnsi" w:eastAsiaTheme="minorEastAsia" w:cstheme="minorBidi"/>
                <w:b/>
                <w:bCs/>
                <w:sz w:val="24"/>
                <w:szCs w:val="24"/>
                <w:lang w:val="en-US" w:eastAsia="zh-CN" w:bidi="ar-SA"/>
              </w:rPr>
            </w:pPr>
            <w:r>
              <w:rPr>
                <w:rFonts w:hint="eastAsia"/>
                <w:b/>
                <w:bCs/>
                <w:sz w:val="24"/>
              </w:rPr>
              <w:t xml:space="preserve">荔枝</w:t>
            </w:r>
            <w:r/>
          </w:p>
        </w:tc>
        <w:tc>
          <w:tcPr>
            <w:shd w:val="clear" w:color="auto" w:fill="auto"/>
            <w:tcW w:w="4460" w:type="dxa"/>
            <w:vAlign w:val="center"/>
            <w:textDirection w:val="lrTb"/>
            <w:noWrap w:val="false"/>
          </w:tcPr>
          <w:p>
            <w:pPr>
              <w:jc w:val="center"/>
              <w:rPr>
                <w:rFonts w:hint="eastAsia" w:asciiTheme="minorHAnsi" w:hAnsiTheme="minorHAnsi" w:eastAsiaTheme="minorEastAsia" w:cstheme="minorBidi"/>
                <w:sz w:val="24"/>
                <w:szCs w:val="24"/>
                <w:lang w:val="en-US" w:eastAsia="zh-CN" w:bidi="ar-SA"/>
              </w:rPr>
            </w:pPr>
            <w:r>
              <w:rPr>
                <w:rFonts w:hint="eastAsia" w:asciiTheme="minorHAnsi" w:hAnsiTheme="minorHAnsi" w:eastAsiaTheme="minorEastAsia" w:cstheme="minorBidi"/>
                <w:sz w:val="24"/>
                <w:szCs w:val="24"/>
                <w:lang w:val="en-US" w:eastAsia="zh-CN" w:bidi="ar-SA"/>
              </w:rPr>
            </w:r>
            <w:r/>
          </w:p>
        </w:tc>
        <w:tc>
          <w:tcPr>
            <w:shd w:val="clear" w:color="auto" w:fill="auto"/>
            <w:tcW w:w="3498" w:type="dxa"/>
            <w:vAlign w:val="center"/>
            <w:textDirection w:val="lrTb"/>
            <w:noWrap w:val="false"/>
          </w:tcPr>
          <w:p>
            <w:pPr>
              <w:jc w:val="center"/>
              <w:rPr>
                <w:rFonts w:hint="eastAsia" w:asciiTheme="minorHAnsi" w:hAnsiTheme="minorHAnsi" w:eastAsiaTheme="minorEastAsia" w:cstheme="minorBidi"/>
                <w:sz w:val="24"/>
                <w:szCs w:val="24"/>
                <w:lang w:val="en-US" w:eastAsia="zh-CN" w:bidi="ar-SA"/>
              </w:rPr>
            </w:pPr>
            <w:r>
              <w:rPr>
                <w:sz w:val="24"/>
              </w:rPr>
              <w:t xml:space="preserve">氧乐果、克百威</w:t>
            </w:r>
            <w:r/>
          </w:p>
        </w:tc>
      </w:tr>
      <w:tr>
        <w:trPr/>
        <w:tc>
          <w:tcPr>
            <w:tcW w:w="1354" w:type="dxa"/>
            <w:vAlign w:val="center"/>
            <w:textDirection w:val="lrTb"/>
            <w:noWrap w:val="false"/>
          </w:tcPr>
          <w:p>
            <w:pPr>
              <w:jc w:val="center"/>
              <w:rPr>
                <w:rFonts w:hint="default"/>
                <w:b/>
                <w:bCs/>
                <w:sz w:val="21"/>
                <w:szCs w:val="21"/>
                <w:lang w:val="en-US" w:eastAsia="zh-CN"/>
              </w:rPr>
            </w:pPr>
            <w:r>
              <w:rPr>
                <w:rFonts w:hint="eastAsia" w:asciiTheme="minorHAnsi" w:hAnsiTheme="minorHAnsi" w:eastAsiaTheme="minorEastAsia" w:cstheme="minorBidi"/>
                <w:b/>
                <w:bCs/>
                <w:sz w:val="24"/>
                <w:szCs w:val="24"/>
                <w:lang w:val="en-US" w:eastAsia="zh-CN" w:bidi="ar-SA"/>
              </w:rPr>
              <w:t xml:space="preserve">螃蟹</w:t>
            </w:r>
            <w:r/>
          </w:p>
        </w:tc>
        <w:tc>
          <w:tcPr>
            <w:tcW w:w="4460" w:type="dxa"/>
            <w:vAlign w:val="center"/>
            <w:textDirection w:val="lrTb"/>
            <w:noWrap w:val="false"/>
          </w:tcPr>
          <w:p>
            <w:pPr>
              <w:jc w:val="center"/>
              <w:rPr>
                <w:rFonts w:hint="default"/>
                <w:sz w:val="24"/>
                <w:lang w:val="en-US" w:eastAsia="zh-CN"/>
              </w:rPr>
            </w:pPr>
            <w:r>
              <w:rPr>
                <w:rFonts w:hint="eastAsia"/>
                <w:sz w:val="24"/>
                <w:lang w:val="en-US" w:eastAsia="zh-CN"/>
              </w:rPr>
              <w:t xml:space="preserve">呋喃四项、氯霉素、洛美沙星、氧氟沙星</w:t>
            </w:r>
            <w:r/>
          </w:p>
        </w:tc>
        <w:tc>
          <w:tcPr>
            <w:tcW w:w="3498" w:type="dxa"/>
            <w:vAlign w:val="center"/>
            <w:textDirection w:val="lrTb"/>
            <w:noWrap w:val="false"/>
          </w:tcPr>
          <w:p>
            <w:pPr>
              <w:jc w:val="center"/>
              <w:rPr>
                <w:rFonts w:hint="eastAsia"/>
                <w:sz w:val="24"/>
                <w:lang w:val="en-US" w:eastAsia="zh-CN"/>
              </w:rPr>
            </w:pPr>
            <w:r>
              <w:rPr>
                <w:rFonts w:hint="eastAsia"/>
                <w:sz w:val="24"/>
                <w:lang w:val="en-US" w:eastAsia="zh-CN"/>
              </w:rPr>
            </w:r>
            <w:r/>
          </w:p>
        </w:tc>
      </w:tr>
      <w:tr>
        <w:trPr/>
        <w:tc>
          <w:tcPr>
            <w:tcW w:w="1354" w:type="dxa"/>
            <w:vAlign w:val="center"/>
            <w:textDirection w:val="lrTb"/>
            <w:noWrap w:val="false"/>
          </w:tcPr>
          <w:p>
            <w:pPr>
              <w:jc w:val="center"/>
              <w:rPr>
                <w:rFonts w:hint="default" w:asciiTheme="minorHAnsi" w:hAnsiTheme="minorHAnsi" w:eastAsiaTheme="minorEastAsia" w:cstheme="minorBidi"/>
                <w:b/>
                <w:bCs/>
                <w:sz w:val="24"/>
                <w:szCs w:val="24"/>
                <w:lang w:val="en-US" w:eastAsia="zh-CN" w:bidi="ar-SA"/>
              </w:rPr>
            </w:pPr>
            <w:r>
              <w:rPr>
                <w:rFonts w:hint="eastAsia" w:cstheme="minorBidi"/>
                <w:b/>
                <w:bCs/>
                <w:sz w:val="24"/>
                <w:szCs w:val="24"/>
                <w:lang w:val="en-US" w:eastAsia="zh-CN" w:bidi="ar-SA"/>
              </w:rPr>
              <w:t xml:space="preserve">其余水果、蔬菜</w:t>
            </w:r>
            <w:r/>
          </w:p>
        </w:tc>
        <w:tc>
          <w:tcPr>
            <w:tcW w:w="4460" w:type="dxa"/>
            <w:vAlign w:val="center"/>
            <w:textDirection w:val="lrTb"/>
            <w:noWrap w:val="false"/>
          </w:tcPr>
          <w:p>
            <w:pPr>
              <w:jc w:val="center"/>
              <w:rPr>
                <w:rFonts w:hint="default"/>
                <w:sz w:val="24"/>
                <w:lang w:val="en-US" w:eastAsia="zh-CN"/>
              </w:rPr>
            </w:pPr>
            <w:r/>
            <w:bookmarkStart w:id="180" w:name="OLE_LINK2"/>
            <w:r>
              <w:rPr>
                <w:rFonts w:hint="eastAsia"/>
                <w:sz w:val="24"/>
                <w:lang w:val="en-US" w:eastAsia="zh-CN"/>
              </w:rPr>
              <w:t xml:space="preserve">有机磷及氨基甲酸酯</w:t>
            </w:r>
            <w:bookmarkEnd w:id="180"/>
            <w:r/>
            <w:r/>
          </w:p>
        </w:tc>
        <w:tc>
          <w:tcPr>
            <w:tcW w:w="3498" w:type="dxa"/>
            <w:vAlign w:val="center"/>
            <w:textDirection w:val="lrTb"/>
            <w:noWrap w:val="false"/>
          </w:tcPr>
          <w:p>
            <w:pPr>
              <w:jc w:val="center"/>
              <w:rPr>
                <w:rFonts w:hint="eastAsia"/>
                <w:sz w:val="24"/>
                <w:lang w:val="en-US" w:eastAsia="zh-CN"/>
              </w:rPr>
            </w:pPr>
            <w:r>
              <w:rPr>
                <w:rFonts w:hint="eastAsia"/>
                <w:sz w:val="24"/>
                <w:lang w:val="en-US" w:eastAsia="zh-CN"/>
              </w:rPr>
            </w:r>
            <w:r/>
          </w:p>
        </w:tc>
      </w:tr>
    </w:tbl>
    <w:p>
      <w:pPr>
        <w:pStyle w:val="873"/>
        <w:numPr>
          <w:ilvl w:val="0"/>
          <w:numId w:val="0"/>
        </w:numPr>
        <w:keepLines w:val="0"/>
        <w:keepNext w:val="0"/>
        <w:pageBreakBefore w:val="0"/>
        <w:spacing w:line="480" w:lineRule="exact"/>
        <w:rPr>
          <w:rFonts w:hint="eastAsia" w:ascii="宋体" w:hAnsi="宋体" w:eastAsia="宋体" w:cs="宋体"/>
          <w:sz w:val="24"/>
          <w:szCs w:val="24"/>
          <w:lang w:val="en-US" w:eastAsia="zh-CN" w:bidi="ar-SA"/>
        </w:rPr>
      </w:pPr>
      <w:r>
        <w:rPr>
          <w:rFonts w:hint="eastAsia" w:ascii="宋体" w:hAnsi="宋体" w:eastAsia="宋体" w:cs="宋体"/>
          <w:color w:val="000000"/>
          <w:sz w:val="24"/>
          <w:szCs w:val="24"/>
          <w:lang w:val="en-US" w:eastAsia="zh-CN" w:bidi="ar-SA"/>
        </w:rPr>
        <w:t xml:space="preserve">（</w:t>
      </w:r>
      <w:r>
        <w:rPr>
          <w:rFonts w:hint="eastAsia" w:cs="宋体"/>
          <w:color w:val="000000"/>
          <w:sz w:val="24"/>
          <w:szCs w:val="24"/>
          <w:lang w:val="en-US" w:eastAsia="zh-CN" w:bidi="ar-SA"/>
        </w:rPr>
        <w:t xml:space="preserve">2</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sz w:val="24"/>
          <w:szCs w:val="24"/>
          <w:lang w:val="en-US" w:eastAsia="zh-CN" w:bidi="ar-SA"/>
        </w:rPr>
        <w:t xml:space="preserve">专项整治要求</w:t>
      </w:r>
      <w:r/>
    </w:p>
    <w:p>
      <w:pPr>
        <w:numPr>
          <w:ilvl w:val="0"/>
          <w:numId w:val="0"/>
        </w:numPr>
        <w:ind w:firstLine="480"/>
        <w:jc w:val="both"/>
        <w:keepLines w:val="0"/>
        <w:keepNext w:val="0"/>
        <w:pageBreakBefore w:val="0"/>
        <w:spacing w:line="48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1）农贸市场</w:t>
      </w:r>
      <w:r/>
    </w:p>
    <w:p>
      <w:pPr>
        <w:ind w:firstLine="787"/>
        <w:keepLines w:val="0"/>
        <w:keepNext w:val="0"/>
        <w:pageBreakBefore w:val="0"/>
        <w:spacing w:line="480" w:lineRule="exact"/>
        <w:widowControl w:val="off"/>
        <w:rPr>
          <w:rFonts w:hint="eastAsia" w:ascii="宋体" w:hAnsi="宋体" w:eastAsia="宋体" w:cs="宋体"/>
          <w:sz w:val="24"/>
          <w:szCs w:val="24"/>
          <w:highlight w:val="yellow"/>
          <w:lang w:val="en-US" w:eastAsia="zh-CN"/>
        </w:rPr>
      </w:pPr>
      <w:r>
        <w:rPr>
          <w:rFonts w:hint="eastAsia" w:ascii="宋体" w:hAnsi="宋体" w:cs="宋体"/>
          <w:sz w:val="24"/>
          <w:highlight w:val="none"/>
        </w:rPr>
        <w:t xml:space="preserve">鳊鱼</w:t>
      </w:r>
      <w:r>
        <w:rPr>
          <w:rFonts w:hint="eastAsia" w:ascii="宋体" w:hAnsi="宋体" w:eastAsia="宋体" w:cs="宋体"/>
          <w:sz w:val="24"/>
          <w:highlight w:val="none"/>
          <w:lang w:eastAsia="zh-CN"/>
        </w:rPr>
        <w:t xml:space="preserve">天天检</w:t>
      </w:r>
      <w:r>
        <w:rPr>
          <w:rFonts w:hint="eastAsia" w:ascii="宋体" w:hAnsi="宋体" w:cs="宋体"/>
          <w:sz w:val="24"/>
          <w:highlight w:val="none"/>
        </w:rPr>
        <w:t xml:space="preserve">、泥鳅、牛蛙、黄鳝</w:t>
      </w:r>
      <w:r>
        <w:rPr>
          <w:rFonts w:hint="eastAsia" w:ascii="宋体" w:hAnsi="宋体" w:eastAsia="宋体" w:cs="宋体"/>
          <w:sz w:val="24"/>
          <w:highlight w:val="none"/>
          <w:lang w:eastAsia="zh-CN"/>
        </w:rPr>
        <w:t xml:space="preserve">每周</w:t>
      </w:r>
      <w:r>
        <w:rPr>
          <w:rFonts w:hint="eastAsia" w:ascii="宋体" w:hAnsi="宋体" w:cs="宋体"/>
          <w:sz w:val="24"/>
          <w:highlight w:val="none"/>
        </w:rPr>
        <w:t xml:space="preserve">检一次</w:t>
      </w:r>
      <w:r>
        <w:rPr>
          <w:rFonts w:hint="eastAsia" w:ascii="宋体" w:hAnsi="宋体" w:eastAsia="宋体" w:cs="宋体"/>
          <w:sz w:val="24"/>
          <w:highlight w:val="none"/>
          <w:lang w:eastAsia="zh-CN"/>
        </w:rPr>
        <w:t xml:space="preserve">，</w:t>
      </w:r>
      <w:r>
        <w:rPr>
          <w:rFonts w:hint="eastAsia" w:ascii="宋体" w:hAnsi="宋体" w:cs="宋体"/>
          <w:sz w:val="24"/>
          <w:highlight w:val="none"/>
        </w:rPr>
        <w:t xml:space="preserve">检测参数</w:t>
      </w:r>
      <w:r>
        <w:rPr>
          <w:rFonts w:hint="eastAsia" w:ascii="宋体" w:hAnsi="宋体" w:eastAsia="宋体" w:cs="宋体"/>
          <w:sz w:val="24"/>
          <w:highlight w:val="none"/>
          <w:lang w:val="en-US" w:eastAsia="zh-CN"/>
        </w:rPr>
        <w:t xml:space="preserve">常规</w:t>
      </w:r>
      <w:r>
        <w:rPr>
          <w:rFonts w:hint="eastAsia" w:ascii="宋体" w:hAnsi="宋体" w:cs="宋体"/>
          <w:sz w:val="24"/>
          <w:highlight w:val="none"/>
        </w:rPr>
        <w:t xml:space="preserve">药物全检，禁</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停</w:t>
      </w:r>
      <w:r>
        <w:rPr>
          <w:rFonts w:hint="eastAsia" w:ascii="宋体" w:hAnsi="宋体" w:eastAsia="宋体" w:cs="宋体"/>
          <w:sz w:val="24"/>
          <w:highlight w:val="none"/>
          <w:lang w:eastAsia="zh-CN"/>
        </w:rPr>
        <w:t xml:space="preserve">）</w:t>
      </w:r>
      <w:r>
        <w:rPr>
          <w:rFonts w:hint="eastAsia" w:ascii="宋体" w:hAnsi="宋体" w:cs="宋体"/>
          <w:sz w:val="24"/>
          <w:highlight w:val="none"/>
        </w:rPr>
        <w:t xml:space="preserve">用药物周覆盖一个参数，</w:t>
      </w:r>
      <w:r>
        <w:rPr>
          <w:rFonts w:hint="eastAsia" w:ascii="宋体" w:hAnsi="宋体" w:eastAsia="宋体" w:cs="宋体"/>
          <w:sz w:val="24"/>
          <w:highlight w:val="none"/>
          <w:lang w:eastAsia="zh-CN"/>
        </w:rPr>
        <w:t xml:space="preserve">月内</w:t>
      </w:r>
      <w:r>
        <w:rPr>
          <w:rFonts w:hint="eastAsia" w:ascii="宋体" w:hAnsi="宋体" w:cs="宋体"/>
          <w:sz w:val="24"/>
          <w:highlight w:val="none"/>
        </w:rPr>
        <w:t xml:space="preserve">覆盖市场内所有经营商户；鲫鱼、大口黑鲈、乌鳢每</w:t>
      </w:r>
      <w:r>
        <w:rPr>
          <w:rFonts w:hint="eastAsia" w:ascii="宋体" w:hAnsi="宋体" w:eastAsia="宋体" w:cs="宋体"/>
          <w:sz w:val="24"/>
          <w:highlight w:val="none"/>
          <w:lang w:eastAsia="zh-CN"/>
        </w:rPr>
        <w:t xml:space="preserve">一</w:t>
      </w:r>
      <w:r>
        <w:rPr>
          <w:rFonts w:hint="eastAsia" w:ascii="宋体" w:hAnsi="宋体" w:cs="宋体"/>
          <w:sz w:val="24"/>
          <w:highlight w:val="none"/>
        </w:rPr>
        <w:t xml:space="preserve">周检一次，检测参数为恩诺环丙，月</w:t>
      </w:r>
      <w:r>
        <w:rPr>
          <w:rFonts w:hint="eastAsia" w:ascii="宋体" w:hAnsi="宋体" w:eastAsia="宋体" w:cs="宋体"/>
          <w:sz w:val="24"/>
          <w:highlight w:val="none"/>
          <w:lang w:eastAsia="zh-CN"/>
        </w:rPr>
        <w:t xml:space="preserve">内</w:t>
      </w:r>
      <w:r>
        <w:rPr>
          <w:rFonts w:hint="eastAsia" w:ascii="宋体" w:hAnsi="宋体" w:cs="宋体"/>
          <w:sz w:val="24"/>
          <w:highlight w:val="none"/>
        </w:rPr>
        <w:t xml:space="preserve">覆盖所有</w:t>
      </w:r>
      <w:r>
        <w:rPr>
          <w:rFonts w:hint="eastAsia" w:ascii="宋体" w:hAnsi="宋体" w:eastAsia="宋体" w:cs="宋体"/>
          <w:sz w:val="24"/>
          <w:highlight w:val="none"/>
          <w:lang w:val="en-US" w:eastAsia="zh-CN"/>
        </w:rPr>
        <w:t xml:space="preserve">经营</w:t>
      </w:r>
      <w:r>
        <w:rPr>
          <w:rFonts w:hint="eastAsia" w:ascii="宋体" w:hAnsi="宋体" w:cs="宋体"/>
          <w:sz w:val="24"/>
          <w:highlight w:val="none"/>
        </w:rPr>
        <w:t xml:space="preserve">商户。豇豆、芹菜、葱天天检</w:t>
      </w:r>
      <w:r>
        <w:rPr>
          <w:rFonts w:hint="eastAsia" w:ascii="宋体" w:hAnsi="宋体" w:eastAsia="宋体" w:cs="宋体"/>
          <w:sz w:val="24"/>
          <w:highlight w:val="none"/>
          <w:lang w:eastAsia="zh-CN"/>
        </w:rPr>
        <w:t xml:space="preserve">（每天三选一）</w:t>
      </w:r>
      <w:r>
        <w:rPr>
          <w:rFonts w:hint="eastAsia" w:ascii="宋体" w:hAnsi="宋体" w:cs="宋体"/>
          <w:sz w:val="24"/>
          <w:highlight w:val="none"/>
        </w:rPr>
        <w:t xml:space="preserve">，每次检测</w:t>
      </w:r>
      <w:r>
        <w:rPr>
          <w:rFonts w:hint="eastAsia" w:ascii="宋体" w:hAnsi="宋体" w:eastAsia="宋体" w:cs="宋体"/>
          <w:sz w:val="24"/>
          <w:highlight w:val="none"/>
          <w:lang w:eastAsia="zh-CN"/>
        </w:rPr>
        <w:t xml:space="preserve">二</w:t>
      </w:r>
      <w:r>
        <w:rPr>
          <w:rFonts w:hint="eastAsia" w:ascii="宋体" w:hAnsi="宋体" w:cs="宋体"/>
          <w:sz w:val="24"/>
          <w:highlight w:val="none"/>
        </w:rPr>
        <w:t xml:space="preserve">个参数，周覆盖所有参数，一周覆盖市场内所有经营商户；蛋天天检，每次检测一个参数，周覆盖所有参数，一周覆盖市场内所有经营商户；甘薯、海参、荔枝每周检一次，每次检测一个参数</w:t>
      </w:r>
      <w:r>
        <w:rPr>
          <w:rFonts w:hint="eastAsia" w:ascii="宋体" w:hAnsi="宋体" w:eastAsia="宋体" w:cs="宋体"/>
          <w:sz w:val="24"/>
          <w:highlight w:val="none"/>
          <w:lang w:eastAsia="zh-CN"/>
        </w:rPr>
        <w:t xml:space="preserve">；市场中其他农产品检测每月全覆盖</w:t>
      </w:r>
      <w:r>
        <w:rPr>
          <w:rFonts w:hint="eastAsia" w:ascii="宋体" w:hAnsi="宋体" w:cs="宋体"/>
          <w:sz w:val="24"/>
          <w:highlight w:val="none"/>
        </w:rPr>
        <w:t xml:space="preserve">。</w:t>
      </w:r>
      <w:r/>
    </w:p>
    <w:p>
      <w:pPr>
        <w:numPr>
          <w:ilvl w:val="0"/>
          <w:numId w:val="0"/>
        </w:numPr>
        <w:ind w:firstLine="480"/>
        <w:jc w:val="both"/>
        <w:keepLines w:val="0"/>
        <w:keepNext w:val="0"/>
        <w:pageBreakBefore w:val="0"/>
        <w:spacing w:line="48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2）批发市场</w:t>
      </w:r>
      <w:r/>
    </w:p>
    <w:p>
      <w:pPr>
        <w:pStyle w:val="873"/>
        <w:numPr>
          <w:ilvl w:val="0"/>
          <w:numId w:val="0"/>
        </w:numPr>
        <w:ind w:firstLine="720"/>
        <w:keepLines w:val="0"/>
        <w:keepNext w:val="0"/>
        <w:pageBreakBefore w:val="0"/>
        <w:spacing w:line="480" w:lineRule="exact"/>
        <w:rPr>
          <w:rFonts w:hint="eastAsia" w:ascii="宋体" w:hAnsi="宋体" w:cs="宋体"/>
          <w:color w:val="auto"/>
          <w:sz w:val="24"/>
        </w:rPr>
      </w:pPr>
      <w:r>
        <w:rPr>
          <w:rFonts w:hint="eastAsia" w:ascii="宋体" w:hAnsi="宋体" w:cs="宋体"/>
          <w:color w:val="auto"/>
          <w:sz w:val="24"/>
        </w:rPr>
        <w:t xml:space="preserve">入场批批检，</w:t>
      </w:r>
      <w:r>
        <w:rPr>
          <w:rFonts w:hint="eastAsia" w:ascii="宋体" w:hAnsi="宋体" w:eastAsia="宋体" w:cs="宋体"/>
          <w:color w:val="auto"/>
          <w:sz w:val="24"/>
          <w:lang w:val="en-US" w:eastAsia="zh-CN"/>
        </w:rPr>
        <w:t xml:space="preserve">检测参数根据甲方要求实施</w:t>
      </w:r>
      <w:r>
        <w:rPr>
          <w:rFonts w:hint="eastAsia" w:ascii="宋体" w:hAnsi="宋体" w:cs="宋体"/>
          <w:color w:val="auto"/>
          <w:sz w:val="24"/>
        </w:rPr>
        <w:t xml:space="preserve">。</w:t>
      </w:r>
      <w:r/>
    </w:p>
    <w:p>
      <w:pPr>
        <w:pStyle w:val="873"/>
        <w:numPr>
          <w:ilvl w:val="0"/>
          <w:numId w:val="0"/>
        </w:numPr>
        <w:ind w:firstLine="480"/>
        <w:keepLines w:val="0"/>
        <w:keepNext w:val="0"/>
        <w:pageBreakBefore w:val="0"/>
        <w:spacing w:line="480" w:lineRule="exact"/>
        <w:rPr>
          <w:rFonts w:hint="eastAsia" w:ascii="宋体" w:hAnsi="宋体" w:eastAsia="宋体" w:cs="宋体"/>
          <w:color w:val="auto"/>
          <w:sz w:val="24"/>
          <w:lang w:val="en-US" w:eastAsia="zh-CN"/>
        </w:rPr>
      </w:pPr>
      <w:r>
        <w:rPr>
          <w:rFonts w:hint="eastAsia" w:ascii="宋体" w:hAnsi="宋体" w:cs="宋体"/>
          <w:color w:val="auto"/>
          <w:sz w:val="24"/>
          <w:lang w:val="en-US" w:eastAsia="zh-CN"/>
        </w:rPr>
        <w:t xml:space="preserve">3）具体检测工作机制按甲方需求作动态调整。</w:t>
      </w:r>
      <w:r/>
    </w:p>
    <w:p>
      <w:pPr>
        <w:keepLines/>
        <w:keepNext/>
        <w:spacing w:line="360" w:lineRule="auto"/>
        <w:rPr>
          <w:rFonts w:hint="eastAsia"/>
          <w:b/>
          <w:sz w:val="28"/>
        </w:rPr>
        <w:outlineLvl w:val="2"/>
      </w:pPr>
      <w:r>
        <w:rPr>
          <w:rFonts w:hint="eastAsia"/>
          <w:b/>
          <w:sz w:val="28"/>
        </w:rPr>
        <w:t xml:space="preserve">6、检测数据</w:t>
      </w:r>
      <w:r/>
    </w:p>
    <w:p>
      <w:pPr>
        <w:contextualSpacing/>
        <w:ind w:firstLine="480"/>
        <w:spacing w:line="360" w:lineRule="auto"/>
        <w:tabs>
          <w:tab w:val="left" w:pos="1710" w:leader="none"/>
        </w:tabs>
        <w:rPr>
          <w:rFonts w:hint="eastAsia" w:ascii="宋体" w:hAnsi="宋体" w:cs="宋体"/>
          <w:b/>
          <w:bCs/>
          <w:sz w:val="24"/>
        </w:rPr>
      </w:pPr>
      <w:r>
        <w:rPr>
          <w:rFonts w:hint="eastAsia" w:ascii="宋体" w:hAnsi="宋体" w:cs="宋体"/>
          <w:color w:val="000000"/>
          <w:sz w:val="24"/>
          <w:lang w:bidi="ar"/>
        </w:rPr>
        <w:t xml:space="preserve">投标人</w:t>
      </w:r>
      <w:r>
        <w:rPr>
          <w:rFonts w:hint="eastAsia" w:ascii="宋体" w:hAnsi="宋体" w:cs="宋体"/>
          <w:sz w:val="24"/>
        </w:rPr>
        <w:t xml:space="preserve">需搭建</w:t>
      </w:r>
      <w:r>
        <w:rPr>
          <w:rFonts w:hint="eastAsia" w:ascii="宋体" w:hAnsi="宋体" w:eastAsia="宋体" w:cs="宋体"/>
          <w:sz w:val="24"/>
          <w:lang w:val="en-US" w:eastAsia="zh-CN"/>
        </w:rPr>
        <w:t xml:space="preserve">阜宁</w:t>
      </w:r>
      <w:r>
        <w:rPr>
          <w:rFonts w:hint="eastAsia" w:ascii="宋体" w:hAnsi="宋体" w:cs="宋体"/>
          <w:sz w:val="24"/>
        </w:rPr>
        <w:t xml:space="preserve">县食品安全检测监管系统平台，并保证一年运营期内将采样信息、检测数据等信息自动实时上传至盐城市市场监督管理局搭建的快检系统平台，并按要求在公示大屏进行公示，所有检测数据信息归采购方所有，不得外传并</w:t>
      </w:r>
      <w:r>
        <w:rPr>
          <w:rFonts w:hint="eastAsia" w:ascii="宋体" w:hAnsi="宋体" w:eastAsia="宋体" w:cs="宋体"/>
          <w:sz w:val="24"/>
          <w:lang w:val="en-US" w:eastAsia="zh-CN"/>
        </w:rPr>
        <w:t xml:space="preserve">须</w:t>
      </w:r>
      <w:r>
        <w:rPr>
          <w:rFonts w:hint="eastAsia" w:ascii="宋体" w:hAnsi="宋体" w:cs="宋体"/>
          <w:sz w:val="24"/>
        </w:rPr>
        <w:t xml:space="preserve">为采购人保存至少两年。</w:t>
      </w:r>
      <w:r/>
    </w:p>
    <w:p>
      <w:pPr>
        <w:keepLines/>
        <w:keepNext/>
        <w:spacing w:line="360" w:lineRule="auto"/>
        <w:rPr>
          <w:rFonts w:hint="eastAsia"/>
          <w:b/>
          <w:color w:val="auto"/>
          <w:sz w:val="28"/>
          <w:highlight w:val="none"/>
        </w:rPr>
        <w:outlineLvl w:val="2"/>
      </w:pPr>
      <w:r>
        <w:rPr>
          <w:rFonts w:hint="eastAsia"/>
          <w:b/>
          <w:color w:val="auto"/>
          <w:sz w:val="28"/>
          <w:highlight w:val="none"/>
        </w:rPr>
        <w:t xml:space="preserve">7、快检标准和方法</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严格按照有关规定和标准进行检测。食品快速检测方法按照国家食品药品监督管理总局发布的公告中规定的胶体金层析分析法执行（未发布公告的类别除外）。使用的检测设备和耗材满足现场快速检测需要及相关安全质量技术标准要求，灵敏度高，结果可靠。因投标人使用不合格快速检测设备和耗材造成的后果由投标人负责。</w:t>
      </w:r>
      <w:r/>
    </w:p>
    <w:tbl>
      <w:tblPr>
        <w:tblStyle w:val="689"/>
        <w:tblW w:w="8924" w:type="dxa"/>
        <w:tblInd w:w="0" w:type="dxa"/>
        <w:tblLayout w:type="fixed"/>
        <w:tblCellMar>
          <w:left w:w="108" w:type="dxa"/>
          <w:top w:w="0" w:type="dxa"/>
          <w:right w:w="108" w:type="dxa"/>
          <w:bottom w:w="0" w:type="dxa"/>
        </w:tblCellMar>
        <w:tblLook w:val="04A0" w:firstRow="1" w:lastRow="0" w:firstColumn="1" w:lastColumn="0" w:noHBand="0" w:noVBand="1"/>
      </w:tblPr>
      <w:tblGrid>
        <w:gridCol w:w="995"/>
        <w:gridCol w:w="2393"/>
        <w:gridCol w:w="5536"/>
      </w:tblGrid>
      <w:tr>
        <w:trPr>
          <w:tblHeader/>
        </w:trPr>
        <w:tc>
          <w:tcPr>
            <w:tcBorders>
              <w:top w:val="single" w:color="000000" w:sz="8" w:space="0"/>
              <w:left w:val="single" w:color="000000" w:sz="8" w:space="0"/>
              <w:bottom w:val="single" w:color="000000" w:sz="4" w:space="0"/>
              <w:right w:val="single" w:color="000000" w:sz="4" w:space="0"/>
            </w:tcBorders>
            <w:tcW w:w="995" w:type="dxa"/>
            <w:vAlign w:val="center"/>
            <w:textDirection w:val="lrTb"/>
            <w:noWrap w:val="false"/>
          </w:tcPr>
          <w:p>
            <w:pPr>
              <w:jc w:val="center"/>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序号</w:t>
            </w:r>
            <w:r/>
          </w:p>
        </w:tc>
        <w:tc>
          <w:tcPr>
            <w:tcBorders>
              <w:top w:val="single" w:color="000000" w:sz="8" w:space="0"/>
              <w:left w:val="single" w:color="000000" w:sz="4" w:space="0"/>
              <w:bottom w:val="single" w:color="000000" w:sz="4" w:space="0"/>
              <w:right w:val="single" w:color="000000" w:sz="4" w:space="0"/>
            </w:tcBorders>
            <w:tcW w:w="2393" w:type="dxa"/>
            <w:vAlign w:val="center"/>
            <w:textDirection w:val="lrTb"/>
            <w:noWrap w:val="false"/>
          </w:tcPr>
          <w:p>
            <w:pPr>
              <w:jc w:val="center"/>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检测项目</w:t>
            </w:r>
            <w:r/>
          </w:p>
        </w:tc>
        <w:tc>
          <w:tcPr>
            <w:tcBorders>
              <w:top w:val="single" w:color="000000" w:sz="8" w:space="0"/>
              <w:left w:val="single" w:color="000000" w:sz="4" w:space="0"/>
              <w:bottom w:val="single" w:color="000000" w:sz="4" w:space="0"/>
              <w:right w:val="single" w:color="000000" w:sz="4" w:space="0"/>
            </w:tcBorders>
            <w:tcW w:w="5536" w:type="dxa"/>
            <w:vAlign w:val="center"/>
            <w:textDirection w:val="lrTb"/>
            <w:noWrap w:val="false"/>
          </w:tcPr>
          <w:p>
            <w:pPr>
              <w:jc w:val="center"/>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参照标准/方法</w:t>
            </w:r>
            <w:r/>
          </w:p>
        </w:tc>
      </w:tr>
      <w:tr>
        <w:trPr/>
        <w:tc>
          <w:tcPr>
            <w:tcBorders>
              <w:top w:val="single" w:color="000000" w:sz="4" w:space="0"/>
              <w:left w:val="single" w:color="000000" w:sz="8" w:space="0"/>
              <w:bottom w:val="single" w:color="000000" w:sz="4" w:space="0"/>
              <w:right w:val="single" w:color="000000" w:sz="4" w:space="0"/>
            </w:tcBorders>
            <w:tcW w:w="99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239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恩诺沙星和环丙沙星</w:t>
            </w:r>
            <w:r/>
          </w:p>
        </w:tc>
        <w:tc>
          <w:tcPr>
            <w:tcBorders>
              <w:top w:val="single" w:color="000000" w:sz="4" w:space="0"/>
              <w:left w:val="single" w:color="000000" w:sz="4" w:space="0"/>
              <w:bottom w:val="single" w:color="000000" w:sz="4" w:space="0"/>
              <w:right w:val="single" w:color="000000" w:sz="4" w:space="0"/>
            </w:tcBorders>
            <w:tcW w:w="5536"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《GB 31650-2019 食品安全国家标准 食品中兽药最大残留限量》</w:t>
            </w:r>
            <w:r/>
          </w:p>
        </w:tc>
      </w:tr>
      <w:tr>
        <w:trPr/>
        <w:tc>
          <w:tcPr>
            <w:tcBorders>
              <w:top w:val="single" w:color="000000" w:sz="4" w:space="0"/>
              <w:left w:val="single" w:color="000000" w:sz="8" w:space="0"/>
              <w:bottom w:val="single" w:color="000000" w:sz="4" w:space="0"/>
              <w:right w:val="single" w:color="000000" w:sz="4" w:space="0"/>
            </w:tcBorders>
            <w:tcW w:w="99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239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磺胺类药物</w:t>
            </w:r>
            <w:r/>
          </w:p>
        </w:tc>
        <w:tc>
          <w:tcPr>
            <w:tcBorders>
              <w:top w:val="single" w:color="000000" w:sz="4" w:space="0"/>
              <w:left w:val="single" w:color="000000" w:sz="4" w:space="0"/>
              <w:bottom w:val="single" w:color="000000" w:sz="4" w:space="0"/>
              <w:right w:val="single" w:color="000000" w:sz="4" w:space="0"/>
            </w:tcBorders>
            <w:tcW w:w="5536"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《GB 31650-2019 食品安全国家标准 食品中兽药最大残留限量》</w:t>
            </w:r>
            <w:r/>
          </w:p>
        </w:tc>
      </w:tr>
      <w:tr>
        <w:trPr/>
        <w:tc>
          <w:tcPr>
            <w:tcBorders>
              <w:top w:val="single" w:color="000000" w:sz="4" w:space="0"/>
              <w:left w:val="single" w:color="000000" w:sz="8" w:space="0"/>
              <w:bottom w:val="single" w:color="000000" w:sz="4" w:space="0"/>
              <w:right w:val="single" w:color="000000" w:sz="4" w:space="0"/>
            </w:tcBorders>
            <w:tcW w:w="99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239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甲硝唑</w:t>
            </w:r>
            <w:r/>
          </w:p>
        </w:tc>
        <w:tc>
          <w:tcPr>
            <w:tcBorders>
              <w:top w:val="single" w:color="000000" w:sz="4" w:space="0"/>
              <w:left w:val="single" w:color="000000" w:sz="4" w:space="0"/>
              <w:bottom w:val="single" w:color="000000" w:sz="4" w:space="0"/>
              <w:right w:val="single" w:color="000000" w:sz="4" w:space="0"/>
            </w:tcBorders>
            <w:tcW w:w="5536"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《GB 31650-2019 食品安全国家标准 食品中兽药最大残留限量》；</w:t>
            </w:r>
            <w:r>
              <w:rPr>
                <w:rFonts w:ascii="Times New Roman" w:hAnsi="Times New Roman"/>
                <w:color w:val="auto"/>
                <w:szCs w:val="21"/>
                <w:highlight w:val="none"/>
              </w:rPr>
              <w:t xml:space="preserve">‌</w:t>
            </w:r>
            <w:r>
              <w:rPr>
                <w:rFonts w:ascii="宋体" w:hAnsi="宋体" w:cs="宋体"/>
                <w:color w:val="auto"/>
                <w:szCs w:val="21"/>
                <w:highlight w:val="none"/>
              </w:rPr>
              <w:t xml:space="preserve">GB 31650.1-2022</w:t>
            </w:r>
            <w:r>
              <w:rPr>
                <w:rFonts w:hint="eastAsia" w:ascii="宋体" w:hAnsi="宋体" w:cs="宋体"/>
                <w:color w:val="auto"/>
                <w:szCs w:val="21"/>
                <w:highlight w:val="none"/>
              </w:rPr>
              <w:t xml:space="preserve">《</w:t>
            </w:r>
            <w:r>
              <w:rPr>
                <w:rFonts w:ascii="宋体" w:hAnsi="宋体" w:cs="宋体"/>
                <w:color w:val="auto"/>
                <w:szCs w:val="21"/>
                <w:highlight w:val="none"/>
              </w:rPr>
              <w:t xml:space="preserve">食品安全国家标准 食品中41种兽药最大残留限量</w:t>
            </w:r>
            <w:r>
              <w:rPr>
                <w:rFonts w:hint="eastAsia" w:ascii="宋体" w:hAnsi="宋体" w:cs="宋体"/>
                <w:color w:val="auto"/>
                <w:szCs w:val="21"/>
                <w:highlight w:val="none"/>
              </w:rPr>
              <w:t xml:space="preserve">》</w:t>
            </w:r>
            <w:r>
              <w:rPr>
                <w:rFonts w:ascii="Times New Roman" w:hAnsi="Times New Roman"/>
                <w:color w:val="auto"/>
                <w:szCs w:val="21"/>
                <w:highlight w:val="none"/>
              </w:rPr>
              <w:t xml:space="preserve">‌</w:t>
            </w:r>
            <w:r/>
          </w:p>
        </w:tc>
      </w:tr>
      <w:tr>
        <w:trPr/>
        <w:tc>
          <w:tcPr>
            <w:tcBorders>
              <w:top w:val="single" w:color="000000" w:sz="4" w:space="0"/>
              <w:left w:val="single" w:color="000000" w:sz="8" w:space="0"/>
              <w:bottom w:val="single" w:color="000000" w:sz="4" w:space="0"/>
              <w:right w:val="single" w:color="000000" w:sz="4" w:space="0"/>
            </w:tcBorders>
            <w:tcW w:w="99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239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氟苯尼考和氟苯尼考胺</w:t>
            </w:r>
            <w:r/>
          </w:p>
        </w:tc>
        <w:tc>
          <w:tcPr>
            <w:tcBorders>
              <w:top w:val="single" w:color="000000" w:sz="4" w:space="0"/>
              <w:left w:val="single" w:color="000000" w:sz="4" w:space="0"/>
              <w:bottom w:val="single" w:color="000000" w:sz="4" w:space="0"/>
              <w:right w:val="single" w:color="000000" w:sz="4" w:space="0"/>
            </w:tcBorders>
            <w:tcW w:w="5536"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《GB 31650-2019 食品安全国家标准 食品中兽药最大残留限量》；</w:t>
            </w:r>
            <w:r>
              <w:rPr>
                <w:rFonts w:ascii="Times New Roman" w:hAnsi="Times New Roman"/>
                <w:color w:val="auto"/>
                <w:szCs w:val="21"/>
                <w:highlight w:val="none"/>
              </w:rPr>
              <w:t xml:space="preserve">‌</w:t>
            </w:r>
            <w:r>
              <w:rPr>
                <w:rFonts w:ascii="宋体" w:hAnsi="宋体" w:cs="宋体"/>
                <w:color w:val="auto"/>
                <w:szCs w:val="21"/>
                <w:highlight w:val="none"/>
              </w:rPr>
              <w:t xml:space="preserve">GB 31650.1-2022</w:t>
            </w:r>
            <w:r>
              <w:rPr>
                <w:rFonts w:hint="eastAsia" w:ascii="宋体" w:hAnsi="宋体" w:cs="宋体"/>
                <w:color w:val="auto"/>
                <w:szCs w:val="21"/>
                <w:highlight w:val="none"/>
              </w:rPr>
              <w:t xml:space="preserve">《</w:t>
            </w:r>
            <w:r>
              <w:rPr>
                <w:rFonts w:ascii="宋体" w:hAnsi="宋体" w:cs="宋体"/>
                <w:color w:val="auto"/>
                <w:szCs w:val="21"/>
                <w:highlight w:val="none"/>
              </w:rPr>
              <w:t xml:space="preserve">食品安全国家标准 食品中41种兽药最大残留限量</w:t>
            </w:r>
            <w:r>
              <w:rPr>
                <w:rFonts w:hint="eastAsia" w:ascii="宋体" w:hAnsi="宋体" w:cs="宋体"/>
                <w:color w:val="auto"/>
                <w:szCs w:val="21"/>
                <w:highlight w:val="none"/>
              </w:rPr>
              <w:t xml:space="preserve">》</w:t>
            </w:r>
            <w:r>
              <w:rPr>
                <w:rFonts w:ascii="Times New Roman" w:hAnsi="Times New Roman"/>
                <w:color w:val="auto"/>
                <w:szCs w:val="21"/>
                <w:highlight w:val="none"/>
              </w:rPr>
              <w:t xml:space="preserve">‌</w:t>
            </w:r>
            <w:r/>
          </w:p>
        </w:tc>
      </w:tr>
      <w:tr>
        <w:trPr/>
        <w:tc>
          <w:tcPr>
            <w:tcBorders>
              <w:top w:val="single" w:color="000000" w:sz="4" w:space="0"/>
              <w:left w:val="single" w:color="000000" w:sz="8" w:space="0"/>
              <w:bottom w:val="single" w:color="000000" w:sz="4" w:space="0"/>
              <w:right w:val="single" w:color="000000" w:sz="4" w:space="0"/>
            </w:tcBorders>
            <w:tcW w:w="99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239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氟苯尼考</w:t>
            </w:r>
            <w:r/>
          </w:p>
        </w:tc>
        <w:tc>
          <w:tcPr>
            <w:tcBorders>
              <w:top w:val="single" w:color="000000" w:sz="4" w:space="0"/>
              <w:left w:val="single" w:color="000000" w:sz="4" w:space="0"/>
              <w:bottom w:val="single" w:color="000000" w:sz="4" w:space="0"/>
              <w:right w:val="single" w:color="000000" w:sz="4" w:space="0"/>
            </w:tcBorders>
            <w:tcW w:w="5536"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《GB 31650-2019 食品安全国家标准 食品中兽药最大残留限量》；</w:t>
            </w:r>
            <w:r>
              <w:rPr>
                <w:rFonts w:ascii="Times New Roman" w:hAnsi="Times New Roman"/>
                <w:color w:val="auto"/>
                <w:szCs w:val="21"/>
                <w:highlight w:val="none"/>
              </w:rPr>
              <w:t xml:space="preserve">‌</w:t>
            </w:r>
            <w:r>
              <w:rPr>
                <w:rFonts w:ascii="宋体" w:hAnsi="宋体" w:cs="宋体"/>
                <w:color w:val="auto"/>
                <w:szCs w:val="21"/>
                <w:highlight w:val="none"/>
              </w:rPr>
              <w:t xml:space="preserve">GB 31650.1-2022</w:t>
            </w:r>
            <w:r>
              <w:rPr>
                <w:rFonts w:hint="eastAsia" w:ascii="宋体" w:hAnsi="宋体" w:cs="宋体"/>
                <w:color w:val="auto"/>
                <w:szCs w:val="21"/>
                <w:highlight w:val="none"/>
              </w:rPr>
              <w:t xml:space="preserve">《</w:t>
            </w:r>
            <w:r>
              <w:rPr>
                <w:rFonts w:ascii="宋体" w:hAnsi="宋体" w:cs="宋体"/>
                <w:color w:val="auto"/>
                <w:szCs w:val="21"/>
                <w:highlight w:val="none"/>
              </w:rPr>
              <w:t xml:space="preserve">食品安全国家标准 食品中41种兽药最大残留限量</w:t>
            </w:r>
            <w:r>
              <w:rPr>
                <w:rFonts w:hint="eastAsia" w:ascii="宋体" w:hAnsi="宋体" w:cs="宋体"/>
                <w:color w:val="auto"/>
                <w:szCs w:val="21"/>
                <w:highlight w:val="none"/>
              </w:rPr>
              <w:t xml:space="preserve">》</w:t>
            </w:r>
            <w:r>
              <w:rPr>
                <w:rFonts w:ascii="Times New Roman" w:hAnsi="Times New Roman"/>
                <w:color w:val="auto"/>
                <w:szCs w:val="21"/>
                <w:highlight w:val="none"/>
              </w:rPr>
              <w:t xml:space="preserve">‌</w:t>
            </w:r>
            <w:r/>
          </w:p>
        </w:tc>
      </w:tr>
      <w:tr>
        <w:trPr/>
        <w:tc>
          <w:tcPr>
            <w:tcBorders>
              <w:top w:val="single" w:color="000000" w:sz="4" w:space="0"/>
              <w:left w:val="single" w:color="000000" w:sz="8" w:space="0"/>
              <w:bottom w:val="single" w:color="000000" w:sz="4" w:space="0"/>
              <w:right w:val="single" w:color="000000" w:sz="4" w:space="0"/>
            </w:tcBorders>
            <w:tcW w:w="99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W w:w="239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多西环素</w:t>
            </w:r>
            <w:r/>
          </w:p>
        </w:tc>
        <w:tc>
          <w:tcPr>
            <w:tcBorders>
              <w:top w:val="single" w:color="000000" w:sz="4" w:space="0"/>
              <w:left w:val="single" w:color="000000" w:sz="4" w:space="0"/>
              <w:bottom w:val="single" w:color="000000" w:sz="4" w:space="0"/>
              <w:right w:val="single" w:color="000000" w:sz="4" w:space="0"/>
            </w:tcBorders>
            <w:tcW w:w="5536"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《GB 31650-2019 食品安全国家标准 食品中兽药最大残留限量》；</w:t>
            </w:r>
            <w:r>
              <w:rPr>
                <w:rFonts w:ascii="Times New Roman" w:hAnsi="Times New Roman"/>
                <w:color w:val="auto"/>
                <w:szCs w:val="21"/>
                <w:highlight w:val="none"/>
              </w:rPr>
              <w:t xml:space="preserve">‌</w:t>
            </w:r>
            <w:r>
              <w:rPr>
                <w:rFonts w:ascii="宋体" w:hAnsi="宋体" w:cs="宋体"/>
                <w:color w:val="auto"/>
                <w:szCs w:val="21"/>
                <w:highlight w:val="none"/>
              </w:rPr>
              <w:t xml:space="preserve">GB 31650.1-2022</w:t>
            </w:r>
            <w:r>
              <w:rPr>
                <w:rFonts w:hint="eastAsia" w:ascii="宋体" w:hAnsi="宋体" w:cs="宋体"/>
                <w:color w:val="auto"/>
                <w:szCs w:val="21"/>
                <w:highlight w:val="none"/>
              </w:rPr>
              <w:t xml:space="preserve">《</w:t>
            </w:r>
            <w:r>
              <w:rPr>
                <w:rFonts w:ascii="宋体" w:hAnsi="宋体" w:cs="宋体"/>
                <w:color w:val="auto"/>
                <w:szCs w:val="21"/>
                <w:highlight w:val="none"/>
              </w:rPr>
              <w:t xml:space="preserve">食品安全国家标准 食品中41种兽药最大残留限量</w:t>
            </w:r>
            <w:r>
              <w:rPr>
                <w:rFonts w:hint="eastAsia" w:ascii="宋体" w:hAnsi="宋体" w:cs="宋体"/>
                <w:color w:val="auto"/>
                <w:szCs w:val="21"/>
                <w:highlight w:val="none"/>
              </w:rPr>
              <w:t xml:space="preserve">》</w:t>
            </w:r>
            <w:r>
              <w:rPr>
                <w:rFonts w:ascii="Times New Roman" w:hAnsi="Times New Roman"/>
                <w:color w:val="auto"/>
                <w:szCs w:val="21"/>
                <w:highlight w:val="none"/>
              </w:rPr>
              <w:t xml:space="preserve">‌</w:t>
            </w:r>
            <w:r/>
          </w:p>
        </w:tc>
      </w:tr>
      <w:tr>
        <w:trPr/>
        <w:tc>
          <w:tcPr>
            <w:tcBorders>
              <w:top w:val="single" w:color="000000" w:sz="4" w:space="0"/>
              <w:left w:val="single" w:color="000000" w:sz="8" w:space="0"/>
              <w:bottom w:val="single" w:color="000000" w:sz="4" w:space="0"/>
              <w:right w:val="single" w:color="000000" w:sz="4" w:space="0"/>
            </w:tcBorders>
            <w:tcW w:w="99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W w:w="239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沙拉沙星</w:t>
            </w:r>
            <w:r/>
          </w:p>
        </w:tc>
        <w:tc>
          <w:tcPr>
            <w:tcBorders>
              <w:top w:val="single" w:color="000000" w:sz="4" w:space="0"/>
              <w:left w:val="single" w:color="000000" w:sz="4" w:space="0"/>
              <w:bottom w:val="single" w:color="000000" w:sz="4" w:space="0"/>
              <w:right w:val="single" w:color="000000" w:sz="4" w:space="0"/>
            </w:tcBorders>
            <w:tcW w:w="5536"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《GB 31650-2019 食品安全国家标准 食品中兽药最大残留限量》；</w:t>
            </w:r>
            <w:r>
              <w:rPr>
                <w:rFonts w:ascii="Times New Roman" w:hAnsi="Times New Roman"/>
                <w:color w:val="auto"/>
                <w:szCs w:val="21"/>
                <w:highlight w:val="none"/>
              </w:rPr>
              <w:t xml:space="preserve">‌</w:t>
            </w:r>
            <w:r>
              <w:rPr>
                <w:rFonts w:ascii="宋体" w:hAnsi="宋体" w:cs="宋体"/>
                <w:color w:val="auto"/>
                <w:szCs w:val="21"/>
                <w:highlight w:val="none"/>
              </w:rPr>
              <w:t xml:space="preserve">GB 31650.1-2022</w:t>
            </w:r>
            <w:r>
              <w:rPr>
                <w:rFonts w:hint="eastAsia" w:ascii="宋体" w:hAnsi="宋体" w:cs="宋体"/>
                <w:color w:val="auto"/>
                <w:szCs w:val="21"/>
                <w:highlight w:val="none"/>
              </w:rPr>
              <w:t xml:space="preserve">《</w:t>
            </w:r>
            <w:r>
              <w:rPr>
                <w:rFonts w:ascii="宋体" w:hAnsi="宋体" w:cs="宋体"/>
                <w:color w:val="auto"/>
                <w:szCs w:val="21"/>
                <w:highlight w:val="none"/>
              </w:rPr>
              <w:t xml:space="preserve">食品安全国家标准 食品中41种兽药最大残留限量</w:t>
            </w:r>
            <w:r>
              <w:rPr>
                <w:rFonts w:hint="eastAsia" w:ascii="宋体" w:hAnsi="宋体" w:cs="宋体"/>
                <w:color w:val="auto"/>
                <w:szCs w:val="21"/>
                <w:highlight w:val="none"/>
              </w:rPr>
              <w:t xml:space="preserve">》</w:t>
            </w:r>
            <w:r>
              <w:rPr>
                <w:rFonts w:ascii="Times New Roman" w:hAnsi="Times New Roman"/>
                <w:color w:val="auto"/>
                <w:szCs w:val="21"/>
                <w:highlight w:val="none"/>
              </w:rPr>
              <w:t xml:space="preserve">‌</w:t>
            </w:r>
            <w:r/>
          </w:p>
        </w:tc>
      </w:tr>
      <w:tr>
        <w:trPr/>
        <w:tc>
          <w:tcPr>
            <w:tcBorders>
              <w:top w:val="single" w:color="000000" w:sz="4" w:space="0"/>
              <w:left w:val="single" w:color="000000" w:sz="8" w:space="0"/>
              <w:bottom w:val="single" w:color="000000" w:sz="4" w:space="0"/>
              <w:right w:val="single" w:color="000000" w:sz="4" w:space="0"/>
            </w:tcBorders>
            <w:tcW w:w="99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W w:w="239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氟虫腈</w:t>
            </w:r>
            <w:r/>
          </w:p>
        </w:tc>
        <w:tc>
          <w:tcPr>
            <w:tcBorders>
              <w:top w:val="single" w:color="000000" w:sz="4" w:space="0"/>
              <w:left w:val="single" w:color="000000" w:sz="4" w:space="0"/>
              <w:bottom w:val="single" w:color="000000" w:sz="4" w:space="0"/>
              <w:right w:val="single" w:color="000000" w:sz="4" w:space="0"/>
            </w:tcBorders>
            <w:tcW w:w="5536" w:type="dxa"/>
            <w:vAlign w:val="center"/>
            <w:textDirection w:val="lrTb"/>
            <w:noWrap w:val="false"/>
          </w:tcPr>
          <w:p>
            <w:pPr>
              <w:jc w:val="left"/>
              <w:widowControl/>
              <w:rPr>
                <w:rFonts w:hint="eastAsia" w:ascii="宋体" w:hAnsi="宋体" w:cs="宋体"/>
                <w:color w:val="auto"/>
                <w:szCs w:val="21"/>
                <w:highlight w:val="none"/>
              </w:rPr>
            </w:pPr>
            <w:r>
              <w:rPr>
                <w:rFonts w:ascii="宋体" w:hAnsi="宋体" w:cs="宋体"/>
                <w:color w:val="auto"/>
                <w:szCs w:val="21"/>
                <w:highlight w:val="none"/>
              </w:rPr>
              <w:t xml:space="preserve">GB 2763-2026 </w:t>
            </w:r>
            <w:r>
              <w:rPr>
                <w:rFonts w:hint="eastAsia" w:ascii="宋体" w:hAnsi="宋体" w:cs="宋体"/>
                <w:color w:val="auto"/>
                <w:szCs w:val="21"/>
                <w:highlight w:val="none"/>
              </w:rPr>
              <w:t xml:space="preserve">《</w:t>
            </w:r>
            <w:r>
              <w:rPr>
                <w:rFonts w:ascii="宋体" w:hAnsi="宋体" w:cs="宋体"/>
                <w:color w:val="auto"/>
                <w:szCs w:val="21"/>
                <w:highlight w:val="none"/>
              </w:rPr>
              <w:t xml:space="preserve">食品安全国家标准 食品中农药最大残留限量</w:t>
            </w:r>
            <w:r>
              <w:rPr>
                <w:rFonts w:hint="eastAsia" w:ascii="宋体" w:hAnsi="宋体" w:cs="宋体"/>
                <w:color w:val="auto"/>
                <w:szCs w:val="21"/>
                <w:highlight w:val="none"/>
              </w:rPr>
              <w:t xml:space="preserve">》</w:t>
            </w:r>
            <w:r/>
          </w:p>
        </w:tc>
      </w:tr>
      <w:tr>
        <w:trPr/>
        <w:tc>
          <w:tcPr>
            <w:tcBorders>
              <w:top w:val="single" w:color="000000" w:sz="4" w:space="0"/>
              <w:left w:val="single" w:color="000000" w:sz="8" w:space="0"/>
              <w:bottom w:val="single" w:color="000000" w:sz="4" w:space="0"/>
              <w:right w:val="single" w:color="000000" w:sz="4" w:space="0"/>
            </w:tcBorders>
            <w:tcW w:w="99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9</w:t>
            </w:r>
            <w:r/>
          </w:p>
        </w:tc>
        <w:tc>
          <w:tcPr>
            <w:tcBorders>
              <w:top w:val="single" w:color="000000" w:sz="4" w:space="0"/>
              <w:left w:val="single" w:color="000000" w:sz="4" w:space="0"/>
              <w:bottom w:val="single" w:color="000000" w:sz="4" w:space="0"/>
              <w:right w:val="single" w:color="000000" w:sz="4" w:space="0"/>
            </w:tcBorders>
            <w:tcW w:w="239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氧氟沙星</w:t>
            </w:r>
            <w:r/>
          </w:p>
        </w:tc>
        <w:tc>
          <w:tcPr>
            <w:tcBorders>
              <w:top w:val="single" w:color="000000" w:sz="4" w:space="0"/>
              <w:left w:val="single" w:color="000000" w:sz="4" w:space="0"/>
              <w:bottom w:val="single" w:color="000000" w:sz="4" w:space="0"/>
              <w:right w:val="single" w:color="000000" w:sz="4" w:space="0"/>
            </w:tcBorders>
            <w:tcW w:w="5536" w:type="dxa"/>
            <w:vAlign w:val="center"/>
            <w:textDirection w:val="lrTb"/>
            <w:noWrap w:val="false"/>
          </w:tcPr>
          <w:p>
            <w:pPr>
              <w:jc w:val="left"/>
              <w:widowControl/>
              <w:rPr>
                <w:rFonts w:hint="eastAsia" w:ascii="宋体" w:hAnsi="宋体" w:cs="宋体"/>
                <w:color w:val="auto"/>
                <w:szCs w:val="21"/>
                <w:highlight w:val="none"/>
              </w:rPr>
            </w:pPr>
            <w:r>
              <w:rPr>
                <w:rFonts w:ascii="宋体" w:hAnsi="宋体" w:cs="宋体"/>
                <w:color w:val="auto"/>
                <w:szCs w:val="21"/>
                <w:highlight w:val="none"/>
              </w:rPr>
              <w:t xml:space="preserve">KJ 201906动物源性食品中喹诺酮类物质的快速检测 胶体金免疫层析法</w:t>
            </w:r>
            <w:r/>
          </w:p>
        </w:tc>
      </w:tr>
      <w:tr>
        <w:trPr/>
        <w:tc>
          <w:tcPr>
            <w:tcBorders>
              <w:top w:val="single" w:color="000000" w:sz="4" w:space="0"/>
              <w:left w:val="single" w:color="000000" w:sz="8" w:space="0"/>
              <w:bottom w:val="single" w:color="000000" w:sz="4" w:space="0"/>
              <w:right w:val="single" w:color="000000" w:sz="4" w:space="0"/>
            </w:tcBorders>
            <w:tcW w:w="99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W w:w="239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氯霉素</w:t>
            </w:r>
            <w:r/>
          </w:p>
        </w:tc>
        <w:tc>
          <w:tcPr>
            <w:tcBorders>
              <w:top w:val="single" w:color="000000" w:sz="4" w:space="0"/>
              <w:left w:val="single" w:color="000000" w:sz="4" w:space="0"/>
              <w:bottom w:val="single" w:color="000000" w:sz="4" w:space="0"/>
              <w:right w:val="single" w:color="000000" w:sz="4" w:space="0"/>
            </w:tcBorders>
            <w:tcW w:w="5536"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KJ201905水产品中氯霉素的快速检测 胶体金免疫层析法</w:t>
            </w:r>
            <w:r/>
          </w:p>
        </w:tc>
      </w:tr>
      <w:tr>
        <w:trPr/>
        <w:tc>
          <w:tcPr>
            <w:tcBorders>
              <w:top w:val="single" w:color="000000" w:sz="4" w:space="0"/>
              <w:left w:val="single" w:color="000000" w:sz="8" w:space="0"/>
              <w:bottom w:val="single" w:color="000000" w:sz="4" w:space="0"/>
              <w:right w:val="single" w:color="000000" w:sz="4" w:space="0"/>
            </w:tcBorders>
            <w:tcW w:w="99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11</w:t>
            </w:r>
            <w:r/>
          </w:p>
        </w:tc>
        <w:tc>
          <w:tcPr>
            <w:tcBorders>
              <w:top w:val="single" w:color="000000" w:sz="4" w:space="0"/>
              <w:left w:val="single" w:color="000000" w:sz="4" w:space="0"/>
              <w:bottom w:val="single" w:color="000000" w:sz="4" w:space="0"/>
              <w:right w:val="single" w:color="000000" w:sz="4" w:space="0"/>
            </w:tcBorders>
            <w:tcW w:w="239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孔雀石绿</w:t>
            </w:r>
            <w:r/>
          </w:p>
        </w:tc>
        <w:tc>
          <w:tcPr>
            <w:tcBorders>
              <w:top w:val="single" w:color="000000" w:sz="4" w:space="0"/>
              <w:left w:val="single" w:color="000000" w:sz="4" w:space="0"/>
              <w:bottom w:val="single" w:color="000000" w:sz="4" w:space="0"/>
              <w:right w:val="single" w:color="000000" w:sz="4" w:space="0"/>
            </w:tcBorders>
            <w:tcW w:w="5536"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KJ201701水产品中孔雀石绿的快速检测 胶体金免疫层析法</w:t>
            </w:r>
            <w:r/>
          </w:p>
        </w:tc>
      </w:tr>
      <w:tr>
        <w:trPr/>
        <w:tc>
          <w:tcPr>
            <w:tcBorders>
              <w:top w:val="single" w:color="000000" w:sz="4" w:space="0"/>
              <w:left w:val="single" w:color="000000" w:sz="8" w:space="0"/>
              <w:bottom w:val="single" w:color="000000" w:sz="4" w:space="0"/>
              <w:right w:val="single" w:color="000000" w:sz="4" w:space="0"/>
            </w:tcBorders>
            <w:tcW w:w="99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12</w:t>
            </w:r>
            <w:r/>
          </w:p>
        </w:tc>
        <w:tc>
          <w:tcPr>
            <w:tcBorders>
              <w:top w:val="single" w:color="000000" w:sz="4" w:space="0"/>
              <w:left w:val="single" w:color="000000" w:sz="4" w:space="0"/>
              <w:bottom w:val="single" w:color="000000" w:sz="4" w:space="0"/>
              <w:right w:val="single" w:color="000000" w:sz="4" w:space="0"/>
            </w:tcBorders>
            <w:tcW w:w="239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硝基呋喃类代谢物</w:t>
            </w:r>
            <w:r/>
          </w:p>
        </w:tc>
        <w:tc>
          <w:tcPr>
            <w:tcBorders>
              <w:top w:val="single" w:color="000000" w:sz="4" w:space="0"/>
              <w:left w:val="single" w:color="000000" w:sz="4" w:space="0"/>
              <w:bottom w:val="single" w:color="000000" w:sz="4" w:space="0"/>
              <w:right w:val="single" w:color="000000" w:sz="4" w:space="0"/>
            </w:tcBorders>
            <w:tcW w:w="5536"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KJ201705水产品中硝基呋喃类代谢物的快速检测 胶体金免疫层析法</w:t>
            </w:r>
            <w:r/>
          </w:p>
        </w:tc>
      </w:tr>
      <w:tr>
        <w:trPr/>
        <w:tc>
          <w:tcPr>
            <w:tcBorders>
              <w:top w:val="single" w:color="000000" w:sz="4" w:space="0"/>
              <w:left w:val="single" w:color="000000" w:sz="8" w:space="0"/>
              <w:bottom w:val="single" w:color="000000" w:sz="4" w:space="0"/>
              <w:right w:val="single" w:color="000000" w:sz="4" w:space="0"/>
            </w:tcBorders>
            <w:tcW w:w="99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13</w:t>
            </w:r>
            <w:r/>
          </w:p>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39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毒死蜱</w:t>
            </w:r>
            <w:r/>
          </w:p>
        </w:tc>
        <w:tc>
          <w:tcPr>
            <w:tcBorders>
              <w:top w:val="single" w:color="000000" w:sz="4" w:space="0"/>
              <w:left w:val="single" w:color="000000" w:sz="4" w:space="0"/>
              <w:bottom w:val="single" w:color="000000" w:sz="4" w:space="0"/>
              <w:right w:val="single" w:color="000000" w:sz="4" w:space="0"/>
            </w:tcBorders>
            <w:tcW w:w="5536" w:type="dxa"/>
            <w:vAlign w:val="center"/>
            <w:textDirection w:val="lrTb"/>
            <w:noWrap w:val="false"/>
          </w:tcPr>
          <w:p>
            <w:pPr>
              <w:jc w:val="left"/>
              <w:widowControl/>
              <w:rPr>
                <w:rFonts w:hint="eastAsia" w:ascii="宋体" w:hAnsi="宋体" w:cs="宋体"/>
                <w:color w:val="auto"/>
                <w:szCs w:val="21"/>
                <w:highlight w:val="none"/>
              </w:rPr>
            </w:pPr>
            <w:r>
              <w:rPr>
                <w:rFonts w:ascii="宋体" w:hAnsi="宋体" w:cs="宋体"/>
                <w:color w:val="auto"/>
                <w:szCs w:val="21"/>
                <w:highlight w:val="none"/>
              </w:rPr>
              <w:t xml:space="preserve">GB 2763-2026 </w:t>
            </w:r>
            <w:r>
              <w:rPr>
                <w:rFonts w:hint="eastAsia" w:ascii="宋体" w:hAnsi="宋体" w:cs="宋体"/>
                <w:color w:val="auto"/>
                <w:szCs w:val="21"/>
                <w:highlight w:val="none"/>
              </w:rPr>
              <w:t xml:space="preserve">《</w:t>
            </w:r>
            <w:r>
              <w:rPr>
                <w:rFonts w:ascii="宋体" w:hAnsi="宋体" w:cs="宋体"/>
                <w:color w:val="auto"/>
                <w:szCs w:val="21"/>
                <w:highlight w:val="none"/>
              </w:rPr>
              <w:t xml:space="preserve">食品安全国家标准 食品中农药最大残留限量</w:t>
            </w:r>
            <w:r>
              <w:rPr>
                <w:rFonts w:hint="eastAsia" w:ascii="宋体" w:hAnsi="宋体" w:cs="宋体"/>
                <w:color w:val="auto"/>
                <w:szCs w:val="21"/>
                <w:highlight w:val="none"/>
              </w:rPr>
              <w:t xml:space="preserve">》</w:t>
            </w:r>
            <w:r/>
          </w:p>
        </w:tc>
      </w:tr>
      <w:tr>
        <w:trPr/>
        <w:tc>
          <w:tcPr>
            <w:tcBorders>
              <w:top w:val="single" w:color="000000" w:sz="4" w:space="0"/>
              <w:left w:val="single" w:color="000000" w:sz="8" w:space="0"/>
              <w:bottom w:val="single" w:color="000000" w:sz="4" w:space="0"/>
              <w:right w:val="single" w:color="000000" w:sz="4" w:space="0"/>
            </w:tcBorders>
            <w:tcW w:w="99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14</w:t>
            </w:r>
            <w:r/>
          </w:p>
        </w:tc>
        <w:tc>
          <w:tcPr>
            <w:tcBorders>
              <w:top w:val="single" w:color="000000" w:sz="4" w:space="0"/>
              <w:left w:val="single" w:color="000000" w:sz="4" w:space="0"/>
              <w:bottom w:val="single" w:color="000000" w:sz="4" w:space="0"/>
              <w:right w:val="single" w:color="000000" w:sz="4" w:space="0"/>
            </w:tcBorders>
            <w:tcW w:w="239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氧乐果</w:t>
            </w:r>
            <w:r/>
          </w:p>
        </w:tc>
        <w:tc>
          <w:tcPr>
            <w:tcBorders>
              <w:top w:val="single" w:color="000000" w:sz="4" w:space="0"/>
              <w:left w:val="single" w:color="000000" w:sz="4" w:space="0"/>
              <w:bottom w:val="single" w:color="000000" w:sz="4" w:space="0"/>
              <w:right w:val="single" w:color="000000" w:sz="4" w:space="0"/>
            </w:tcBorders>
            <w:tcW w:w="5536" w:type="dxa"/>
            <w:vAlign w:val="center"/>
            <w:textDirection w:val="lrTb"/>
            <w:noWrap w:val="false"/>
          </w:tcPr>
          <w:p>
            <w:pPr>
              <w:jc w:val="left"/>
              <w:widowControl/>
              <w:rPr>
                <w:rFonts w:hint="eastAsia" w:ascii="宋体" w:hAnsi="宋体" w:cs="宋体"/>
                <w:color w:val="auto"/>
                <w:szCs w:val="21"/>
                <w:highlight w:val="none"/>
              </w:rPr>
            </w:pPr>
            <w:r>
              <w:rPr>
                <w:rFonts w:ascii="宋体" w:hAnsi="宋体" w:cs="宋体"/>
                <w:color w:val="auto"/>
                <w:szCs w:val="21"/>
                <w:highlight w:val="none"/>
              </w:rPr>
              <w:t xml:space="preserve">GB 2763-2026 </w:t>
            </w:r>
            <w:r>
              <w:rPr>
                <w:rFonts w:hint="eastAsia" w:ascii="宋体" w:hAnsi="宋体" w:cs="宋体"/>
                <w:color w:val="auto"/>
                <w:szCs w:val="21"/>
                <w:highlight w:val="none"/>
              </w:rPr>
              <w:t xml:space="preserve">《</w:t>
            </w:r>
            <w:r>
              <w:rPr>
                <w:rFonts w:ascii="宋体" w:hAnsi="宋体" w:cs="宋体"/>
                <w:color w:val="auto"/>
                <w:szCs w:val="21"/>
                <w:highlight w:val="none"/>
              </w:rPr>
              <w:t xml:space="preserve">食品安全国家标准 食品中农药最大残留限量</w:t>
            </w:r>
            <w:r>
              <w:rPr>
                <w:rFonts w:hint="eastAsia" w:ascii="宋体" w:hAnsi="宋体" w:cs="宋体"/>
                <w:color w:val="auto"/>
                <w:szCs w:val="21"/>
                <w:highlight w:val="none"/>
              </w:rPr>
              <w:t xml:space="preserve">》</w:t>
            </w:r>
            <w:r/>
          </w:p>
        </w:tc>
      </w:tr>
      <w:tr>
        <w:trPr/>
        <w:tc>
          <w:tcPr>
            <w:tcBorders>
              <w:top w:val="single" w:color="000000" w:sz="4" w:space="0"/>
              <w:left w:val="single" w:color="000000" w:sz="8" w:space="0"/>
              <w:bottom w:val="single" w:color="000000" w:sz="4" w:space="0"/>
              <w:right w:val="single" w:color="000000" w:sz="4" w:space="0"/>
            </w:tcBorders>
            <w:tcW w:w="99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15</w:t>
            </w:r>
            <w:r/>
          </w:p>
        </w:tc>
        <w:tc>
          <w:tcPr>
            <w:tcBorders>
              <w:top w:val="single" w:color="000000" w:sz="4" w:space="0"/>
              <w:left w:val="single" w:color="000000" w:sz="4" w:space="0"/>
              <w:bottom w:val="single" w:color="000000" w:sz="4" w:space="0"/>
              <w:right w:val="single" w:color="000000" w:sz="4" w:space="0"/>
            </w:tcBorders>
            <w:tcW w:w="239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克百威</w:t>
            </w:r>
            <w:r/>
          </w:p>
        </w:tc>
        <w:tc>
          <w:tcPr>
            <w:tcBorders>
              <w:top w:val="single" w:color="000000" w:sz="4" w:space="0"/>
              <w:left w:val="single" w:color="000000" w:sz="4" w:space="0"/>
              <w:bottom w:val="single" w:color="000000" w:sz="4" w:space="0"/>
              <w:right w:val="single" w:color="000000" w:sz="4" w:space="0"/>
            </w:tcBorders>
            <w:tcW w:w="5536" w:type="dxa"/>
            <w:vAlign w:val="center"/>
            <w:textDirection w:val="lrTb"/>
            <w:noWrap w:val="false"/>
          </w:tcPr>
          <w:p>
            <w:pPr>
              <w:jc w:val="left"/>
              <w:widowControl/>
              <w:rPr>
                <w:rFonts w:hint="eastAsia" w:ascii="宋体" w:hAnsi="宋体" w:cs="宋体"/>
                <w:color w:val="auto"/>
                <w:szCs w:val="21"/>
                <w:highlight w:val="none"/>
              </w:rPr>
            </w:pPr>
            <w:r>
              <w:rPr>
                <w:rFonts w:ascii="宋体" w:hAnsi="宋体" w:cs="宋体"/>
                <w:color w:val="auto"/>
                <w:szCs w:val="21"/>
                <w:highlight w:val="none"/>
              </w:rPr>
              <w:t xml:space="preserve">GB 2763-2026 </w:t>
            </w:r>
            <w:r>
              <w:rPr>
                <w:rFonts w:hint="eastAsia" w:ascii="宋体" w:hAnsi="宋体" w:cs="宋体"/>
                <w:color w:val="auto"/>
                <w:szCs w:val="21"/>
                <w:highlight w:val="none"/>
              </w:rPr>
              <w:t xml:space="preserve">《</w:t>
            </w:r>
            <w:r>
              <w:rPr>
                <w:rFonts w:ascii="宋体" w:hAnsi="宋体" w:cs="宋体"/>
                <w:color w:val="auto"/>
                <w:szCs w:val="21"/>
                <w:highlight w:val="none"/>
              </w:rPr>
              <w:t xml:space="preserve">食品安全国家标准 食品中农药最大残留限量</w:t>
            </w:r>
            <w:r>
              <w:rPr>
                <w:rFonts w:hint="eastAsia" w:ascii="宋体" w:hAnsi="宋体" w:cs="宋体"/>
                <w:color w:val="auto"/>
                <w:szCs w:val="21"/>
                <w:highlight w:val="none"/>
              </w:rPr>
              <w:t xml:space="preserve">》</w:t>
            </w:r>
            <w:r/>
          </w:p>
        </w:tc>
      </w:tr>
      <w:tr>
        <w:trPr/>
        <w:tc>
          <w:tcPr>
            <w:tcBorders>
              <w:top w:val="single" w:color="000000" w:sz="4" w:space="0"/>
              <w:left w:val="single" w:color="000000" w:sz="8" w:space="0"/>
              <w:bottom w:val="single" w:color="000000" w:sz="4" w:space="0"/>
              <w:right w:val="single" w:color="000000" w:sz="4" w:space="0"/>
            </w:tcBorders>
            <w:tcW w:w="995" w:type="dxa"/>
            <w:vAlign w:val="center"/>
            <w:textDirection w:val="lrTb"/>
            <w:noWrap w:val="false"/>
          </w:tcPr>
          <w:p>
            <w:pPr>
              <w:jc w:val="center"/>
              <w:widowControl/>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16</w:t>
            </w:r>
            <w:r/>
          </w:p>
        </w:tc>
        <w:tc>
          <w:tcPr>
            <w:tcBorders>
              <w:top w:val="single" w:color="000000" w:sz="4" w:space="0"/>
              <w:left w:val="single" w:color="000000" w:sz="4" w:space="0"/>
              <w:bottom w:val="single" w:color="000000" w:sz="4" w:space="0"/>
              <w:right w:val="single" w:color="000000" w:sz="4" w:space="0"/>
            </w:tcBorders>
            <w:tcW w:w="2393" w:type="dxa"/>
            <w:vAlign w:val="center"/>
            <w:textDirection w:val="lrTb"/>
            <w:noWrap w:val="false"/>
          </w:tcPr>
          <w:p>
            <w:pPr>
              <w:jc w:val="center"/>
              <w:widowControl/>
              <w:rPr>
                <w:rFonts w:hint="eastAsia" w:ascii="宋体" w:hAnsi="宋体" w:cs="宋体"/>
                <w:color w:val="auto"/>
                <w:szCs w:val="21"/>
                <w:highlight w:val="none"/>
              </w:rPr>
            </w:pPr>
            <w:r>
              <w:rPr>
                <w:rFonts w:hint="eastAsia"/>
                <w:sz w:val="24"/>
                <w:lang w:val="en-US" w:eastAsia="zh-CN"/>
              </w:rPr>
              <w:t xml:space="preserve">有机磷及氨基甲酸酯</w:t>
            </w:r>
            <w:r/>
          </w:p>
        </w:tc>
        <w:tc>
          <w:tcPr>
            <w:tcBorders>
              <w:top w:val="single" w:color="000000" w:sz="4" w:space="0"/>
              <w:left w:val="single" w:color="000000" w:sz="4" w:space="0"/>
              <w:bottom w:val="single" w:color="000000" w:sz="4" w:space="0"/>
              <w:right w:val="single" w:color="000000" w:sz="4" w:space="0"/>
            </w:tcBorders>
            <w:tcW w:w="5536"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GB/T 5009.199-2003《蔬菜中有机磷和氨基甲酸酯类农药残留量的快速检测》</w:t>
            </w:r>
            <w:r/>
          </w:p>
        </w:tc>
      </w:tr>
    </w:tbl>
    <w:p>
      <w:pPr>
        <w:keepLines/>
        <w:keepNext/>
        <w:spacing w:line="360" w:lineRule="auto"/>
        <w:rPr>
          <w:rFonts w:hint="eastAsia"/>
          <w:b/>
          <w:sz w:val="28"/>
        </w:rPr>
        <w:outlineLvl w:val="2"/>
      </w:pPr>
      <w:r>
        <w:rPr>
          <w:rFonts w:hint="eastAsia"/>
          <w:b/>
          <w:sz w:val="28"/>
        </w:rPr>
        <w:t xml:space="preserve">8、检测室基本要求</w:t>
      </w:r>
      <w:r/>
    </w:p>
    <w:p>
      <w:pPr>
        <w:ind w:firstLine="480"/>
        <w:jc w:val="left"/>
        <w:spacing w:line="360" w:lineRule="auto"/>
        <w:rPr>
          <w:rFonts w:hint="eastAsia" w:ascii="宋体" w:hAnsi="宋体" w:cs="宋体"/>
          <w:sz w:val="24"/>
        </w:rPr>
      </w:pPr>
      <w:r>
        <w:rPr>
          <w:rFonts w:hint="eastAsia" w:ascii="宋体" w:hAnsi="宋体" w:cs="宋体"/>
          <w:sz w:val="24"/>
        </w:rPr>
        <w:t xml:space="preserve">（1）</w:t>
      </w:r>
      <w:r>
        <w:rPr>
          <w:rFonts w:hint="eastAsia" w:ascii="宋体" w:hAnsi="宋体" w:cs="宋体"/>
          <w:sz w:val="24"/>
          <w:highlight w:val="none"/>
        </w:rPr>
        <w:t xml:space="preserve">.投标人可使用各农贸（</w:t>
      </w:r>
      <w:r>
        <w:rPr>
          <w:rFonts w:hint="eastAsia" w:ascii="宋体" w:hAnsi="宋体" w:eastAsia="宋体" w:cs="宋体"/>
          <w:sz w:val="24"/>
          <w:highlight w:val="none"/>
          <w:lang w:val="en-US" w:eastAsia="zh-CN"/>
        </w:rPr>
        <w:t xml:space="preserve">农</w:t>
      </w:r>
      <w:r>
        <w:rPr>
          <w:rFonts w:hint="eastAsia" w:ascii="宋体" w:hAnsi="宋体" w:cs="宋体"/>
          <w:sz w:val="24"/>
          <w:highlight w:val="none"/>
        </w:rPr>
        <w:t xml:space="preserve">批）市场</w:t>
      </w:r>
      <w:r>
        <w:rPr>
          <w:rFonts w:hint="eastAsia" w:ascii="宋体" w:hAnsi="宋体" w:eastAsia="宋体" w:cs="宋体"/>
          <w:sz w:val="24"/>
          <w:highlight w:val="none"/>
          <w:lang w:val="en-US" w:eastAsia="zh-CN"/>
        </w:rPr>
        <w:t xml:space="preserve">现</w:t>
      </w:r>
      <w:r>
        <w:rPr>
          <w:rFonts w:hint="eastAsia" w:ascii="宋体" w:hAnsi="宋体" w:cs="宋体"/>
          <w:sz w:val="24"/>
          <w:highlight w:val="none"/>
        </w:rPr>
        <w:t xml:space="preserve">有检测</w:t>
      </w:r>
      <w:r>
        <w:rPr>
          <w:rFonts w:hint="eastAsia" w:ascii="宋体" w:hAnsi="宋体" w:eastAsia="宋体" w:cs="宋体"/>
          <w:sz w:val="24"/>
          <w:highlight w:val="none"/>
          <w:lang w:val="en-US" w:eastAsia="zh-CN"/>
        </w:rPr>
        <w:t xml:space="preserve">仪器及前处理</w:t>
      </w:r>
      <w:r>
        <w:rPr>
          <w:rFonts w:hint="eastAsia" w:ascii="宋体" w:hAnsi="宋体" w:cs="宋体"/>
          <w:sz w:val="24"/>
          <w:highlight w:val="none"/>
        </w:rPr>
        <w:t xml:space="preserve">设备，也可自带检测仪器及前处理设备，服务期满投标人带走自己的检测仪器</w:t>
      </w:r>
      <w:r>
        <w:rPr>
          <w:rFonts w:hint="eastAsia" w:ascii="宋体" w:hAnsi="宋体" w:eastAsia="宋体" w:cs="宋体"/>
          <w:sz w:val="24"/>
          <w:highlight w:val="none"/>
          <w:lang w:eastAsia="zh-CN"/>
        </w:rPr>
        <w:t xml:space="preserve">、</w:t>
      </w:r>
      <w:r>
        <w:rPr>
          <w:rFonts w:hint="eastAsia" w:ascii="宋体" w:hAnsi="宋体" w:cs="宋体"/>
          <w:sz w:val="24"/>
          <w:highlight w:val="none"/>
        </w:rPr>
        <w:t xml:space="preserve">前处理设备</w:t>
      </w:r>
      <w:r>
        <w:rPr>
          <w:rFonts w:hint="eastAsia" w:ascii="宋体" w:hAnsi="宋体" w:cs="宋体"/>
          <w:sz w:val="24"/>
          <w:highlight w:val="none"/>
          <w:lang w:eastAsia="zh-CN"/>
        </w:rPr>
        <w:t xml:space="preserve">及信息公示设备</w:t>
      </w:r>
      <w:r>
        <w:rPr>
          <w:rFonts w:hint="eastAsia" w:ascii="宋体" w:hAnsi="宋体" w:cs="宋体"/>
          <w:sz w:val="24"/>
          <w:highlight w:val="none"/>
        </w:rPr>
        <w:t xml:space="preserve">（</w:t>
      </w:r>
      <w:r>
        <w:rPr>
          <w:rFonts w:hint="eastAsia" w:ascii="宋体" w:hAnsi="宋体" w:cs="宋体"/>
          <w:sz w:val="24"/>
          <w:highlight w:val="none"/>
        </w:rPr>
        <w:t xml:space="preserve">自带设</w:t>
      </w:r>
      <w:r>
        <w:rPr>
          <w:rFonts w:hint="eastAsia" w:ascii="宋体" w:hAnsi="宋体" w:cs="宋体"/>
          <w:color w:val="auto"/>
          <w:sz w:val="24"/>
          <w:highlight w:val="none"/>
        </w:rPr>
        <w:t xml:space="preserve">备费用不另行支付，包含在中标价中）。检测仪器和前处理设备不少于</w:t>
      </w:r>
      <w:r>
        <w:rPr>
          <w:rFonts w:hint="eastAsia" w:ascii="宋体" w:hAnsi="宋体" w:eastAsia="宋体" w:cs="宋体"/>
          <w:color w:val="auto"/>
          <w:sz w:val="24"/>
          <w:highlight w:val="none"/>
          <w:lang w:val="en-US" w:eastAsia="zh-CN"/>
        </w:rPr>
        <w:t xml:space="preserve">44</w:t>
      </w:r>
      <w:r>
        <w:rPr>
          <w:rFonts w:hint="eastAsia" w:ascii="宋体" w:hAnsi="宋体" w:cs="宋体"/>
          <w:color w:val="auto"/>
          <w:sz w:val="24"/>
          <w:highlight w:val="none"/>
        </w:rPr>
        <w:t xml:space="preserve">套，满足每个</w:t>
      </w:r>
      <w:r>
        <w:rPr>
          <w:rFonts w:hint="eastAsia" w:ascii="宋体" w:hAnsi="宋体" w:cs="宋体"/>
          <w:color w:val="auto"/>
          <w:sz w:val="24"/>
        </w:rPr>
        <w:t xml:space="preserve">检测</w:t>
      </w:r>
      <w:r>
        <w:rPr>
          <w:rFonts w:hint="eastAsia" w:ascii="宋体" w:hAnsi="宋体" w:cs="宋体"/>
          <w:sz w:val="24"/>
        </w:rPr>
        <w:t xml:space="preserve">室1套</w:t>
      </w: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农批市场需提供满足检测需求的检测仪器及前处理设备。另需</w:t>
      </w:r>
      <w:r>
        <w:rPr>
          <w:rFonts w:hint="eastAsia" w:ascii="宋体" w:hAnsi="宋体" w:cs="宋体"/>
          <w:sz w:val="24"/>
        </w:rPr>
        <w:t xml:space="preserve">额外提供1-2套备用设备应急使用。每个检测室配置明细如下（包含</w:t>
      </w:r>
      <w:r>
        <w:rPr>
          <w:rFonts w:hint="eastAsia" w:ascii="宋体" w:hAnsi="宋体" w:eastAsia="宋体" w:cs="宋体"/>
          <w:sz w:val="24"/>
          <w:lang w:val="en-US" w:eastAsia="zh-CN"/>
        </w:rPr>
        <w:t xml:space="preserve">但</w:t>
      </w:r>
      <w:r>
        <w:rPr>
          <w:rFonts w:hint="eastAsia" w:ascii="宋体" w:hAnsi="宋体" w:cs="宋体"/>
          <w:sz w:val="24"/>
        </w:rPr>
        <w:t xml:space="preserve">不限于仅提供以下</w:t>
      </w:r>
      <w:r>
        <w:rPr>
          <w:rFonts w:hint="eastAsia" w:ascii="宋体" w:hAnsi="宋体" w:eastAsia="宋体" w:cs="宋体"/>
          <w:sz w:val="24"/>
          <w:lang w:val="en-US" w:eastAsia="zh-CN"/>
        </w:rPr>
        <w:t xml:space="preserve">快检</w:t>
      </w:r>
      <w:r>
        <w:rPr>
          <w:rFonts w:hint="eastAsia" w:ascii="宋体" w:hAnsi="宋体" w:cs="宋体"/>
          <w:sz w:val="24"/>
        </w:rPr>
        <w:t xml:space="preserve">设备）：</w:t>
      </w:r>
      <w:r/>
    </w:p>
    <w:tbl>
      <w:tblPr>
        <w:tblStyle w:val="689"/>
        <w:tblW w:w="8719" w:type="dxa"/>
        <w:jc w:val="center"/>
        <w:tblLayout w:type="fixed"/>
        <w:tblCellMar>
          <w:left w:w="108" w:type="dxa"/>
          <w:top w:w="0" w:type="dxa"/>
          <w:right w:w="108" w:type="dxa"/>
          <w:bottom w:w="0" w:type="dxa"/>
        </w:tblCellMar>
        <w:tblLook w:val="04A0" w:firstRow="1" w:lastRow="0" w:firstColumn="1" w:lastColumn="0" w:noHBand="0" w:noVBand="1"/>
      </w:tblPr>
      <w:tblGrid>
        <w:gridCol w:w="1033"/>
        <w:gridCol w:w="2131"/>
        <w:gridCol w:w="4174"/>
        <w:gridCol w:w="1381"/>
      </w:tblGrid>
      <w:tr>
        <w:trPr>
          <w:jc w:val="center"/>
        </w:trPr>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2131"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设备名称</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用途及技术参数要求</w:t>
            </w:r>
            <w:r/>
          </w:p>
        </w:tc>
        <w:tc>
          <w:tcPr>
            <w:tcBorders>
              <w:top w:val="single" w:color="000000" w:sz="4" w:space="0"/>
              <w:left w:val="single" w:color="000000" w:sz="4" w:space="0"/>
              <w:bottom w:val="single" w:color="000000" w:sz="4" w:space="0"/>
              <w:right w:val="single" w:color="000000" w:sz="4" w:space="0"/>
            </w:tcBorders>
            <w:tcW w:w="1381"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数量</w:t>
            </w:r>
            <w:r/>
          </w:p>
        </w:tc>
      </w:tr>
      <w:tr>
        <w:trPr>
          <w:jc w:val="center"/>
        </w:trPr>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2131"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多功能食品安全分析仪</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可检测非法添加、农兽药残留、抗生素、真菌毒素等检测</w:t>
            </w:r>
            <w:r/>
          </w:p>
        </w:tc>
        <w:tc>
          <w:tcPr>
            <w:tcBorders>
              <w:top w:val="single" w:color="000000" w:sz="4" w:space="0"/>
              <w:left w:val="single" w:color="000000" w:sz="4" w:space="0"/>
              <w:bottom w:val="single" w:color="000000" w:sz="4" w:space="0"/>
              <w:right w:val="single" w:color="000000" w:sz="4" w:space="0"/>
            </w:tcBorders>
            <w:tcW w:w="1381"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1台</w:t>
            </w:r>
            <w:r/>
          </w:p>
        </w:tc>
      </w:tr>
      <w:tr>
        <w:trPr>
          <w:jc w:val="center"/>
        </w:trPr>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2131"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台式离心机</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用于样品的离心</w:t>
            </w:r>
            <w:r/>
          </w:p>
        </w:tc>
        <w:tc>
          <w:tcPr>
            <w:tcBorders>
              <w:top w:val="single" w:color="000000" w:sz="4" w:space="0"/>
              <w:left w:val="single" w:color="000000" w:sz="4" w:space="0"/>
              <w:bottom w:val="single" w:color="000000" w:sz="4" w:space="0"/>
              <w:right w:val="single" w:color="000000" w:sz="4" w:space="0"/>
            </w:tcBorders>
            <w:tcW w:w="1381"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1台</w:t>
            </w:r>
            <w:r/>
          </w:p>
        </w:tc>
      </w:tr>
      <w:tr>
        <w:trPr>
          <w:jc w:val="center"/>
        </w:trPr>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2131"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恒温水浴锅</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用于样品的孵育、加热</w:t>
            </w:r>
            <w:r/>
          </w:p>
        </w:tc>
        <w:tc>
          <w:tcPr>
            <w:tcBorders>
              <w:top w:val="single" w:color="000000" w:sz="4" w:space="0"/>
              <w:left w:val="single" w:color="000000" w:sz="4" w:space="0"/>
              <w:bottom w:val="single" w:color="000000" w:sz="4" w:space="0"/>
              <w:right w:val="single" w:color="000000" w:sz="4" w:space="0"/>
            </w:tcBorders>
            <w:tcW w:w="1381"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1台</w:t>
            </w:r>
            <w:r/>
          </w:p>
        </w:tc>
      </w:tr>
      <w:tr>
        <w:trPr>
          <w:jc w:val="center"/>
        </w:trPr>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2131"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样品浓缩仪</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用于溶液的提取浓缩</w:t>
            </w:r>
            <w:r/>
          </w:p>
        </w:tc>
        <w:tc>
          <w:tcPr>
            <w:tcBorders>
              <w:top w:val="single" w:color="000000" w:sz="4" w:space="0"/>
              <w:left w:val="single" w:color="000000" w:sz="4" w:space="0"/>
              <w:bottom w:val="single" w:color="000000" w:sz="4" w:space="0"/>
              <w:right w:val="single" w:color="000000" w:sz="4" w:space="0"/>
            </w:tcBorders>
            <w:tcW w:w="1381"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1台</w:t>
            </w:r>
            <w:r/>
          </w:p>
        </w:tc>
      </w:tr>
      <w:tr>
        <w:trPr>
          <w:jc w:val="center"/>
        </w:trPr>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2131"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均质机</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通过高转速的剪切刀，把不同质地的东西混合均匀，使原料相互之间更好地融合。</w:t>
            </w:r>
            <w:r/>
          </w:p>
        </w:tc>
        <w:tc>
          <w:tcPr>
            <w:tcBorders>
              <w:top w:val="single" w:color="000000" w:sz="4" w:space="0"/>
              <w:left w:val="single" w:color="000000" w:sz="4" w:space="0"/>
              <w:bottom w:val="single" w:color="000000" w:sz="4" w:space="0"/>
              <w:right w:val="single" w:color="000000" w:sz="4" w:space="0"/>
            </w:tcBorders>
            <w:tcW w:w="1381"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1台</w:t>
            </w:r>
            <w:r/>
          </w:p>
        </w:tc>
      </w:tr>
      <w:tr>
        <w:trPr>
          <w:jc w:val="center"/>
        </w:trPr>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W w:w="2131"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电子天平</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300G,0.01量程</w:t>
            </w:r>
            <w:r/>
          </w:p>
        </w:tc>
        <w:tc>
          <w:tcPr>
            <w:tcBorders>
              <w:top w:val="single" w:color="000000" w:sz="4" w:space="0"/>
              <w:left w:val="single" w:color="000000" w:sz="4" w:space="0"/>
              <w:bottom w:val="single" w:color="000000" w:sz="4" w:space="0"/>
              <w:right w:val="single" w:color="000000" w:sz="4" w:space="0"/>
            </w:tcBorders>
            <w:tcW w:w="1381"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1台</w:t>
            </w:r>
            <w:r/>
          </w:p>
        </w:tc>
      </w:tr>
      <w:tr>
        <w:trPr>
          <w:jc w:val="center"/>
        </w:trPr>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W w:w="2131"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漩涡仪</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用于样品前处理中的漩涡混合</w:t>
            </w:r>
            <w:r/>
          </w:p>
        </w:tc>
        <w:tc>
          <w:tcPr>
            <w:tcBorders>
              <w:top w:val="single" w:color="000000" w:sz="4" w:space="0"/>
              <w:left w:val="single" w:color="000000" w:sz="4" w:space="0"/>
              <w:bottom w:val="single" w:color="000000" w:sz="4" w:space="0"/>
              <w:right w:val="single" w:color="000000" w:sz="4" w:space="0"/>
            </w:tcBorders>
            <w:tcW w:w="1381"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1台</w:t>
            </w:r>
            <w:r/>
          </w:p>
        </w:tc>
      </w:tr>
      <w:tr>
        <w:trPr>
          <w:jc w:val="center"/>
        </w:trPr>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W w:w="2131"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配件箱</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20-200μl移液器1把，100-1000μl移液器1把，1000-5000μl移液器1把，计时器1个，剪刀等检测配件</w:t>
            </w:r>
            <w:r/>
          </w:p>
        </w:tc>
        <w:tc>
          <w:tcPr>
            <w:tcBorders>
              <w:top w:val="single" w:color="000000" w:sz="4" w:space="0"/>
              <w:left w:val="single" w:color="000000" w:sz="4" w:space="0"/>
              <w:bottom w:val="single" w:color="000000" w:sz="4" w:space="0"/>
              <w:right w:val="single" w:color="000000" w:sz="4" w:space="0"/>
            </w:tcBorders>
            <w:tcW w:w="1381"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1套</w:t>
            </w:r>
            <w:r/>
          </w:p>
        </w:tc>
      </w:tr>
    </w:tbl>
    <w:p>
      <w:pPr>
        <w:ind w:firstLine="480"/>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（2）.系统建设要求</w:t>
      </w:r>
      <w:r/>
    </w:p>
    <w:p>
      <w:pPr>
        <w:ind w:firstLine="480"/>
        <w:spacing w:line="360" w:lineRule="auto"/>
        <w:rPr>
          <w:rFonts w:hint="eastAsia" w:ascii="宋体" w:hAnsi="宋体" w:cs="宋体"/>
          <w:sz w:val="24"/>
          <w:highlight w:val="none"/>
        </w:rPr>
      </w:pPr>
      <w:r>
        <w:rPr>
          <w:rFonts w:hint="eastAsia" w:ascii="宋体" w:hAnsi="宋体" w:cs="宋体"/>
          <w:color w:val="000000"/>
          <w:sz w:val="24"/>
          <w:lang w:bidi="ar"/>
        </w:rPr>
        <w:t xml:space="preserve">投标人须为本项目提供专用快检监管平台系统，该</w:t>
      </w:r>
      <w:r>
        <w:rPr>
          <w:rFonts w:hint="eastAsia" w:ascii="宋体" w:hAnsi="宋体" w:cs="宋体"/>
          <w:sz w:val="24"/>
        </w:rPr>
        <w:t xml:space="preserve">系统应具备良好的软件架构设计，层次分明。</w:t>
      </w:r>
      <w:r>
        <w:rPr>
          <w:rFonts w:hint="eastAsia" w:ascii="宋体" w:hAnsi="宋体" w:cs="宋体"/>
          <w:b/>
          <w:bCs/>
          <w:sz w:val="24"/>
        </w:rPr>
        <w:t xml:space="preserve">系统要有能够统计食用农产品样本数的模块设置，细化到细类如抽取鲫鱼多少样本。</w:t>
      </w:r>
      <w:r>
        <w:rPr>
          <w:rFonts w:hint="eastAsia" w:ascii="宋体" w:hAnsi="宋体" w:cs="宋体"/>
          <w:sz w:val="24"/>
          <w:highlight w:val="none"/>
        </w:rPr>
        <w:t xml:space="preserve">此外应至少包含以下9个子系统：档案信息管理子系统、平台管理子系统、检测监管子系统、快检室运营管理子系统、风险监测子系统、检测员考核子系统、大数据分析子系统、信息公示子系统、溯源管理子系统。各子系统根据监管要求，提供相应Web端监管系统，监管小程序、溯源索证小程序、商户扫码公示H5等用以满足食品安全检测监管功能需求，并可与盐城市市场监管局快检系统平台衔接、融合，具体功能需求如下：</w:t>
      </w:r>
      <w:r/>
    </w:p>
    <w:tbl>
      <w:tblPr>
        <w:tblStyle w:val="689"/>
        <w:tblW w:w="93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99"/>
        <w:gridCol w:w="1102"/>
        <w:gridCol w:w="2026"/>
        <w:gridCol w:w="5689"/>
      </w:tblGrid>
      <w:tr>
        <w:trPr/>
        <w:tc>
          <w:tcPr>
            <w:tcW w:w="499" w:type="dxa"/>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序号</w:t>
            </w:r>
            <w:r/>
          </w:p>
        </w:tc>
        <w:tc>
          <w:tcPr>
            <w:tcW w:w="1102" w:type="dxa"/>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子系统名称</w:t>
            </w:r>
            <w:r/>
          </w:p>
        </w:tc>
        <w:tc>
          <w:tcPr>
            <w:tcW w:w="2026" w:type="dxa"/>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子系统功能</w:t>
            </w:r>
            <w:r/>
          </w:p>
        </w:tc>
        <w:tc>
          <w:tcPr>
            <w:tcW w:w="5689" w:type="dxa"/>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功能介绍</w:t>
            </w:r>
            <w:r/>
          </w:p>
        </w:tc>
      </w:tr>
      <w:tr>
        <w:trPr/>
        <w:tc>
          <w:tcPr>
            <w:tcW w:w="499" w:type="dxa"/>
            <w:vAlign w:val="center"/>
            <w:vMerge w:val="restart"/>
            <w:textDirection w:val="lrTb"/>
            <w:noWrap w:val="false"/>
          </w:tcPr>
          <w:p>
            <w:pPr>
              <w:jc w:val="center"/>
              <w:rPr>
                <w:rFonts w:ascii="宋体" w:hAnsi="宋体" w:cs="宋体"/>
                <w:b/>
                <w:bCs/>
                <w:szCs w:val="21"/>
              </w:rPr>
            </w:pPr>
            <w:r>
              <w:rPr>
                <w:rFonts w:hint="eastAsia" w:ascii="宋体" w:hAnsi="宋体" w:cs="宋体"/>
                <w:b/>
                <w:bCs/>
                <w:szCs w:val="21"/>
              </w:rPr>
              <w:t xml:space="preserve">1</w:t>
            </w:r>
            <w:r/>
          </w:p>
        </w:tc>
        <w:tc>
          <w:tcPr>
            <w:tcW w:w="1102" w:type="dxa"/>
            <w:vAlign w:val="center"/>
            <w:vMerge w:val="restart"/>
            <w:textDirection w:val="lrTb"/>
            <w:noWrap w:val="false"/>
          </w:tcPr>
          <w:p>
            <w:pPr>
              <w:jc w:val="center"/>
              <w:rPr>
                <w:rFonts w:hint="eastAsia" w:ascii="宋体" w:hAnsi="宋体" w:cs="宋体"/>
                <w:b/>
                <w:bCs/>
                <w:szCs w:val="21"/>
              </w:rPr>
            </w:pPr>
            <w:r>
              <w:rPr>
                <w:rFonts w:hint="eastAsia" w:ascii="宋体" w:hAnsi="宋体" w:cs="宋体"/>
                <w:b/>
                <w:bCs/>
                <w:szCs w:val="21"/>
              </w:rPr>
              <w:t xml:space="preserve">档案信息管理子系统</w:t>
            </w:r>
            <w:r/>
          </w:p>
        </w:tc>
        <w:tc>
          <w:tcPr>
            <w:tcW w:w="2026" w:type="dxa"/>
            <w:vAlign w:val="center"/>
            <w:vMerge w:val="restart"/>
            <w:textDirection w:val="lrTb"/>
            <w:noWrap w:val="false"/>
          </w:tcPr>
          <w:p>
            <w:pPr>
              <w:rPr>
                <w:rFonts w:hint="eastAsia" w:ascii="宋体" w:hAnsi="宋体" w:cs="宋体"/>
                <w:szCs w:val="21"/>
              </w:rPr>
            </w:pPr>
            <w:r>
              <w:rPr>
                <w:rFonts w:hint="eastAsia" w:ascii="宋体" w:hAnsi="宋体" w:cs="宋体"/>
                <w:szCs w:val="21"/>
              </w:rPr>
              <w:t xml:space="preserve">档案信息管理子系统包含各农贸市场及经营户档案信息的维护。</w:t>
            </w:r>
            <w:r/>
          </w:p>
        </w:tc>
        <w:tc>
          <w:tcPr>
            <w:tcW w:w="5689" w:type="dxa"/>
            <w:vAlign w:val="center"/>
            <w:textDirection w:val="lrTb"/>
            <w:noWrap w:val="false"/>
          </w:tcPr>
          <w:p>
            <w:pPr>
              <w:rPr>
                <w:rFonts w:hint="eastAsia" w:ascii="宋体" w:hAnsi="宋体" w:cs="宋体"/>
                <w:szCs w:val="21"/>
              </w:rPr>
            </w:pPr>
            <w:r>
              <w:rPr>
                <w:rFonts w:hint="eastAsia" w:ascii="宋体" w:hAnsi="宋体" w:cs="宋体"/>
                <w:szCs w:val="21"/>
              </w:rPr>
              <w:t xml:space="preserve">（1）农贸市场档案管理：农贸市场基本信息，包含主体类型、经营范围主体地址、负责人姓名、负责人联系电话、食安负责人姓名、食安负责人联系电话等。农贸市场监管信息，包含监管责任人、监管责任人联系电话、主体简介。农贸市场相关介绍以及营业执照照片。</w:t>
            </w:r>
            <w:r/>
          </w:p>
        </w:tc>
      </w:tr>
      <w:tr>
        <w:trPr/>
        <w:tc>
          <w:tcPr>
            <w:tcW w:w="499" w:type="dxa"/>
            <w:vAlign w:val="center"/>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W w:w="1102" w:type="dxa"/>
            <w:vAlign w:val="center"/>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W w:w="2026"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5689" w:type="dxa"/>
            <w:vAlign w:val="center"/>
            <w:textDirection w:val="lrTb"/>
            <w:noWrap w:val="false"/>
          </w:tcPr>
          <w:p>
            <w:pPr>
              <w:rPr>
                <w:rFonts w:hint="eastAsia" w:ascii="宋体" w:hAnsi="宋体" w:cs="宋体"/>
                <w:szCs w:val="21"/>
              </w:rPr>
            </w:pPr>
            <w:r>
              <w:rPr>
                <w:rFonts w:hint="eastAsia" w:ascii="宋体" w:hAnsi="宋体" w:cs="宋体"/>
                <w:szCs w:val="21"/>
              </w:rPr>
              <w:t xml:space="preserve">（2）经营户档案管理：包含经营户名称、摊位号、联系方式、经营种类、商户头像、主营项目、签约期限。</w:t>
            </w:r>
            <w:r/>
          </w:p>
        </w:tc>
      </w:tr>
      <w:tr>
        <w:trPr/>
        <w:tc>
          <w:tcPr>
            <w:tcW w:w="499" w:type="dxa"/>
            <w:vAlign w:val="center"/>
            <w:vMerge w:val="restart"/>
            <w:textDirection w:val="lrTb"/>
            <w:noWrap w:val="false"/>
          </w:tcPr>
          <w:p>
            <w:pPr>
              <w:jc w:val="center"/>
              <w:rPr>
                <w:rFonts w:ascii="宋体" w:hAnsi="宋体" w:cs="宋体"/>
                <w:b/>
                <w:bCs/>
                <w:szCs w:val="21"/>
              </w:rPr>
            </w:pPr>
            <w:r>
              <w:rPr>
                <w:rFonts w:hint="eastAsia" w:ascii="宋体" w:hAnsi="宋体" w:cs="宋体"/>
                <w:b/>
                <w:bCs/>
                <w:szCs w:val="21"/>
              </w:rPr>
              <w:t xml:space="preserve">2</w:t>
            </w:r>
            <w:r/>
          </w:p>
        </w:tc>
        <w:tc>
          <w:tcPr>
            <w:tcW w:w="1102" w:type="dxa"/>
            <w:vAlign w:val="center"/>
            <w:vMerge w:val="restart"/>
            <w:textDirection w:val="lrTb"/>
            <w:noWrap w:val="false"/>
          </w:tcPr>
          <w:p>
            <w:pPr>
              <w:jc w:val="center"/>
              <w:rPr>
                <w:rFonts w:hint="eastAsia" w:ascii="宋体" w:hAnsi="宋体" w:cs="宋体"/>
                <w:b/>
                <w:bCs/>
                <w:szCs w:val="21"/>
              </w:rPr>
            </w:pPr>
            <w:r>
              <w:rPr>
                <w:rFonts w:hint="eastAsia" w:ascii="宋体" w:hAnsi="宋体" w:cs="宋体"/>
                <w:b/>
                <w:bCs/>
                <w:szCs w:val="21"/>
              </w:rPr>
              <w:t xml:space="preserve">平台管理子系统</w:t>
            </w:r>
            <w:r/>
          </w:p>
        </w:tc>
        <w:tc>
          <w:tcPr>
            <w:tcW w:w="2026" w:type="dxa"/>
            <w:vAlign w:val="center"/>
            <w:vMerge w:val="restart"/>
            <w:textDirection w:val="lrTb"/>
            <w:noWrap w:val="false"/>
          </w:tcPr>
          <w:p>
            <w:pPr>
              <w:rPr>
                <w:rFonts w:hint="eastAsia" w:ascii="宋体" w:hAnsi="宋体" w:cs="宋体"/>
                <w:szCs w:val="21"/>
              </w:rPr>
            </w:pPr>
            <w:r>
              <w:rPr>
                <w:rFonts w:hint="eastAsia" w:ascii="宋体" w:hAnsi="宋体" w:cs="宋体"/>
                <w:szCs w:val="21"/>
              </w:rPr>
              <w:t xml:space="preserve">平台管理子系统为市场监管部门提供配置和管理功能，实现整个系统的配置以及监管</w:t>
            </w:r>
            <w:r/>
          </w:p>
        </w:tc>
        <w:tc>
          <w:tcPr>
            <w:tcW w:w="5689" w:type="dxa"/>
            <w:vAlign w:val="center"/>
            <w:textDirection w:val="lrTb"/>
            <w:noWrap w:val="false"/>
          </w:tcPr>
          <w:p>
            <w:pPr>
              <w:rPr>
                <w:rFonts w:hint="eastAsia" w:ascii="宋体" w:hAnsi="宋体" w:cs="宋体"/>
                <w:b/>
                <w:bCs/>
                <w:szCs w:val="21"/>
              </w:rPr>
            </w:pPr>
            <w:r>
              <w:rPr>
                <w:rFonts w:hint="eastAsia" w:ascii="宋体" w:hAnsi="宋体" w:cs="宋体"/>
                <w:szCs w:val="21"/>
              </w:rPr>
              <w:t xml:space="preserve">（1）部门管理：维护系统部门信息、包含部门名称、部门负责人、联系电话。</w:t>
            </w:r>
            <w:r/>
          </w:p>
        </w:tc>
      </w:tr>
      <w:tr>
        <w:trPr/>
        <w:tc>
          <w:tcPr>
            <w:tcW w:w="499" w:type="dxa"/>
            <w:vAlign w:val="center"/>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W w:w="1102" w:type="dxa"/>
            <w:vAlign w:val="center"/>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W w:w="2026"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5689" w:type="dxa"/>
            <w:vAlign w:val="center"/>
            <w:textDirection w:val="lrTb"/>
            <w:noWrap w:val="false"/>
          </w:tcPr>
          <w:p>
            <w:pPr>
              <w:rPr>
                <w:rFonts w:hint="eastAsia" w:ascii="宋体" w:hAnsi="宋体" w:cs="宋体"/>
                <w:szCs w:val="21"/>
              </w:rPr>
            </w:pPr>
            <w:r>
              <w:rPr>
                <w:rFonts w:hint="eastAsia" w:ascii="宋体" w:hAnsi="宋体" w:cs="宋体"/>
                <w:szCs w:val="21"/>
              </w:rPr>
              <w:t xml:space="preserve">（2）用户管理：维护系统账号信息，包含角色、账号、密码、用户姓名、联系电话、所属单位。</w:t>
            </w:r>
            <w:r/>
          </w:p>
        </w:tc>
      </w:tr>
      <w:tr>
        <w:trPr/>
        <w:tc>
          <w:tcPr>
            <w:tcW w:w="499" w:type="dxa"/>
            <w:vAlign w:val="center"/>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W w:w="1102" w:type="dxa"/>
            <w:vAlign w:val="center"/>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W w:w="2026"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5689" w:type="dxa"/>
            <w:vAlign w:val="center"/>
            <w:textDirection w:val="lrTb"/>
            <w:noWrap w:val="false"/>
          </w:tcPr>
          <w:p>
            <w:pPr>
              <w:rPr>
                <w:rFonts w:hint="eastAsia" w:ascii="宋体" w:hAnsi="宋体" w:cs="宋体"/>
                <w:szCs w:val="21"/>
              </w:rPr>
            </w:pPr>
            <w:r>
              <w:rPr>
                <w:rFonts w:hint="eastAsia" w:ascii="宋体" w:hAnsi="宋体" w:cs="宋体"/>
                <w:szCs w:val="21"/>
              </w:rPr>
              <w:t xml:space="preserve">（3）权限管理：维护系统角色信息。</w:t>
            </w:r>
            <w:r/>
          </w:p>
        </w:tc>
      </w:tr>
      <w:tr>
        <w:trPr/>
        <w:tc>
          <w:tcPr>
            <w:tcW w:w="499" w:type="dxa"/>
            <w:vAlign w:val="center"/>
            <w:vMerge w:val="restart"/>
            <w:textDirection w:val="lrTb"/>
            <w:noWrap w:val="false"/>
          </w:tcPr>
          <w:p>
            <w:pPr>
              <w:jc w:val="center"/>
              <w:rPr>
                <w:rFonts w:ascii="宋体" w:hAnsi="宋体" w:cs="宋体"/>
                <w:b/>
                <w:bCs/>
                <w:szCs w:val="21"/>
              </w:rPr>
            </w:pPr>
            <w:r>
              <w:rPr>
                <w:rFonts w:hint="eastAsia" w:ascii="宋体" w:hAnsi="宋体" w:cs="宋体"/>
                <w:b/>
                <w:bCs/>
                <w:szCs w:val="21"/>
              </w:rPr>
              <w:t xml:space="preserve">3</w:t>
            </w:r>
            <w:r/>
          </w:p>
        </w:tc>
        <w:tc>
          <w:tcPr>
            <w:tcW w:w="1102" w:type="dxa"/>
            <w:vAlign w:val="center"/>
            <w:vMerge w:val="restart"/>
            <w:textDirection w:val="lrTb"/>
            <w:noWrap w:val="false"/>
          </w:tcPr>
          <w:p>
            <w:pPr>
              <w:jc w:val="center"/>
              <w:rPr>
                <w:rFonts w:hint="eastAsia" w:ascii="宋体" w:hAnsi="宋体" w:cs="宋体"/>
                <w:b/>
                <w:bCs/>
                <w:szCs w:val="21"/>
              </w:rPr>
            </w:pPr>
            <w:r>
              <w:rPr>
                <w:rFonts w:hint="eastAsia" w:ascii="宋体" w:hAnsi="宋体" w:cs="宋体"/>
                <w:b/>
                <w:bCs/>
                <w:szCs w:val="21"/>
              </w:rPr>
              <w:t xml:space="preserve">检测监管子系统</w:t>
            </w:r>
            <w:r/>
          </w:p>
        </w:tc>
        <w:tc>
          <w:tcPr>
            <w:tcW w:w="2026" w:type="dxa"/>
            <w:vAlign w:val="center"/>
            <w:vMerge w:val="restart"/>
            <w:textDirection w:val="lrTb"/>
            <w:noWrap w:val="false"/>
          </w:tcPr>
          <w:p>
            <w:pPr>
              <w:rPr>
                <w:rFonts w:hint="eastAsia" w:ascii="宋体" w:hAnsi="宋体" w:cs="宋体"/>
                <w:b/>
                <w:bCs/>
                <w:szCs w:val="21"/>
              </w:rPr>
            </w:pPr>
            <w:r>
              <w:rPr>
                <w:rFonts w:hint="eastAsia" w:ascii="宋体" w:hAnsi="宋体" w:cs="宋体"/>
                <w:szCs w:val="21"/>
              </w:rPr>
              <w:t xml:space="preserve">检测监管子系统包含监管系统中检测相关的功能。监管平台对检测数据进行实时统计、分析。</w:t>
            </w:r>
            <w:r/>
          </w:p>
        </w:tc>
        <w:tc>
          <w:tcPr>
            <w:tcW w:w="5689" w:type="dxa"/>
            <w:vAlign w:val="center"/>
            <w:textDirection w:val="lrTb"/>
            <w:noWrap w:val="false"/>
          </w:tcPr>
          <w:p>
            <w:pPr>
              <w:rPr>
                <w:rFonts w:hint="eastAsia" w:ascii="宋体" w:hAnsi="宋体" w:cs="宋体"/>
                <w:szCs w:val="21"/>
              </w:rPr>
            </w:pPr>
            <w:r>
              <w:rPr>
                <w:rFonts w:hint="eastAsia" w:ascii="宋体" w:hAnsi="宋体" w:cs="宋体"/>
                <w:szCs w:val="21"/>
              </w:rPr>
              <w:t xml:space="preserve">（1）监管系统：</w:t>
            </w:r>
            <w:r/>
          </w:p>
          <w:p>
            <w:pPr>
              <w:ind w:firstLine="420"/>
              <w:rPr>
                <w:rFonts w:hint="eastAsia" w:ascii="宋体" w:hAnsi="宋体" w:cs="宋体"/>
                <w:szCs w:val="21"/>
              </w:rPr>
            </w:pPr>
            <w:r>
              <w:rPr>
                <w:rFonts w:hint="eastAsia" w:ascii="宋体" w:hAnsi="宋体" w:cs="宋体"/>
                <w:szCs w:val="21"/>
              </w:rPr>
              <w:t xml:space="preserve">项目运维：包含对各农贸市场检测总量任务的下达。</w:t>
            </w:r>
            <w:r/>
          </w:p>
          <w:p>
            <w:pPr>
              <w:ind w:firstLine="420"/>
              <w:rPr>
                <w:rFonts w:hint="eastAsia" w:ascii="宋体" w:hAnsi="宋体" w:cs="宋体"/>
                <w:szCs w:val="21"/>
              </w:rPr>
            </w:pPr>
            <w:r>
              <w:rPr>
                <w:rFonts w:hint="eastAsia" w:ascii="宋体" w:hAnsi="宋体" w:cs="宋体"/>
                <w:szCs w:val="21"/>
              </w:rPr>
              <w:t xml:space="preserve">样品信息查询：包含按照起止日期、局、所、样品类型、样品名称、检测结果等筛选条件进行样品信息查询。</w:t>
            </w:r>
            <w:r/>
          </w:p>
          <w:p>
            <w:pPr>
              <w:ind w:firstLine="420"/>
              <w:rPr>
                <w:rFonts w:hint="eastAsia" w:ascii="宋体" w:hAnsi="宋体" w:cs="宋体"/>
                <w:szCs w:val="21"/>
              </w:rPr>
            </w:pPr>
            <w:r>
              <w:rPr>
                <w:rFonts w:hint="eastAsia" w:ascii="宋体" w:hAnsi="宋体" w:cs="宋体"/>
                <w:szCs w:val="21"/>
              </w:rPr>
              <w:t xml:space="preserve">检测信息查询：包含按照起止日期、局、所、样品类型、样品名称、检测类别、检测项目、检测结果等筛选条件进行检测信息查询。</w:t>
            </w:r>
            <w:r/>
          </w:p>
          <w:p>
            <w:pPr>
              <w:ind w:firstLine="420"/>
              <w:rPr>
                <w:rFonts w:hint="eastAsia" w:ascii="宋体" w:hAnsi="宋体" w:cs="宋体"/>
                <w:szCs w:val="21"/>
              </w:rPr>
            </w:pPr>
            <w:r>
              <w:rPr>
                <w:rFonts w:hint="eastAsia" w:ascii="宋体" w:hAnsi="宋体" w:cs="宋体"/>
                <w:szCs w:val="21"/>
              </w:rPr>
              <w:t xml:space="preserve">检测数据统计：对检测总量、快检合格率、任务完成率、检测类别、样品类别的数据统计。</w:t>
            </w:r>
            <w:r/>
          </w:p>
          <w:p>
            <w:pPr>
              <w:ind w:firstLine="420"/>
              <w:rPr>
                <w:rFonts w:hint="eastAsia" w:ascii="宋体" w:hAnsi="宋体" w:cs="宋体"/>
                <w:b/>
                <w:bCs/>
                <w:szCs w:val="21"/>
              </w:rPr>
            </w:pPr>
            <w:r>
              <w:rPr>
                <w:rFonts w:hint="eastAsia" w:ascii="宋体" w:hAnsi="宋体" w:cs="宋体"/>
                <w:szCs w:val="21"/>
              </w:rPr>
              <w:t xml:space="preserve">大数据分析：包含任务执行分析。</w:t>
            </w:r>
            <w:r/>
          </w:p>
        </w:tc>
      </w:tr>
      <w:tr>
        <w:trPr/>
        <w:tc>
          <w:tcPr>
            <w:tcW w:w="499"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1102"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2026"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5689" w:type="dxa"/>
            <w:vAlign w:val="center"/>
            <w:textDirection w:val="lrTb"/>
            <w:noWrap w:val="false"/>
          </w:tcPr>
          <w:p>
            <w:pPr>
              <w:rPr>
                <w:rFonts w:hint="eastAsia" w:ascii="宋体" w:hAnsi="宋体" w:cs="宋体"/>
                <w:szCs w:val="21"/>
              </w:rPr>
            </w:pPr>
            <w:r>
              <w:rPr>
                <w:rFonts w:hint="eastAsia" w:ascii="宋体" w:hAnsi="宋体" w:cs="宋体"/>
                <w:szCs w:val="21"/>
              </w:rPr>
              <w:t xml:space="preserve">（2）监管小程序：</w:t>
            </w:r>
            <w:r/>
          </w:p>
          <w:p>
            <w:pPr>
              <w:ind w:firstLine="420"/>
              <w:rPr>
                <w:rFonts w:hint="eastAsia" w:ascii="宋体" w:hAnsi="宋体" w:cs="宋体"/>
                <w:szCs w:val="21"/>
              </w:rPr>
            </w:pPr>
            <w:r>
              <w:rPr>
                <w:rFonts w:hint="eastAsia" w:ascii="宋体" w:hAnsi="宋体" w:cs="宋体"/>
                <w:szCs w:val="21"/>
              </w:rPr>
              <w:t xml:space="preserve">食品快检：查看辖区内各农贸市场检测执行情况。</w:t>
            </w:r>
            <w:r/>
          </w:p>
          <w:p>
            <w:pPr>
              <w:ind w:firstLine="420"/>
              <w:rPr>
                <w:rFonts w:hint="eastAsia" w:ascii="宋体" w:hAnsi="宋体" w:cs="宋体"/>
                <w:szCs w:val="21"/>
              </w:rPr>
            </w:pPr>
            <w:r>
              <w:rPr>
                <w:rFonts w:hint="eastAsia" w:ascii="宋体" w:hAnsi="宋体" w:cs="宋体"/>
                <w:szCs w:val="21"/>
              </w:rPr>
              <w:t xml:space="preserve">快检分析：查看辖区内各农贸市场检测问题发生情况。</w:t>
            </w:r>
            <w:r/>
          </w:p>
        </w:tc>
      </w:tr>
      <w:tr>
        <w:trPr/>
        <w:tc>
          <w:tcPr>
            <w:tcW w:w="499"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1102"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2026"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5689" w:type="dxa"/>
            <w:vAlign w:val="center"/>
            <w:textDirection w:val="lrTb"/>
            <w:noWrap w:val="false"/>
          </w:tcPr>
          <w:p>
            <w:pPr>
              <w:rPr>
                <w:rFonts w:hint="eastAsia" w:ascii="宋体" w:hAnsi="宋体" w:cs="宋体"/>
                <w:szCs w:val="21"/>
              </w:rPr>
            </w:pPr>
            <w:r>
              <w:rPr>
                <w:rFonts w:hint="eastAsia" w:ascii="宋体" w:hAnsi="宋体" w:cs="宋体"/>
                <w:szCs w:val="21"/>
              </w:rPr>
              <w:t xml:space="preserve">（3）采样小程序：</w:t>
            </w:r>
            <w:r/>
          </w:p>
          <w:p>
            <w:pPr>
              <w:ind w:firstLine="420"/>
              <w:rPr>
                <w:rFonts w:hint="eastAsia" w:ascii="宋体" w:hAnsi="宋体" w:cs="宋体"/>
                <w:szCs w:val="21"/>
              </w:rPr>
            </w:pPr>
            <w:r>
              <w:rPr>
                <w:rFonts w:hint="eastAsia" w:ascii="宋体" w:hAnsi="宋体" w:cs="宋体"/>
                <w:szCs w:val="21"/>
              </w:rPr>
              <w:t xml:space="preserve">样品采集：包括随机采样、任务采样、客户送检、采样定位、样品种类、经营户名称、摊位号、样品名称、推荐检测项目、数量、采样费用、采样照片、被采样单位签字等。</w:t>
            </w:r>
            <w:r/>
          </w:p>
        </w:tc>
      </w:tr>
      <w:tr>
        <w:trPr/>
        <w:tc>
          <w:tcPr>
            <w:tcW w:w="499"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1102"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2026"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5689" w:type="dxa"/>
            <w:vAlign w:val="center"/>
            <w:textDirection w:val="lrTb"/>
            <w:noWrap w:val="false"/>
          </w:tcPr>
          <w:p>
            <w:pPr>
              <w:rPr>
                <w:rFonts w:hint="eastAsia" w:ascii="宋体" w:hAnsi="宋体" w:cs="宋体"/>
                <w:szCs w:val="21"/>
              </w:rPr>
            </w:pPr>
            <w:r>
              <w:rPr>
                <w:rFonts w:hint="eastAsia" w:ascii="宋体" w:hAnsi="宋体" w:cs="宋体"/>
                <w:szCs w:val="21"/>
              </w:rPr>
              <w:t xml:space="preserve">（4）检测仪器互联：</w:t>
            </w:r>
            <w:r/>
          </w:p>
          <w:p>
            <w:pPr>
              <w:ind w:firstLine="420"/>
              <w:rPr>
                <w:rFonts w:hint="eastAsia" w:ascii="宋体" w:hAnsi="宋体" w:cs="宋体"/>
                <w:szCs w:val="21"/>
              </w:rPr>
            </w:pPr>
            <w:r>
              <w:rPr>
                <w:rFonts w:hint="eastAsia" w:ascii="宋体" w:hAnsi="宋体" w:cs="宋体"/>
                <w:szCs w:val="21"/>
              </w:rPr>
              <w:t xml:space="preserve">提供检测仪器数据对接端口，检测数据可以通过不同厂家的检测仪器实时上传、汇总、分析。</w:t>
            </w:r>
            <w:r/>
          </w:p>
        </w:tc>
      </w:tr>
      <w:tr>
        <w:trPr/>
        <w:tc>
          <w:tcPr>
            <w:tcW w:w="499"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4</w:t>
            </w:r>
            <w:r/>
          </w:p>
        </w:tc>
        <w:tc>
          <w:tcPr>
            <w:tcW w:w="1102" w:type="dxa"/>
            <w:vAlign w:val="center"/>
            <w:vMerge w:val="restart"/>
            <w:textDirection w:val="lrTb"/>
            <w:noWrap w:val="false"/>
          </w:tcPr>
          <w:p>
            <w:pPr>
              <w:jc w:val="center"/>
              <w:rPr>
                <w:rFonts w:hint="eastAsia" w:ascii="宋体" w:hAnsi="宋体" w:cs="宋体"/>
                <w:szCs w:val="21"/>
              </w:rPr>
            </w:pPr>
            <w:r>
              <w:rPr>
                <w:rFonts w:hint="eastAsia" w:ascii="宋体" w:hAnsi="宋体" w:cs="宋体"/>
                <w:b/>
                <w:bCs/>
                <w:szCs w:val="21"/>
              </w:rPr>
              <w:t xml:space="preserve">快检室运营管理子系统</w:t>
            </w:r>
            <w:r/>
          </w:p>
        </w:tc>
        <w:tc>
          <w:tcPr>
            <w:tcW w:w="2026" w:type="dxa"/>
            <w:vAlign w:val="center"/>
            <w:vMerge w:val="restart"/>
            <w:textDirection w:val="lrTb"/>
            <w:noWrap w:val="false"/>
          </w:tcPr>
          <w:p>
            <w:pPr>
              <w:rPr>
                <w:rFonts w:hint="eastAsia" w:ascii="宋体" w:hAnsi="宋体" w:cs="宋体"/>
                <w:szCs w:val="21"/>
              </w:rPr>
            </w:pPr>
            <w:r>
              <w:rPr>
                <w:rFonts w:hint="eastAsia" w:ascii="宋体" w:hAnsi="宋体" w:cs="宋体"/>
                <w:szCs w:val="21"/>
              </w:rPr>
              <w:t xml:space="preserve">快检室运营管理子系统包含采样检测管理审核功能、试剂管理功能以及资料库功能。</w:t>
            </w:r>
            <w:r/>
          </w:p>
        </w:tc>
        <w:tc>
          <w:tcPr>
            <w:tcW w:w="5689" w:type="dxa"/>
            <w:vAlign w:val="center"/>
            <w:textDirection w:val="lrTb"/>
            <w:noWrap w:val="false"/>
          </w:tcPr>
          <w:p>
            <w:pPr>
              <w:rPr>
                <w:rFonts w:hint="eastAsia" w:ascii="宋体" w:hAnsi="宋体" w:cs="宋体"/>
                <w:szCs w:val="21"/>
              </w:rPr>
            </w:pPr>
            <w:r>
              <w:rPr>
                <w:rFonts w:hint="eastAsia" w:ascii="宋体" w:hAnsi="宋体" w:cs="宋体"/>
                <w:szCs w:val="21"/>
              </w:rPr>
              <w:t xml:space="preserve">（1）采样检测管理审核功能：</w:t>
            </w:r>
            <w:r/>
          </w:p>
          <w:p>
            <w:pPr>
              <w:ind w:firstLine="420"/>
              <w:rPr>
                <w:rFonts w:hint="eastAsia" w:ascii="宋体" w:hAnsi="宋体" w:cs="宋体"/>
                <w:szCs w:val="21"/>
              </w:rPr>
            </w:pPr>
            <w:r>
              <w:rPr>
                <w:rFonts w:hint="eastAsia" w:ascii="宋体" w:hAnsi="宋体" w:cs="宋体"/>
                <w:szCs w:val="21"/>
              </w:rPr>
              <w:t xml:space="preserve">检测员需使用小程序采样，采样的同时进行定位，后台统计采样时间及地点，在非管辖市场内产生的采样信息需要上级管理人员对该条采样信息审核，从而规范检测员的日常采样工作。</w:t>
            </w:r>
            <w:r/>
          </w:p>
          <w:p>
            <w:pPr>
              <w:ind w:firstLine="420"/>
              <w:rPr>
                <w:rFonts w:hint="eastAsia" w:ascii="宋体" w:hAnsi="宋体" w:cs="宋体"/>
                <w:szCs w:val="21"/>
              </w:rPr>
            </w:pPr>
            <w:r>
              <w:rPr>
                <w:rFonts w:hint="eastAsia" w:ascii="宋体" w:hAnsi="宋体" w:cs="宋体"/>
                <w:szCs w:val="21"/>
              </w:rPr>
              <w:t xml:space="preserve">检测员用仪器进行检测时也需要进行定位，在非管辖市场内产生的检测数据同样需要上级管理人员对该条监测数据审核，从而规范检测员的日常检测工作。</w:t>
            </w:r>
            <w:r/>
          </w:p>
        </w:tc>
      </w:tr>
      <w:tr>
        <w:trPr/>
        <w:tc>
          <w:tcPr>
            <w:tcW w:w="499"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1102" w:type="dxa"/>
            <w:vAlign w:val="center"/>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W w:w="2026"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5689" w:type="dxa"/>
            <w:vAlign w:val="center"/>
            <w:textDirection w:val="lrTb"/>
            <w:noWrap w:val="false"/>
          </w:tcPr>
          <w:p>
            <w:pPr>
              <w:rPr>
                <w:rFonts w:hint="eastAsia" w:ascii="宋体" w:hAnsi="宋体" w:cs="宋体"/>
                <w:szCs w:val="21"/>
              </w:rPr>
            </w:pPr>
            <w:r>
              <w:rPr>
                <w:rFonts w:hint="eastAsia" w:ascii="宋体" w:hAnsi="宋体" w:cs="宋体"/>
                <w:szCs w:val="21"/>
              </w:rPr>
              <w:t xml:space="preserve">（2）试剂管理功能：</w:t>
            </w:r>
            <w:r/>
          </w:p>
          <w:p>
            <w:pPr>
              <w:ind w:firstLine="420"/>
              <w:rPr>
                <w:rFonts w:hint="eastAsia" w:ascii="宋体" w:hAnsi="宋体" w:cs="宋体"/>
                <w:szCs w:val="21"/>
              </w:rPr>
            </w:pPr>
            <w:r>
              <w:rPr>
                <w:rFonts w:hint="eastAsia" w:ascii="宋体" w:hAnsi="宋体" w:cs="宋体"/>
                <w:szCs w:val="21"/>
              </w:rPr>
              <w:t xml:space="preserve">包括了试剂的申请、供应商管理、供应商所售试剂列表、商品管理、仓库名称、入库管理、入库明细管理、出库管理、调拨管理等功能。</w:t>
            </w:r>
            <w:r/>
          </w:p>
          <w:p>
            <w:pPr>
              <w:ind w:firstLine="420"/>
              <w:rPr>
                <w:rFonts w:hint="eastAsia" w:ascii="宋体" w:hAnsi="宋体" w:cs="宋体"/>
                <w:szCs w:val="21"/>
              </w:rPr>
            </w:pPr>
            <w:r>
              <w:rPr>
                <w:rFonts w:hint="eastAsia" w:ascii="宋体" w:hAnsi="宋体" w:cs="宋体"/>
                <w:szCs w:val="21"/>
              </w:rPr>
              <w:t xml:space="preserve">检测设备可与试剂管理功能联动，设备检测的次数与试剂库存关联，当检测超过试剂批次数之后检测设备则无法进行检测。</w:t>
            </w:r>
            <w:r/>
          </w:p>
        </w:tc>
      </w:tr>
      <w:tr>
        <w:trPr/>
        <w:tc>
          <w:tcPr>
            <w:tcW w:w="499"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5</w:t>
            </w:r>
            <w:r/>
          </w:p>
        </w:tc>
        <w:tc>
          <w:tcPr>
            <w:tcW w:w="1102" w:type="dxa"/>
            <w:vAlign w:val="center"/>
            <w:vMerge w:val="restart"/>
            <w:textDirection w:val="lrTb"/>
            <w:noWrap w:val="false"/>
          </w:tcPr>
          <w:p>
            <w:pPr>
              <w:jc w:val="center"/>
              <w:rPr>
                <w:rFonts w:hint="eastAsia" w:ascii="宋体" w:hAnsi="宋体" w:cs="宋体"/>
                <w:szCs w:val="21"/>
              </w:rPr>
            </w:pPr>
            <w:r>
              <w:rPr>
                <w:rFonts w:hint="eastAsia" w:ascii="宋体" w:hAnsi="宋体" w:cs="宋体"/>
                <w:b/>
                <w:bCs/>
                <w:szCs w:val="21"/>
              </w:rPr>
              <w:t xml:space="preserve">风险监测子系统</w:t>
            </w:r>
            <w:r/>
          </w:p>
        </w:tc>
        <w:tc>
          <w:tcPr>
            <w:tcW w:w="2026" w:type="dxa"/>
            <w:vAlign w:val="top"/>
            <w:vMerge w:val="restart"/>
            <w:textDirection w:val="lrTb"/>
            <w:noWrap w:val="false"/>
          </w:tcPr>
          <w:p>
            <w:pPr>
              <w:rPr>
                <w:rFonts w:hint="eastAsia" w:ascii="宋体" w:hAnsi="宋体" w:cs="宋体"/>
                <w:szCs w:val="21"/>
              </w:rPr>
            </w:pPr>
            <w:r>
              <w:rPr>
                <w:rFonts w:hint="eastAsia" w:ascii="宋体" w:hAnsi="宋体" w:cs="宋体"/>
                <w:szCs w:val="21"/>
              </w:rPr>
              <w:t xml:space="preserve">风险监测子系统包含通过监管平台实时查看风险情况，并提供风险处理手段。</w:t>
            </w:r>
            <w:r/>
          </w:p>
        </w:tc>
        <w:tc>
          <w:tcPr>
            <w:tcW w:w="5689" w:type="dxa"/>
            <w:vAlign w:val="center"/>
            <w:textDirection w:val="lrTb"/>
            <w:noWrap w:val="false"/>
          </w:tcPr>
          <w:p>
            <w:pPr>
              <w:rPr>
                <w:rFonts w:hint="eastAsia" w:ascii="宋体" w:hAnsi="宋体" w:cs="宋体"/>
                <w:szCs w:val="21"/>
              </w:rPr>
            </w:pPr>
            <w:r>
              <w:rPr>
                <w:rFonts w:hint="eastAsia" w:ascii="宋体" w:hAnsi="宋体" w:cs="宋体"/>
                <w:szCs w:val="21"/>
              </w:rPr>
              <w:t xml:space="preserve">（1）实时风险：查看辖区内各农贸市场风险发生情况及风险详情。</w:t>
            </w:r>
            <w:r/>
          </w:p>
        </w:tc>
      </w:tr>
      <w:tr>
        <w:trPr/>
        <w:tc>
          <w:tcPr>
            <w:tcW w:w="499"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1102"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2026" w:type="dxa"/>
            <w:vAlign w:val="top"/>
            <w:vMerge w:val="continue"/>
            <w:textDirection w:val="lrTb"/>
            <w:noWrap w:val="false"/>
          </w:tcPr>
          <w:p>
            <w:pPr>
              <w:jc w:val="left"/>
              <w:rPr>
                <w:rFonts w:hint="eastAsia" w:ascii="宋体" w:hAnsi="宋体" w:cs="宋体"/>
                <w:szCs w:val="21"/>
              </w:rPr>
            </w:pPr>
            <w:r>
              <w:rPr>
                <w:rFonts w:hint="eastAsia" w:ascii="宋体" w:hAnsi="宋体" w:cs="宋体"/>
                <w:szCs w:val="21"/>
              </w:rPr>
            </w:r>
            <w:r/>
          </w:p>
        </w:tc>
        <w:tc>
          <w:tcPr>
            <w:tcW w:w="5689" w:type="dxa"/>
            <w:vAlign w:val="center"/>
            <w:textDirection w:val="lrTb"/>
            <w:noWrap w:val="false"/>
          </w:tcPr>
          <w:p>
            <w:pPr>
              <w:rPr>
                <w:rFonts w:hint="eastAsia" w:ascii="宋体" w:hAnsi="宋体" w:cs="宋体"/>
                <w:szCs w:val="21"/>
              </w:rPr>
            </w:pPr>
            <w:r>
              <w:rPr>
                <w:rFonts w:hint="eastAsia" w:ascii="宋体" w:hAnsi="宋体" w:cs="宋体"/>
                <w:szCs w:val="21"/>
              </w:rPr>
              <w:t xml:space="preserve">（2）复核日志：查看历史已经处理过的风险。</w:t>
            </w:r>
            <w:r/>
          </w:p>
        </w:tc>
      </w:tr>
      <w:tr>
        <w:trPr/>
        <w:tc>
          <w:tcPr>
            <w:tcW w:w="499"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6</w:t>
            </w:r>
            <w:r/>
          </w:p>
        </w:tc>
        <w:tc>
          <w:tcPr>
            <w:tcW w:w="1102" w:type="dxa"/>
            <w:vAlign w:val="center"/>
            <w:vMerge w:val="restart"/>
            <w:textDirection w:val="lrTb"/>
            <w:noWrap w:val="false"/>
          </w:tcPr>
          <w:p>
            <w:pPr>
              <w:jc w:val="center"/>
              <w:rPr>
                <w:rFonts w:hint="eastAsia" w:ascii="宋体" w:hAnsi="宋体" w:cs="宋体"/>
                <w:szCs w:val="21"/>
              </w:rPr>
            </w:pPr>
            <w:r>
              <w:rPr>
                <w:rFonts w:hint="eastAsia" w:ascii="宋体" w:hAnsi="宋体" w:cs="宋体"/>
                <w:b/>
                <w:bCs/>
                <w:szCs w:val="21"/>
              </w:rPr>
              <w:t xml:space="preserve">检测员考核子系统</w:t>
            </w:r>
            <w:r/>
          </w:p>
        </w:tc>
        <w:tc>
          <w:tcPr>
            <w:tcW w:w="2026" w:type="dxa"/>
            <w:vAlign w:val="top"/>
            <w:vMerge w:val="restart"/>
            <w:textDirection w:val="lrTb"/>
            <w:noWrap w:val="false"/>
          </w:tcPr>
          <w:p>
            <w:pPr>
              <w:rPr>
                <w:rFonts w:hint="eastAsia" w:ascii="宋体" w:hAnsi="宋体" w:cs="宋体"/>
                <w:szCs w:val="21"/>
              </w:rPr>
            </w:pPr>
            <w:r>
              <w:rPr>
                <w:rFonts w:hint="eastAsia" w:ascii="宋体" w:hAnsi="宋体" w:cs="宋体"/>
                <w:szCs w:val="21"/>
              </w:rPr>
              <w:t xml:space="preserve">主要为检测员培训考核提供一套完善的机制，包含检测员学习功能，提供统计检测员学习时长功能，保障检测员按照要求完成食品安全知识学习任务，提供检测员模拟答题功能，巩固检测员食安知识，同时提供考试系统，对检测员定期进行知识考核。</w:t>
            </w:r>
            <w:r/>
          </w:p>
        </w:tc>
        <w:tc>
          <w:tcPr>
            <w:tcW w:w="5689" w:type="dxa"/>
            <w:vAlign w:val="center"/>
            <w:textDirection w:val="lrTb"/>
            <w:noWrap w:val="false"/>
          </w:tcPr>
          <w:p>
            <w:pPr>
              <w:rPr>
                <w:rFonts w:hint="eastAsia" w:ascii="宋体" w:hAnsi="宋体" w:cs="宋体"/>
                <w:szCs w:val="21"/>
              </w:rPr>
            </w:pPr>
            <w:r>
              <w:rPr>
                <w:rFonts w:hint="eastAsia" w:ascii="宋体" w:hAnsi="宋体" w:cs="宋体"/>
                <w:szCs w:val="21"/>
              </w:rPr>
              <w:t xml:space="preserve">（1）理论课程：发布食品安全政策法规、专业知识、监管要求等内容；</w:t>
            </w:r>
            <w:r/>
          </w:p>
        </w:tc>
      </w:tr>
      <w:tr>
        <w:trPr/>
        <w:tc>
          <w:tcPr>
            <w:tcW w:w="499"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1102"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2026" w:type="dxa"/>
            <w:vAlign w:val="top"/>
            <w:vMerge w:val="continue"/>
            <w:textDirection w:val="lrTb"/>
            <w:noWrap w:val="false"/>
          </w:tcPr>
          <w:p>
            <w:pPr>
              <w:jc w:val="left"/>
              <w:rPr>
                <w:rFonts w:hint="eastAsia" w:ascii="宋体" w:hAnsi="宋体" w:cs="宋体"/>
                <w:szCs w:val="21"/>
              </w:rPr>
            </w:pPr>
            <w:r>
              <w:rPr>
                <w:rFonts w:hint="eastAsia" w:ascii="宋体" w:hAnsi="宋体" w:cs="宋体"/>
                <w:szCs w:val="21"/>
              </w:rPr>
            </w:r>
            <w:r/>
          </w:p>
        </w:tc>
        <w:tc>
          <w:tcPr>
            <w:tcW w:w="5689" w:type="dxa"/>
            <w:vAlign w:val="center"/>
            <w:textDirection w:val="lrTb"/>
            <w:noWrap w:val="false"/>
          </w:tcPr>
          <w:p>
            <w:pPr>
              <w:rPr>
                <w:rFonts w:hint="eastAsia" w:ascii="宋体" w:hAnsi="宋体" w:cs="宋体"/>
                <w:szCs w:val="21"/>
              </w:rPr>
            </w:pPr>
            <w:r>
              <w:rPr>
                <w:rFonts w:hint="eastAsia" w:ascii="宋体" w:hAnsi="宋体" w:cs="宋体"/>
                <w:szCs w:val="21"/>
              </w:rPr>
              <w:t xml:space="preserve">（2）资料库能：包括试剂以及设备的操作视频、检测室相关管理文件等。</w:t>
            </w:r>
            <w:r/>
          </w:p>
        </w:tc>
      </w:tr>
      <w:tr>
        <w:trPr/>
        <w:tc>
          <w:tcPr>
            <w:tcW w:w="499"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1102"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2026" w:type="dxa"/>
            <w:vAlign w:val="top"/>
            <w:vMerge w:val="continue"/>
            <w:textDirection w:val="lrTb"/>
            <w:noWrap w:val="false"/>
          </w:tcPr>
          <w:p>
            <w:pPr>
              <w:jc w:val="left"/>
              <w:rPr>
                <w:rFonts w:hint="eastAsia" w:ascii="宋体" w:hAnsi="宋体" w:cs="宋体"/>
                <w:szCs w:val="21"/>
              </w:rPr>
            </w:pPr>
            <w:r>
              <w:rPr>
                <w:rFonts w:hint="eastAsia" w:ascii="宋体" w:hAnsi="宋体" w:cs="宋体"/>
                <w:szCs w:val="21"/>
              </w:rPr>
            </w:r>
            <w:r/>
          </w:p>
        </w:tc>
        <w:tc>
          <w:tcPr>
            <w:tcW w:w="5689" w:type="dxa"/>
            <w:vAlign w:val="center"/>
            <w:textDirection w:val="lrTb"/>
            <w:noWrap w:val="false"/>
          </w:tcPr>
          <w:p>
            <w:pPr>
              <w:rPr>
                <w:rFonts w:hint="eastAsia" w:ascii="宋体" w:hAnsi="宋体" w:cs="宋体"/>
                <w:szCs w:val="21"/>
              </w:rPr>
            </w:pPr>
            <w:r>
              <w:rPr>
                <w:rFonts w:hint="eastAsia" w:ascii="宋体" w:hAnsi="宋体" w:cs="宋体"/>
                <w:szCs w:val="21"/>
              </w:rPr>
              <w:t xml:space="preserve">（3）模拟考试：提供模拟考试功能；</w:t>
            </w:r>
            <w:r/>
          </w:p>
        </w:tc>
      </w:tr>
      <w:tr>
        <w:trPr/>
        <w:tc>
          <w:tcPr>
            <w:tcW w:w="499"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1102"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2026" w:type="dxa"/>
            <w:vAlign w:val="top"/>
            <w:vMerge w:val="continue"/>
            <w:textDirection w:val="lrTb"/>
            <w:noWrap w:val="false"/>
          </w:tcPr>
          <w:p>
            <w:pPr>
              <w:jc w:val="left"/>
              <w:rPr>
                <w:rFonts w:hint="eastAsia" w:ascii="宋体" w:hAnsi="宋体" w:cs="宋体"/>
                <w:szCs w:val="21"/>
              </w:rPr>
            </w:pPr>
            <w:r>
              <w:rPr>
                <w:rFonts w:hint="eastAsia" w:ascii="宋体" w:hAnsi="宋体" w:cs="宋体"/>
                <w:szCs w:val="21"/>
              </w:rPr>
            </w:r>
            <w:r/>
          </w:p>
        </w:tc>
        <w:tc>
          <w:tcPr>
            <w:tcW w:w="5689" w:type="dxa"/>
            <w:vAlign w:val="center"/>
            <w:textDirection w:val="lrTb"/>
            <w:noWrap w:val="false"/>
          </w:tcPr>
          <w:p>
            <w:pPr>
              <w:rPr>
                <w:rFonts w:hint="eastAsia" w:ascii="宋体" w:hAnsi="宋体" w:cs="宋体"/>
                <w:szCs w:val="21"/>
              </w:rPr>
            </w:pPr>
            <w:r>
              <w:rPr>
                <w:rFonts w:hint="eastAsia" w:ascii="宋体" w:hAnsi="宋体" w:cs="宋体"/>
                <w:szCs w:val="21"/>
              </w:rPr>
              <w:t xml:space="preserve">（4）错题本：记录错题并加强练习；</w:t>
            </w:r>
            <w:r/>
          </w:p>
        </w:tc>
      </w:tr>
      <w:tr>
        <w:trPr/>
        <w:tc>
          <w:tcPr>
            <w:tcW w:w="499"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1102"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2026" w:type="dxa"/>
            <w:vAlign w:val="top"/>
            <w:vMerge w:val="continue"/>
            <w:textDirection w:val="lrTb"/>
            <w:noWrap w:val="false"/>
          </w:tcPr>
          <w:p>
            <w:pPr>
              <w:jc w:val="left"/>
              <w:rPr>
                <w:rFonts w:hint="eastAsia" w:ascii="宋体" w:hAnsi="宋体" w:cs="宋体"/>
                <w:szCs w:val="21"/>
              </w:rPr>
            </w:pPr>
            <w:r>
              <w:rPr>
                <w:rFonts w:hint="eastAsia" w:ascii="宋体" w:hAnsi="宋体" w:cs="宋体"/>
                <w:szCs w:val="21"/>
              </w:rPr>
            </w:r>
            <w:r/>
          </w:p>
        </w:tc>
        <w:tc>
          <w:tcPr>
            <w:tcW w:w="5689" w:type="dxa"/>
            <w:vAlign w:val="center"/>
            <w:textDirection w:val="lrTb"/>
            <w:noWrap w:val="false"/>
          </w:tcPr>
          <w:p>
            <w:pPr>
              <w:rPr>
                <w:rFonts w:hint="eastAsia" w:ascii="宋体" w:hAnsi="宋体" w:cs="宋体"/>
                <w:szCs w:val="21"/>
              </w:rPr>
            </w:pPr>
            <w:r>
              <w:rPr>
                <w:rFonts w:hint="eastAsia" w:ascii="宋体" w:hAnsi="宋体" w:cs="宋体"/>
                <w:szCs w:val="21"/>
              </w:rPr>
              <w:t xml:space="preserve">（5）题库：包括快检知识、食品安全管理员、食品安全监管的题目</w:t>
            </w:r>
            <w:r/>
          </w:p>
        </w:tc>
      </w:tr>
      <w:tr>
        <w:trPr/>
        <w:tc>
          <w:tcPr>
            <w:tcW w:w="499"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1102"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2026" w:type="dxa"/>
            <w:vAlign w:val="top"/>
            <w:vMerge w:val="continue"/>
            <w:textDirection w:val="lrTb"/>
            <w:noWrap w:val="false"/>
          </w:tcPr>
          <w:p>
            <w:pPr>
              <w:jc w:val="left"/>
              <w:rPr>
                <w:rFonts w:hint="eastAsia" w:ascii="宋体" w:hAnsi="宋体" w:cs="宋体"/>
                <w:szCs w:val="21"/>
              </w:rPr>
            </w:pPr>
            <w:r>
              <w:rPr>
                <w:rFonts w:hint="eastAsia" w:ascii="宋体" w:hAnsi="宋体" w:cs="宋体"/>
                <w:szCs w:val="21"/>
              </w:rPr>
            </w:r>
            <w:r/>
          </w:p>
        </w:tc>
        <w:tc>
          <w:tcPr>
            <w:tcW w:w="5689" w:type="dxa"/>
            <w:vAlign w:val="center"/>
            <w:textDirection w:val="lrTb"/>
            <w:noWrap w:val="false"/>
          </w:tcPr>
          <w:p>
            <w:pPr>
              <w:rPr>
                <w:rFonts w:hint="eastAsia" w:ascii="宋体" w:hAnsi="宋体" w:cs="宋体"/>
                <w:szCs w:val="21"/>
              </w:rPr>
            </w:pPr>
            <w:r>
              <w:rPr>
                <w:rFonts w:hint="eastAsia" w:ascii="宋体" w:hAnsi="宋体" w:cs="宋体"/>
                <w:szCs w:val="21"/>
              </w:rPr>
              <w:t xml:space="preserve">（6）正式考试：为检测员提供在线考试功能。</w:t>
            </w:r>
            <w:r/>
          </w:p>
        </w:tc>
      </w:tr>
      <w:tr>
        <w:trPr/>
        <w:tc>
          <w:tcPr>
            <w:tcW w:w="499"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1102"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2026" w:type="dxa"/>
            <w:vAlign w:val="top"/>
            <w:vMerge w:val="continue"/>
            <w:textDirection w:val="lrTb"/>
            <w:noWrap w:val="false"/>
          </w:tcPr>
          <w:p>
            <w:pPr>
              <w:jc w:val="left"/>
              <w:rPr>
                <w:rFonts w:hint="eastAsia" w:ascii="宋体" w:hAnsi="宋体" w:cs="宋体"/>
                <w:szCs w:val="21"/>
              </w:rPr>
            </w:pPr>
            <w:r>
              <w:rPr>
                <w:rFonts w:hint="eastAsia" w:ascii="宋体" w:hAnsi="宋体" w:cs="宋体"/>
                <w:szCs w:val="21"/>
              </w:rPr>
            </w:r>
            <w:r/>
          </w:p>
        </w:tc>
        <w:tc>
          <w:tcPr>
            <w:tcW w:w="5689" w:type="dxa"/>
            <w:vAlign w:val="center"/>
            <w:textDirection w:val="lrTb"/>
            <w:noWrap w:val="false"/>
          </w:tcPr>
          <w:p>
            <w:pPr>
              <w:rPr>
                <w:rFonts w:hint="eastAsia" w:ascii="宋体" w:hAnsi="宋体" w:cs="宋体"/>
                <w:szCs w:val="21"/>
              </w:rPr>
            </w:pPr>
            <w:r>
              <w:rPr>
                <w:rFonts w:hint="eastAsia" w:ascii="宋体" w:hAnsi="宋体" w:cs="宋体"/>
                <w:szCs w:val="21"/>
              </w:rPr>
              <w:t xml:space="preserve">（7）学习记录：记录检测员在线学习时长、考试情况统计、分析；</w:t>
            </w:r>
            <w:r/>
          </w:p>
        </w:tc>
      </w:tr>
      <w:tr>
        <w:trPr/>
        <w:tc>
          <w:tcPr>
            <w:tcW w:w="499"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7</w:t>
            </w:r>
            <w:r/>
          </w:p>
        </w:tc>
        <w:tc>
          <w:tcPr>
            <w:tcW w:w="1102" w:type="dxa"/>
            <w:vAlign w:val="center"/>
            <w:vMerge w:val="restart"/>
            <w:textDirection w:val="lrTb"/>
            <w:noWrap w:val="false"/>
          </w:tcPr>
          <w:p>
            <w:pPr>
              <w:jc w:val="center"/>
              <w:rPr>
                <w:rFonts w:hint="eastAsia" w:ascii="宋体" w:hAnsi="宋体" w:cs="宋体"/>
                <w:szCs w:val="21"/>
              </w:rPr>
            </w:pPr>
            <w:r>
              <w:rPr>
                <w:rFonts w:hint="eastAsia" w:ascii="宋体" w:hAnsi="宋体" w:cs="宋体"/>
                <w:b/>
                <w:bCs/>
                <w:szCs w:val="21"/>
              </w:rPr>
              <w:t xml:space="preserve">大数据分析子系统</w:t>
            </w:r>
            <w:r/>
          </w:p>
        </w:tc>
        <w:tc>
          <w:tcPr>
            <w:tcW w:w="2026" w:type="dxa"/>
            <w:vAlign w:val="center"/>
            <w:vMerge w:val="restart"/>
            <w:textDirection w:val="lrTb"/>
            <w:noWrap w:val="false"/>
          </w:tcPr>
          <w:p>
            <w:pPr>
              <w:rPr>
                <w:rFonts w:hint="eastAsia" w:ascii="宋体" w:hAnsi="宋体" w:cs="宋体"/>
                <w:szCs w:val="21"/>
              </w:rPr>
            </w:pPr>
            <w:r>
              <w:rPr>
                <w:rFonts w:hint="eastAsia" w:ascii="宋体" w:hAnsi="宋体" w:cs="宋体"/>
                <w:szCs w:val="21"/>
              </w:rPr>
              <w:t xml:space="preserve">主要运用大数据分析挖掘技术进行多维度数据分析，提供对食品安全工作的决策支持。</w:t>
            </w:r>
            <w:r/>
          </w:p>
        </w:tc>
        <w:tc>
          <w:tcPr>
            <w:tcW w:w="5689" w:type="dxa"/>
            <w:vAlign w:val="center"/>
            <w:textDirection w:val="lrTb"/>
            <w:noWrap w:val="false"/>
          </w:tcPr>
          <w:p>
            <w:pPr>
              <w:rPr>
                <w:rFonts w:hint="eastAsia" w:ascii="宋体" w:hAnsi="宋体" w:cs="宋体"/>
                <w:szCs w:val="21"/>
              </w:rPr>
            </w:pPr>
            <w:r>
              <w:rPr>
                <w:rFonts w:hint="eastAsia" w:ascii="宋体" w:hAnsi="宋体" w:cs="宋体"/>
                <w:szCs w:val="21"/>
              </w:rPr>
              <w:t xml:space="preserve">（1）检测执行分析：</w:t>
            </w:r>
            <w:r/>
          </w:p>
          <w:p>
            <w:pPr>
              <w:ind w:firstLine="420"/>
              <w:rPr>
                <w:rFonts w:hint="eastAsia" w:ascii="宋体" w:hAnsi="宋体" w:cs="宋体"/>
                <w:szCs w:val="21"/>
              </w:rPr>
            </w:pPr>
            <w:r>
              <w:rPr>
                <w:rFonts w:hint="eastAsia" w:ascii="宋体" w:hAnsi="宋体" w:cs="宋体"/>
                <w:szCs w:val="21"/>
              </w:rPr>
              <w:t xml:space="preserve">①计划量、完成量、完成率概况；②计划任务量和实际完成量对比分析；③样品类别检测量分析、覆盖率情况；④不同业态检测量占比分析；⑤检测类别检测量占比分析；⑥快检室检测任务完成率排行；⑦检测量排行；⑧监测覆盖率排行。</w:t>
            </w:r>
            <w:r/>
          </w:p>
        </w:tc>
      </w:tr>
      <w:tr>
        <w:trPr/>
        <w:tc>
          <w:tcPr>
            <w:tcW w:w="499"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1102"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2026" w:type="dxa"/>
            <w:vAlign w:val="top"/>
            <w:vMerge w:val="continue"/>
            <w:textDirection w:val="lrTb"/>
            <w:noWrap w:val="false"/>
          </w:tcPr>
          <w:p>
            <w:pPr>
              <w:jc w:val="left"/>
              <w:rPr>
                <w:rFonts w:hint="eastAsia" w:ascii="宋体" w:hAnsi="宋体" w:cs="宋体"/>
                <w:szCs w:val="21"/>
              </w:rPr>
            </w:pPr>
            <w:r>
              <w:rPr>
                <w:rFonts w:hint="eastAsia" w:ascii="宋体" w:hAnsi="宋体" w:cs="宋体"/>
                <w:szCs w:val="21"/>
              </w:rPr>
            </w:r>
            <w:r/>
          </w:p>
        </w:tc>
        <w:tc>
          <w:tcPr>
            <w:tcW w:w="5689" w:type="dxa"/>
            <w:vAlign w:val="center"/>
            <w:textDirection w:val="lrTb"/>
            <w:noWrap w:val="false"/>
          </w:tcPr>
          <w:p>
            <w:pPr>
              <w:rPr>
                <w:rFonts w:hint="eastAsia" w:ascii="宋体" w:hAnsi="宋体" w:cs="宋体"/>
                <w:szCs w:val="21"/>
              </w:rPr>
            </w:pPr>
            <w:r>
              <w:rPr>
                <w:rFonts w:hint="eastAsia" w:ascii="宋体" w:hAnsi="宋体" w:cs="宋体"/>
                <w:szCs w:val="21"/>
              </w:rPr>
              <w:t xml:space="preserve">（2）风险监测分析：</w:t>
            </w:r>
            <w:r/>
          </w:p>
          <w:p>
            <w:pPr>
              <w:ind w:firstLine="420"/>
              <w:rPr>
                <w:rFonts w:hint="eastAsia" w:ascii="宋体" w:hAnsi="宋体" w:cs="宋体"/>
                <w:szCs w:val="21"/>
              </w:rPr>
            </w:pPr>
            <w:r>
              <w:rPr>
                <w:rFonts w:hint="eastAsia" w:ascii="宋体" w:hAnsi="宋体" w:cs="宋体"/>
                <w:szCs w:val="21"/>
              </w:rPr>
              <w:t xml:space="preserve">①检测总量、合格量、不合格量、合格率概况；②初检不合格量和复核数量对比分析；③快检室检测合格率排行；④检测类别合格率对比分析；⑤不同业态检测合格率对比分析；⑥初检不合格率排行；⑦农贸市场检测复核率排行；⑧样品检测不合格量排行。</w:t>
            </w:r>
            <w:r/>
          </w:p>
        </w:tc>
      </w:tr>
      <w:tr>
        <w:trPr/>
        <w:tc>
          <w:tcPr>
            <w:tcW w:w="499"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8</w:t>
            </w:r>
            <w:r/>
          </w:p>
        </w:tc>
        <w:tc>
          <w:tcPr>
            <w:tcW w:w="1102" w:type="dxa"/>
            <w:vAlign w:val="center"/>
            <w:vMerge w:val="restart"/>
            <w:textDirection w:val="lrTb"/>
            <w:noWrap w:val="false"/>
          </w:tcPr>
          <w:p>
            <w:pPr>
              <w:jc w:val="center"/>
              <w:rPr>
                <w:rFonts w:hint="eastAsia" w:ascii="宋体" w:hAnsi="宋体" w:cs="宋体"/>
                <w:szCs w:val="21"/>
              </w:rPr>
            </w:pPr>
            <w:r>
              <w:rPr>
                <w:rFonts w:hint="eastAsia" w:ascii="宋体" w:hAnsi="宋体" w:cs="宋体"/>
                <w:b/>
                <w:bCs/>
                <w:szCs w:val="21"/>
              </w:rPr>
              <w:t xml:space="preserve">信息公示子系统</w:t>
            </w:r>
            <w:r/>
          </w:p>
        </w:tc>
        <w:tc>
          <w:tcPr>
            <w:tcW w:w="2026" w:type="dxa"/>
            <w:vAlign w:val="top"/>
            <w:vMerge w:val="restart"/>
            <w:textDirection w:val="lrTb"/>
            <w:noWrap w:val="false"/>
          </w:tcPr>
          <w:p>
            <w:pPr>
              <w:rPr>
                <w:rFonts w:hint="eastAsia" w:ascii="宋体" w:hAnsi="宋体" w:cs="宋体"/>
                <w:szCs w:val="21"/>
              </w:rPr>
            </w:pPr>
            <w:r>
              <w:rPr>
                <w:rFonts w:hint="eastAsia" w:ascii="宋体" w:hAnsi="宋体" w:cs="宋体"/>
                <w:szCs w:val="21"/>
              </w:rPr>
              <w:t xml:space="preserve">信息公示子系统满足食品安全信息、商品交易公示的需要，包含经营主体二维码。</w:t>
            </w:r>
            <w:r/>
          </w:p>
        </w:tc>
        <w:tc>
          <w:tcPr>
            <w:tcW w:w="5689" w:type="dxa"/>
            <w:vAlign w:val="center"/>
            <w:textDirection w:val="lrTb"/>
            <w:noWrap w:val="false"/>
          </w:tcPr>
          <w:p>
            <w:pPr>
              <w:rPr>
                <w:rFonts w:hint="eastAsia" w:ascii="宋体" w:hAnsi="宋体" w:cs="宋体"/>
                <w:szCs w:val="21"/>
              </w:rPr>
            </w:pPr>
            <w:r>
              <w:rPr>
                <w:rFonts w:hint="eastAsia" w:ascii="宋体" w:hAnsi="宋体" w:cs="宋体"/>
                <w:szCs w:val="21"/>
              </w:rPr>
              <w:t xml:space="preserve">（1）商户二维码H5：</w:t>
            </w:r>
            <w:r/>
          </w:p>
        </w:tc>
      </w:tr>
      <w:tr>
        <w:trPr/>
        <w:tc>
          <w:tcPr>
            <w:tcW w:w="499"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1102"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2026" w:type="dxa"/>
            <w:vAlign w:val="top"/>
            <w:vMerge w:val="continue"/>
            <w:textDirection w:val="lrTb"/>
            <w:noWrap w:val="false"/>
          </w:tcPr>
          <w:p>
            <w:pPr>
              <w:jc w:val="left"/>
              <w:rPr>
                <w:rFonts w:hint="eastAsia" w:ascii="宋体" w:hAnsi="宋体" w:cs="宋体"/>
                <w:szCs w:val="21"/>
              </w:rPr>
            </w:pPr>
            <w:r>
              <w:rPr>
                <w:rFonts w:hint="eastAsia" w:ascii="宋体" w:hAnsi="宋体" w:cs="宋体"/>
                <w:szCs w:val="21"/>
              </w:rPr>
            </w:r>
            <w:r/>
          </w:p>
        </w:tc>
        <w:tc>
          <w:tcPr>
            <w:tcW w:w="5689" w:type="dxa"/>
            <w:vAlign w:val="center"/>
            <w:textDirection w:val="lrTb"/>
            <w:noWrap w:val="false"/>
          </w:tcPr>
          <w:p>
            <w:pPr>
              <w:rPr>
                <w:rFonts w:hint="eastAsia" w:ascii="宋体" w:hAnsi="宋体" w:cs="宋体"/>
                <w:szCs w:val="21"/>
              </w:rPr>
            </w:pPr>
            <w:r>
              <w:rPr>
                <w:rFonts w:hint="eastAsia" w:ascii="宋体" w:hAnsi="宋体" w:cs="宋体"/>
                <w:szCs w:val="21"/>
              </w:rPr>
              <w:t xml:space="preserve">（2）检：此商户近期检测信息。</w:t>
            </w:r>
            <w:r/>
          </w:p>
        </w:tc>
      </w:tr>
      <w:tr>
        <w:trPr/>
        <w:tc>
          <w:tcPr>
            <w:tcW w:w="499"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1102"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2026" w:type="dxa"/>
            <w:vAlign w:val="top"/>
            <w:vMerge w:val="continue"/>
            <w:textDirection w:val="lrTb"/>
            <w:noWrap w:val="false"/>
          </w:tcPr>
          <w:p>
            <w:pPr>
              <w:jc w:val="left"/>
              <w:rPr>
                <w:rFonts w:hint="eastAsia" w:ascii="宋体" w:hAnsi="宋体" w:cs="宋体"/>
                <w:szCs w:val="21"/>
              </w:rPr>
            </w:pPr>
            <w:r>
              <w:rPr>
                <w:rFonts w:hint="eastAsia" w:ascii="宋体" w:hAnsi="宋体" w:cs="宋体"/>
                <w:szCs w:val="21"/>
              </w:rPr>
            </w:r>
            <w:r/>
          </w:p>
        </w:tc>
        <w:tc>
          <w:tcPr>
            <w:tcW w:w="5689" w:type="dxa"/>
            <w:vAlign w:val="center"/>
            <w:textDirection w:val="lrTb"/>
            <w:noWrap w:val="false"/>
          </w:tcPr>
          <w:p>
            <w:pPr>
              <w:rPr>
                <w:rFonts w:hint="eastAsia" w:ascii="宋体" w:hAnsi="宋体" w:cs="宋体"/>
                <w:szCs w:val="21"/>
              </w:rPr>
            </w:pPr>
            <w:r>
              <w:rPr>
                <w:rFonts w:hint="eastAsia" w:ascii="宋体" w:hAnsi="宋体" w:cs="宋体"/>
                <w:szCs w:val="21"/>
              </w:rPr>
              <w:t xml:space="preserve">（3）源：此商户溯源信息。</w:t>
            </w:r>
            <w:r/>
          </w:p>
        </w:tc>
      </w:tr>
      <w:tr>
        <w:trPr/>
        <w:tc>
          <w:tcPr>
            <w:tcW w:w="499"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1102"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2026" w:type="dxa"/>
            <w:vAlign w:val="top"/>
            <w:vMerge w:val="continue"/>
            <w:textDirection w:val="lrTb"/>
            <w:noWrap w:val="false"/>
          </w:tcPr>
          <w:p>
            <w:pPr>
              <w:jc w:val="left"/>
              <w:rPr>
                <w:rFonts w:hint="eastAsia" w:ascii="宋体" w:hAnsi="宋体" w:cs="宋体"/>
                <w:szCs w:val="21"/>
              </w:rPr>
            </w:pPr>
            <w:r>
              <w:rPr>
                <w:rFonts w:hint="eastAsia" w:ascii="宋体" w:hAnsi="宋体" w:cs="宋体"/>
                <w:szCs w:val="21"/>
              </w:rPr>
            </w:r>
            <w:r/>
          </w:p>
        </w:tc>
        <w:tc>
          <w:tcPr>
            <w:tcW w:w="5689" w:type="dxa"/>
            <w:vAlign w:val="center"/>
            <w:textDirection w:val="lrTb"/>
            <w:noWrap w:val="false"/>
          </w:tcPr>
          <w:p>
            <w:pPr>
              <w:rPr>
                <w:rFonts w:hint="eastAsia" w:ascii="宋体" w:hAnsi="宋体" w:cs="宋体"/>
                <w:szCs w:val="21"/>
              </w:rPr>
            </w:pPr>
            <w:r>
              <w:rPr>
                <w:rFonts w:hint="eastAsia" w:ascii="宋体" w:hAnsi="宋体" w:cs="宋体"/>
                <w:szCs w:val="21"/>
              </w:rPr>
              <w:t xml:space="preserve">（4）评：此商户的评价信息，并可对此商户进行评价。</w:t>
            </w:r>
            <w:r/>
          </w:p>
        </w:tc>
      </w:tr>
      <w:tr>
        <w:trPr/>
        <w:tc>
          <w:tcPr>
            <w:tcW w:w="499"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9</w:t>
            </w:r>
            <w:r/>
          </w:p>
        </w:tc>
        <w:tc>
          <w:tcPr>
            <w:tcW w:w="1102" w:type="dxa"/>
            <w:vAlign w:val="center"/>
            <w:vMerge w:val="restart"/>
            <w:textDirection w:val="lrTb"/>
            <w:noWrap w:val="false"/>
          </w:tcPr>
          <w:p>
            <w:pPr>
              <w:jc w:val="left"/>
              <w:rPr>
                <w:rFonts w:hint="eastAsia" w:ascii="宋体" w:hAnsi="宋体" w:cs="宋体"/>
                <w:szCs w:val="21"/>
              </w:rPr>
            </w:pPr>
            <w:r>
              <w:rPr>
                <w:rFonts w:hint="eastAsia" w:ascii="宋体" w:hAnsi="宋体" w:cs="宋体"/>
                <w:b/>
                <w:bCs/>
                <w:szCs w:val="21"/>
              </w:rPr>
              <w:t xml:space="preserve">溯源管理子系统</w:t>
            </w:r>
            <w:r/>
          </w:p>
        </w:tc>
        <w:tc>
          <w:tcPr>
            <w:tcW w:w="2026" w:type="dxa"/>
            <w:vAlign w:val="center"/>
            <w:vMerge w:val="restart"/>
            <w:textDirection w:val="lrTb"/>
            <w:noWrap w:val="false"/>
          </w:tcPr>
          <w:p>
            <w:pPr>
              <w:rPr>
                <w:rFonts w:ascii="宋体" w:hAnsi="宋体" w:cs="宋体"/>
                <w:szCs w:val="21"/>
              </w:rPr>
            </w:pPr>
            <w:r>
              <w:rPr>
                <w:rFonts w:hint="eastAsia" w:ascii="宋体" w:hAnsi="宋体" w:cs="宋体"/>
                <w:szCs w:val="21"/>
              </w:rPr>
              <w:t xml:space="preserve">溯源管理子系统主要包括进出货管理、农产品合格证、追溯管理等功能</w:t>
            </w:r>
            <w:r/>
          </w:p>
        </w:tc>
        <w:tc>
          <w:tcPr>
            <w:tcW w:w="5689" w:type="dxa"/>
            <w:vAlign w:val="center"/>
            <w:textDirection w:val="lrTb"/>
            <w:noWrap w:val="false"/>
          </w:tcPr>
          <w:p>
            <w:pPr>
              <w:rPr>
                <w:rFonts w:hint="eastAsia" w:ascii="宋体" w:hAnsi="宋体" w:cs="宋体"/>
                <w:szCs w:val="21"/>
              </w:rPr>
            </w:pPr>
            <w:r>
              <w:rPr>
                <w:rFonts w:hint="eastAsia" w:ascii="宋体" w:hAnsi="宋体" w:cs="宋体"/>
                <w:szCs w:val="21"/>
              </w:rPr>
              <w:t xml:space="preserve">（1）进出货管理：经营户可以通过小程序建立供应商名录以及对应提供的商品，建立入库、库存、出库的详细信息，确保在经营户这一端上下游追溯链条能够完整。入库的商品可在检测员采样时直接导入进行采样，无需重复填写采样信息。</w:t>
            </w:r>
            <w:r/>
          </w:p>
        </w:tc>
      </w:tr>
      <w:tr>
        <w:trPr/>
        <w:tc>
          <w:tcPr>
            <w:tcW w:w="499"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1102"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2026" w:type="dxa"/>
            <w:vAlign w:val="top"/>
            <w:vMerge w:val="continue"/>
            <w:textDirection w:val="lrTb"/>
            <w:noWrap w:val="false"/>
          </w:tcPr>
          <w:p>
            <w:pPr>
              <w:jc w:val="left"/>
              <w:rPr>
                <w:rFonts w:hint="eastAsia" w:ascii="宋体" w:hAnsi="宋体" w:cs="宋体"/>
                <w:szCs w:val="21"/>
              </w:rPr>
            </w:pPr>
            <w:r>
              <w:rPr>
                <w:rFonts w:hint="eastAsia" w:ascii="宋体" w:hAnsi="宋体" w:cs="宋体"/>
                <w:szCs w:val="21"/>
              </w:rPr>
            </w:r>
            <w:r/>
          </w:p>
        </w:tc>
        <w:tc>
          <w:tcPr>
            <w:tcW w:w="5689" w:type="dxa"/>
            <w:vAlign w:val="center"/>
            <w:textDirection w:val="lrTb"/>
            <w:noWrap w:val="false"/>
          </w:tcPr>
          <w:p>
            <w:pPr>
              <w:rPr>
                <w:rFonts w:hint="eastAsia" w:ascii="宋体" w:hAnsi="宋体" w:cs="宋体"/>
                <w:szCs w:val="21"/>
              </w:rPr>
            </w:pPr>
            <w:r>
              <w:rPr>
                <w:rFonts w:hint="eastAsia" w:ascii="宋体" w:hAnsi="宋体" w:cs="宋体"/>
                <w:szCs w:val="21"/>
              </w:rPr>
              <w:t xml:space="preserve">（2）农产品合格证：通过扫描农产品合格证或者拍照，保存上游农产品合格证的信息。</w:t>
            </w:r>
            <w:r/>
          </w:p>
        </w:tc>
      </w:tr>
      <w:tr>
        <w:trPr/>
        <w:tc>
          <w:tcPr>
            <w:tcW w:w="499"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1102"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2026" w:type="dxa"/>
            <w:vAlign w:val="top"/>
            <w:vMerge w:val="continue"/>
            <w:textDirection w:val="lrTb"/>
            <w:noWrap w:val="false"/>
          </w:tcPr>
          <w:p>
            <w:pPr>
              <w:jc w:val="left"/>
              <w:rPr>
                <w:rFonts w:hint="eastAsia" w:ascii="宋体" w:hAnsi="宋体" w:cs="宋体"/>
                <w:szCs w:val="21"/>
              </w:rPr>
            </w:pPr>
            <w:r>
              <w:rPr>
                <w:rFonts w:hint="eastAsia" w:ascii="宋体" w:hAnsi="宋体" w:cs="宋体"/>
                <w:szCs w:val="21"/>
              </w:rPr>
            </w:r>
            <w:r/>
          </w:p>
        </w:tc>
        <w:tc>
          <w:tcPr>
            <w:tcW w:w="5689" w:type="dxa"/>
            <w:vAlign w:val="center"/>
            <w:textDirection w:val="lrTb"/>
            <w:noWrap w:val="false"/>
          </w:tcPr>
          <w:p>
            <w:pPr>
              <w:rPr>
                <w:rFonts w:hint="eastAsia" w:ascii="宋体" w:hAnsi="宋体" w:cs="宋体"/>
                <w:szCs w:val="21"/>
              </w:rPr>
            </w:pPr>
            <w:r>
              <w:rPr>
                <w:rFonts w:hint="eastAsia" w:ascii="宋体" w:hAnsi="宋体" w:cs="宋体"/>
                <w:szCs w:val="21"/>
              </w:rPr>
              <w:t xml:space="preserve">（3）追溯管理：该系统可按农产品或经营户查询，以树状图的形式展现每一次流动的痕迹，也可按溯源码查询同一批次农产品的溯源。每批商品进入批发市场后都会生成一个溯源码，一旦发现问题，可及时向上游追溯。</w:t>
            </w:r>
            <w:r/>
          </w:p>
        </w:tc>
      </w:tr>
    </w:tbl>
    <w:p>
      <w:pPr>
        <w:keepLines/>
        <w:keepNext/>
        <w:spacing w:line="360" w:lineRule="auto"/>
        <w:rPr>
          <w:rFonts w:hint="eastAsia"/>
          <w:b/>
          <w:sz w:val="28"/>
        </w:rPr>
        <w:outlineLvl w:val="2"/>
      </w:pPr>
      <w:r>
        <w:rPr>
          <w:rFonts w:hint="eastAsia"/>
          <w:b/>
          <w:sz w:val="28"/>
        </w:rPr>
        <w:t xml:space="preserve">9、日常工作要求</w:t>
      </w:r>
      <w:r/>
    </w:p>
    <w:p>
      <w:pPr>
        <w:spacing w:line="360" w:lineRule="auto"/>
      </w:pPr>
      <w:r>
        <mc:AlternateContent>
          <mc:Choice Requires="wpg">
            <w:drawing>
              <wp:inline xmlns:wp="http://schemas.openxmlformats.org/drawingml/2006/wordprocessingDrawing" distT="0" distB="0" distL="0" distR="0">
                <wp:extent cx="5492750" cy="2098040"/>
                <wp:effectExtent l="0" t="0" r="12700" b="1651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r/>
                      </pic:nvPicPr>
                      <pic:blipFill>
                        <a:blip r:embed="rId11"/>
                        <a:srcRect l="4393" t="424" r="10340" b="32409"/>
                        <a:stretch/>
                      </pic:blipFill>
                      <pic:spPr bwMode="auto">
                        <a:xfrm>
                          <a:off x="0" y="0"/>
                          <a:ext cx="5492750" cy="20980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32.5pt;height:165.2pt;mso-wrap-distance-left:0.0pt;mso-wrap-distance-top:0.0pt;mso-wrap-distance-right:0.0pt;mso-wrap-distance-bottom:0.0pt;" stroked="f">
                <v:path textboxrect="0,0,0,0"/>
                <v:imagedata r:id="rId11" o:title=""/>
              </v:shape>
            </w:pict>
          </mc:Fallback>
        </mc:AlternateContent>
      </w:r>
      <w:r/>
    </w:p>
    <w:p>
      <w:pPr>
        <w:jc w:val="left"/>
        <w:spacing w:line="360" w:lineRule="auto"/>
        <w:rPr>
          <w:rFonts w:hint="eastAsia"/>
          <w:b/>
          <w:bCs/>
          <w:color w:val="000000"/>
          <w:sz w:val="22"/>
          <w:szCs w:val="22"/>
        </w:rPr>
      </w:pPr>
      <w:r>
        <w:rPr>
          <w:rFonts w:hint="eastAsia"/>
          <w:b/>
          <w:bCs/>
          <w:color w:val="000000"/>
          <w:sz w:val="22"/>
          <w:szCs w:val="22"/>
        </w:rPr>
        <w:t xml:space="preserve">①下发检测任务；②分配任务；③前往对应区域抽样；④签字生成抽样单；⑤样本送往检测站点检测；⑥不合格样品；⑦复检不合格（通知市场主办方和分局），法检确证阳性⑧上传结果；⑨合格样品，直接上传；⑩结果反馈公示</w:t>
      </w:r>
      <w:r/>
    </w:p>
    <w:p>
      <w:pPr>
        <w:spacing w:line="360" w:lineRule="auto"/>
        <w:rPr>
          <w:rFonts w:hint="eastAsia" w:ascii="宋体" w:hAnsi="宋体"/>
          <w:sz w:val="24"/>
        </w:rPr>
      </w:pPr>
      <w:r>
        <w:rPr>
          <w:rFonts w:hint="eastAsia" w:ascii="宋体" w:hAnsi="宋体"/>
          <w:b/>
          <w:bCs/>
          <w:sz w:val="24"/>
        </w:rPr>
        <w:t xml:space="preserve">1）主动采样或接收样品：</w:t>
      </w:r>
      <w:r>
        <w:rPr>
          <w:rFonts w:hint="eastAsia" w:ascii="宋体" w:hAnsi="宋体"/>
          <w:sz w:val="24"/>
        </w:rPr>
        <w:t xml:space="preserve">负责服务期内的采样工作，应主动采集样品或接收样品进行食品安全快速检测。</w:t>
      </w:r>
      <w:r/>
    </w:p>
    <w:p>
      <w:pPr>
        <w:spacing w:line="360" w:lineRule="auto"/>
        <w:rPr>
          <w:rFonts w:hint="eastAsia" w:ascii="宋体" w:hAnsi="宋体"/>
          <w:sz w:val="24"/>
        </w:rPr>
      </w:pPr>
      <w:r>
        <w:rPr>
          <w:rFonts w:hint="eastAsia" w:ascii="宋体" w:hAnsi="宋体"/>
          <w:b/>
          <w:bCs/>
          <w:sz w:val="24"/>
        </w:rPr>
        <w:t xml:space="preserve">2）快检人员对样品开展食品安全快速检测：</w:t>
      </w:r>
      <w:r>
        <w:rPr>
          <w:rFonts w:hint="eastAsia" w:ascii="宋体" w:hAnsi="宋体"/>
          <w:sz w:val="24"/>
        </w:rPr>
        <w:t xml:space="preserve">投标人负责快检人员食品安全快速检测培训，包括采样、检测操作及结果处理的培训及指导，要进行实操培训，做到人人上机、独立操作、逐个考核、人人过关，确保快检操作人员熟练掌握快检操作技能，顺利完成快检任务。要建立快检人员培训和考核档案，每年培训时间不少于40小时。</w:t>
      </w:r>
      <w:r/>
    </w:p>
    <w:p>
      <w:pPr>
        <w:spacing w:line="360" w:lineRule="auto"/>
        <w:rPr>
          <w:rFonts w:hint="eastAsia" w:ascii="宋体" w:hAnsi="宋体" w:cs="仿宋_GB2312"/>
          <w:sz w:val="24"/>
        </w:rPr>
      </w:pPr>
      <w:r>
        <w:rPr>
          <w:rFonts w:hint="eastAsia" w:ascii="宋体" w:hAnsi="宋体"/>
          <w:b/>
          <w:bCs/>
          <w:sz w:val="24"/>
        </w:rPr>
        <w:t xml:space="preserve">3）检测数据上传、登记、信息反馈：</w:t>
      </w:r>
      <w:r>
        <w:rPr>
          <w:rFonts w:hint="eastAsia" w:ascii="宋体" w:hAnsi="宋体" w:cs="仿宋_GB2312"/>
          <w:sz w:val="24"/>
        </w:rPr>
        <w:t xml:space="preserve">投标人须为本项目提供食品安全信息化监管平台保证服务期内将采样信息、检测数据等信息实时传输保存至该平台并联网公示。</w:t>
      </w:r>
      <w:r/>
    </w:p>
    <w:p>
      <w:pPr>
        <w:spacing w:line="360" w:lineRule="auto"/>
        <w:rPr>
          <w:rFonts w:ascii="宋体" w:hAnsi="宋体"/>
          <w:sz w:val="24"/>
        </w:rPr>
      </w:pPr>
      <w:r>
        <w:rPr>
          <w:rFonts w:hint="eastAsia" w:ascii="宋体" w:hAnsi="宋体"/>
          <w:b/>
          <w:bCs/>
          <w:sz w:val="24"/>
        </w:rPr>
        <w:t xml:space="preserve">4）结果处理及公示：</w:t>
      </w:r>
      <w:r>
        <w:rPr>
          <w:rFonts w:hint="eastAsia" w:ascii="宋体" w:hAnsi="宋体"/>
          <w:sz w:val="24"/>
        </w:rPr>
        <w:t xml:space="preserve">本项目需配备公示系统，将每日快检合格产品信息在相关市场内公示，快检人员在现场快检中发现不合格产品的，需要进行复核处理，复核仍然阳性的，要立即将检测结果通报给采购人，并做好相关通报记录；积极配合采购人对不合格的检测报告及相关产品进行处理。</w:t>
      </w:r>
      <w:r/>
    </w:p>
    <w:p>
      <w:pPr>
        <w:spacing w:line="360" w:lineRule="auto"/>
        <w:rPr>
          <w:rFonts w:hint="eastAsia" w:ascii="宋体" w:hAnsi="宋体"/>
          <w:sz w:val="24"/>
        </w:rPr>
      </w:pPr>
      <w:r/>
      <w:bookmarkStart w:id="181" w:name="OLE_LINK3"/>
      <w:r>
        <w:rPr>
          <w:rFonts w:hint="eastAsia" w:ascii="宋体" w:hAnsi="宋体"/>
          <w:b/>
          <w:bCs/>
          <w:sz w:val="24"/>
        </w:rPr>
        <w:t xml:space="preserve">5）不合格品后续处理：</w:t>
      </w:r>
      <w:bookmarkEnd w:id="181"/>
      <w:r>
        <w:rPr>
          <w:rFonts w:hint="eastAsia" w:ascii="宋体" w:hAnsi="宋体"/>
          <w:sz w:val="24"/>
        </w:rPr>
        <w:t xml:space="preserve">对经快检不合格的食用农产品，投标人要协助采购人及时填写《快检不合格结果告知书》，在30分钟内将结果告知采购人，按采购人要求进行处理。对快检结果无异议的，指导、配合市场开办方对快检不合格食用农产品采取下架、销毁或其他无害化处理措施，防止其再次流入市场，签订《自主承诺下架协议书》，并对现场处置的文件、照片、视频进行留档；对快检结果有异议的，投标人需协助采购人进行法定抽样检验。</w:t>
      </w:r>
      <w:r/>
    </w:p>
    <w:p>
      <w:pPr>
        <w:jc w:val="left"/>
        <w:spacing w:line="360" w:lineRule="auto"/>
        <w:rPr>
          <w:rFonts w:hint="eastAsia" w:ascii="宋体" w:hAnsi="宋体" w:cs="宋体"/>
          <w:sz w:val="24"/>
        </w:rPr>
      </w:pPr>
      <w:r>
        <w:rPr>
          <w:rFonts w:hint="eastAsia" w:ascii="宋体" w:hAnsi="宋体"/>
          <w:b/>
          <w:bCs/>
          <w:sz w:val="24"/>
        </w:rPr>
        <w:t xml:space="preserve">6）档案管理：</w:t>
      </w:r>
      <w:r>
        <w:rPr>
          <w:rFonts w:hint="eastAsia" w:ascii="宋体" w:hAnsi="宋体"/>
          <w:sz w:val="24"/>
        </w:rPr>
        <w:t xml:space="preserve">投标人在区域范围内开展食品快检业务所形成的所有检测原始数据及检测结果，归采购人所有。未经采购人允许，不得对外公示或公布。投标人应同步进行检测数据的收集、整理、归档，并对检测数据进行综合分析和开发利用，为采购人制定监管措施及改进工作提供数据依据投标人按季度将档案资料移交给采购人。</w:t>
      </w:r>
      <w:r/>
    </w:p>
    <w:p>
      <w:pPr>
        <w:keepLines/>
        <w:keepNext/>
        <w:spacing w:line="360" w:lineRule="auto"/>
        <w:rPr>
          <w:rFonts w:hint="eastAsia"/>
          <w:b/>
          <w:sz w:val="28"/>
          <w:highlight w:val="none"/>
        </w:rPr>
        <w:outlineLvl w:val="2"/>
      </w:pPr>
      <w:r>
        <w:rPr>
          <w:rFonts w:hint="eastAsia"/>
          <w:b/>
          <w:sz w:val="28"/>
          <w:highlight w:val="none"/>
        </w:rPr>
        <w:t xml:space="preserve">10、增值服务</w:t>
      </w:r>
      <w:r/>
    </w:p>
    <w:p>
      <w:pPr>
        <w:jc w:val="left"/>
        <w:spacing w:line="360" w:lineRule="auto"/>
        <w:widowControl/>
        <w:rPr>
          <w:rFonts w:hint="eastAsia" w:ascii="宋体" w:hAnsi="宋体" w:cs="宋体"/>
          <w:color w:val="000000"/>
          <w:sz w:val="24"/>
          <w:lang w:bidi="ar"/>
        </w:rPr>
      </w:pPr>
      <w:r>
        <w:rPr>
          <w:rFonts w:hint="eastAsia" w:ascii="宋体" w:hAnsi="宋体" w:cs="宋体"/>
          <w:color w:val="000000"/>
          <w:sz w:val="24"/>
          <w:lang w:bidi="ar"/>
        </w:rPr>
        <w:t xml:space="preserve">（1）食品安全知识培训宣传和技术咨询：快检人员除了完成每天的检测任务之外，还要配合采购单位进行食品安全的宣传活动、现场快速检测等工作。</w:t>
      </w:r>
      <w:r/>
    </w:p>
    <w:p>
      <w:pPr>
        <w:jc w:val="left"/>
        <w:spacing w:line="360" w:lineRule="auto"/>
        <w:widowControl/>
        <w:rPr>
          <w:rFonts w:hint="eastAsia" w:ascii="宋体" w:hAnsi="宋体" w:cs="宋体"/>
          <w:color w:val="000000"/>
          <w:sz w:val="24"/>
          <w:lang w:bidi="ar"/>
        </w:rPr>
      </w:pPr>
      <w:r>
        <w:rPr>
          <w:rFonts w:hint="eastAsia" w:ascii="宋体" w:hAnsi="宋体" w:cs="宋体"/>
          <w:color w:val="000000"/>
          <w:sz w:val="24"/>
          <w:lang w:bidi="ar"/>
        </w:rPr>
        <w:t xml:space="preserve">（2）中标单位在一年服务期内须保障县局突发检测任务，根据需要免费提供服务项目如“你点我检”、“你送我检”“中、高考保障”等，响应时间为2小时内。</w:t>
      </w:r>
      <w:r/>
    </w:p>
    <w:p>
      <w:pPr>
        <w:jc w:val="left"/>
        <w:spacing w:line="360" w:lineRule="auto"/>
        <w:widowControl/>
        <w:rPr>
          <w:rFonts w:hint="eastAsia" w:ascii="宋体" w:hAnsi="宋体" w:cs="宋体"/>
          <w:color w:val="000000"/>
          <w:sz w:val="24"/>
          <w:lang w:bidi="ar"/>
        </w:rPr>
      </w:pPr>
      <w:r>
        <w:rPr>
          <w:rFonts w:hint="eastAsia" w:ascii="宋体" w:hAnsi="宋体" w:cs="宋体"/>
          <w:color w:val="000000"/>
          <w:sz w:val="24"/>
          <w:lang w:bidi="ar"/>
        </w:rPr>
        <w:t xml:space="preserve">（3）中标单位以自身单位项目资源为导向，每月提供阳性数据分析（包括快检品种、检测项目等）形成书面分析报告提交</w:t>
      </w:r>
      <w:r>
        <w:rPr>
          <w:rFonts w:hint="eastAsia" w:ascii="宋体" w:hAnsi="宋体" w:eastAsia="宋体" w:cs="宋体"/>
          <w:color w:val="000000"/>
          <w:sz w:val="24"/>
          <w:lang w:val="en-US" w:eastAsia="zh-CN" w:bidi="ar"/>
        </w:rPr>
        <w:t xml:space="preserve">阜宁</w:t>
      </w:r>
      <w:r>
        <w:rPr>
          <w:rFonts w:hint="eastAsia" w:ascii="宋体" w:hAnsi="宋体" w:cs="宋体"/>
          <w:color w:val="000000"/>
          <w:sz w:val="24"/>
          <w:lang w:bidi="ar"/>
        </w:rPr>
        <w:t xml:space="preserve">县局，用于与监督抽检联动。</w:t>
      </w:r>
      <w:r/>
    </w:p>
    <w:p>
      <w:pPr>
        <w:jc w:val="left"/>
        <w:rPr>
          <w:color w:val="000000"/>
          <w:sz w:val="24"/>
        </w:rPr>
      </w:pPr>
      <w:r>
        <w:rPr>
          <w:rFonts w:hint="eastAsia" w:ascii="宋体" w:hAnsi="宋体" w:cs="宋体"/>
          <w:color w:val="000000"/>
          <w:sz w:val="24"/>
          <w:lang w:bidi="ar"/>
        </w:rPr>
        <w:t xml:space="preserve">（4）根据省市局要求，需开展相关行动的配合工作。</w:t>
      </w:r>
      <w:r/>
    </w:p>
    <w:p>
      <w:pPr>
        <w:jc w:val="left"/>
        <w:spacing w:line="360" w:lineRule="auto"/>
        <w:rPr>
          <w:rFonts w:hint="eastAsia" w:ascii="宋体" w:hAnsi="宋体" w:cs="宋体"/>
          <w:sz w:val="24"/>
        </w:rPr>
      </w:pPr>
      <w:r>
        <w:rPr>
          <w:rFonts w:hint="eastAsia" w:ascii="宋体" w:hAnsi="宋体" w:cs="宋体"/>
          <w:sz w:val="24"/>
        </w:rPr>
        <w:t xml:space="preserve">（5）服务质量要求：</w:t>
      </w:r>
      <w:r/>
    </w:p>
    <w:p>
      <w:pPr>
        <w:ind w:firstLine="560"/>
        <w:jc w:val="left"/>
        <w:spacing w:line="360" w:lineRule="auto"/>
        <w:rPr>
          <w:rFonts w:hint="eastAsia" w:ascii="宋体" w:hAnsi="宋体" w:cs="宋体"/>
          <w:sz w:val="24"/>
        </w:rPr>
      </w:pPr>
      <w:r>
        <w:rPr>
          <w:rFonts w:hint="eastAsia" w:ascii="宋体" w:hAnsi="宋体" w:cs="宋体"/>
          <w:sz w:val="24"/>
        </w:rPr>
        <w:t xml:space="preserve">1.工作纪律：投标人及其工作人员采购样品</w:t>
      </w:r>
      <w:r>
        <w:rPr>
          <w:rFonts w:hint="eastAsia" w:ascii="宋体" w:hAnsi="宋体" w:cs="宋体"/>
          <w:sz w:val="24"/>
        </w:rPr>
        <w:t xml:space="preserve">必须严格按照采购人采样要求，不得与采购对象勾结、漏采、少采；检测制样须严格遵守采购人要求，保证样品真实性及检测结果有效性；检测结果不得瞒报、谎报、漏报检验数据，检测工作中形成的数据资料、各项制度、检测仪器说明书、统计报表、计算机软件等相关文件要分门别类，指定专人登记，定期存档。对重要的数据、内部材料等未经审批，不得私自外借或复印。不得擅自发布有关快速检测信息，不得在开展抽样工作前事先通知被抽检单位和接受被抽检单位的馈赠，不得利用抽检结果开展有偿活动、牟取不正当利益。对发现的违法违规施检行为将向有关部门报告。</w:t>
      </w:r>
      <w:r/>
    </w:p>
    <w:p>
      <w:pPr>
        <w:ind w:firstLine="560"/>
        <w:jc w:val="left"/>
        <w:spacing w:line="360" w:lineRule="auto"/>
        <w:rPr>
          <w:rFonts w:hint="eastAsia" w:ascii="宋体" w:hAnsi="宋体" w:cs="宋体"/>
          <w:sz w:val="24"/>
        </w:rPr>
      </w:pPr>
      <w:r>
        <w:rPr>
          <w:rFonts w:hint="eastAsia" w:ascii="宋体" w:hAnsi="宋体" w:cs="宋体"/>
          <w:sz w:val="24"/>
        </w:rPr>
        <w:t xml:space="preserve">2.管理制度：投标人按照本项目目标要求，制定包括人员管理、业务培训、检测规程、检测结果公示（上传）规定、档案管理等的管理制度体系，实现全过程、全方位的规范化管理。管理制度应上墙公示，接受公众监督。</w:t>
      </w:r>
      <w:r/>
    </w:p>
    <w:p>
      <w:pPr>
        <w:ind w:firstLine="560"/>
        <w:jc w:val="left"/>
        <w:spacing w:line="360" w:lineRule="auto"/>
        <w:rPr>
          <w:rFonts w:hint="eastAsia" w:ascii="宋体" w:hAnsi="宋体" w:cs="宋体"/>
          <w:sz w:val="24"/>
        </w:rPr>
      </w:pPr>
      <w:r>
        <w:rPr>
          <w:rFonts w:hint="eastAsia" w:ascii="宋体" w:hAnsi="宋体" w:cs="宋体"/>
          <w:sz w:val="24"/>
        </w:rPr>
        <w:t xml:space="preserve">3.快检人员每年进行相应的技术培训，对突发情况要有预案。</w:t>
      </w:r>
      <w:r/>
    </w:p>
    <w:p>
      <w:pPr>
        <w:ind w:firstLine="560"/>
        <w:jc w:val="left"/>
        <w:spacing w:line="360" w:lineRule="auto"/>
        <w:rPr>
          <w:rFonts w:hint="eastAsia" w:ascii="宋体" w:hAnsi="宋体" w:cs="宋体"/>
          <w:sz w:val="24"/>
        </w:rPr>
      </w:pPr>
      <w:r>
        <w:rPr>
          <w:rFonts w:hint="eastAsia" w:ascii="宋体" w:hAnsi="宋体" w:cs="宋体"/>
          <w:sz w:val="24"/>
        </w:rPr>
        <w:t xml:space="preserve">4.采购人对快检服务人员工作不满意，有权要求投标人在3天内更换人员。服务公司还需提供确定的固定储备专职专业技术人员名单，以满足采购人对服务人员的更换需求。</w:t>
      </w:r>
      <w:r/>
    </w:p>
    <w:p>
      <w:pPr>
        <w:keepLines/>
        <w:keepNext/>
        <w:spacing w:line="360" w:lineRule="auto"/>
        <w:rPr>
          <w:rFonts w:hint="eastAsia" w:ascii="宋体" w:hAnsi="宋体" w:cs="宋体"/>
          <w:b/>
          <w:sz w:val="28"/>
          <w:highlight w:val="none"/>
        </w:rPr>
        <w:outlineLvl w:val="1"/>
      </w:pPr>
      <w:r>
        <w:rPr>
          <w:rFonts w:hint="eastAsia" w:ascii="宋体" w:hAnsi="宋体" w:cs="宋体"/>
          <w:b/>
          <w:sz w:val="28"/>
        </w:rPr>
        <w:t xml:space="preserve">（</w:t>
      </w:r>
      <w:r>
        <w:rPr>
          <w:rFonts w:hint="eastAsia" w:ascii="宋体" w:hAnsi="宋体" w:cs="宋体"/>
          <w:b/>
          <w:sz w:val="28"/>
          <w:highlight w:val="none"/>
        </w:rPr>
        <w:t xml:space="preserve">二）督查考核</w:t>
      </w:r>
      <w:r/>
    </w:p>
    <w:p>
      <w:pPr>
        <w:ind w:firstLine="480"/>
        <w:jc w:val="left"/>
        <w:keepLines w:val="0"/>
        <w:keepNext w:val="0"/>
        <w:spacing w:line="360" w:lineRule="auto"/>
        <w:widowControl/>
        <w:rPr>
          <w:rFonts w:hint="default" w:ascii="宋体" w:hAnsi="宋体" w:eastAsia="宋体" w:cs="宋体"/>
          <w:color w:val="000000"/>
          <w:sz w:val="24"/>
          <w:szCs w:val="24"/>
          <w:highlight w:val="none"/>
          <w:lang w:val="en-US" w:eastAsia="zh-CN" w:bidi="ar-SA"/>
        </w:rPr>
        <w:suppressLineNumbers w:val="0"/>
      </w:pPr>
      <w:r>
        <w:rPr>
          <w:rFonts w:hint="eastAsia" w:ascii="宋体" w:hAnsi="宋体" w:cs="宋体"/>
          <w:sz w:val="24"/>
          <w:highlight w:val="none"/>
          <w:lang w:val="en-US" w:eastAsia="zh-CN"/>
        </w:rPr>
        <w:t xml:space="preserve"> </w:t>
      </w:r>
      <w:r>
        <w:rPr>
          <w:rFonts w:hint="eastAsia" w:ascii="宋体" w:hAnsi="宋体" w:eastAsia="宋体" w:cs="宋体"/>
          <w:color w:val="000000"/>
          <w:sz w:val="24"/>
          <w:szCs w:val="24"/>
          <w:highlight w:val="none"/>
          <w:lang w:val="en-US" w:eastAsia="zh-CN" w:bidi="ar-SA"/>
        </w:rPr>
        <w:t xml:space="preserve">每个农贸（农批）市场考核总分为100分。服务期内对每个检测室全覆盖考核打分，考核得分大于等于90分为合格；考核得分小于90分大于等于85分，扣500元；考核得分小于85分大于等于80分，扣1000元；考核得分小于80分，扣1500元。考核大于95分以上100分以下的可奖励500元，考核100分奖励1000元，考核服务期内可以对冲，但总服务金额不超过投标中标金额。考核内容见考核表。</w:t>
      </w:r>
      <w:r/>
    </w:p>
    <w:p>
      <w:pPr>
        <w:pStyle w:val="710"/>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对公司服务承诺、检测任务和上级考核评比情况进行考核，检测任务未完成的按投标价扣款，服务承诺未兑现的由考核组商量扣款金额，在市局考核通报中低于全市平均水平以下的，每低一个百分点扣5000元。</w:t>
      </w:r>
      <w:r/>
    </w:p>
    <w:p>
      <w:pPr>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br w:type="page" w:clear="all"/>
      </w:r>
      <w:r/>
    </w:p>
    <w:p>
      <w:pPr>
        <w:pStyle w:val="710"/>
        <w:jc w:val="center"/>
        <w:spacing w:beforeAutospacing="0" w:afterAutospacing="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lang w:val="en-US" w:eastAsia="zh-CN"/>
        </w:rPr>
        <w:t xml:space="preserve">      </w:t>
      </w:r>
      <w:r>
        <w:rPr>
          <w:rFonts w:hint="eastAsia" w:ascii="黑体" w:hAnsi="宋体" w:eastAsia="黑体" w:cs="黑体"/>
          <w:color w:val="000000"/>
          <w:sz w:val="44"/>
          <w:szCs w:val="44"/>
          <w:highlight w:val="none"/>
        </w:rPr>
        <w:t xml:space="preserve">第五章   </w:t>
      </w:r>
      <w:r/>
    </w:p>
    <w:p>
      <w:pPr>
        <w:pStyle w:val="710"/>
        <w:jc w:val="center"/>
        <w:spacing w:beforeAutospacing="0" w:afterAutospacing="0"/>
        <w:rPr>
          <w:highlight w:val="none"/>
        </w:rPr>
      </w:pPr>
      <w:r>
        <w:rPr>
          <w:rFonts w:hint="eastAsia" w:ascii="黑体" w:hAnsi="宋体" w:eastAsia="黑体" w:cs="黑体"/>
          <w:color w:val="000000"/>
          <w:sz w:val="44"/>
          <w:szCs w:val="44"/>
          <w:highlight w:val="none"/>
        </w:rPr>
        <w:t xml:space="preserve"> </w:t>
      </w:r>
      <w:r>
        <w:rPr>
          <w:rFonts w:hint="eastAsia" w:ascii="黑体" w:hAnsi="宋体" w:eastAsia="黑体" w:cs="黑体"/>
          <w:b/>
          <w:color w:val="000000"/>
          <w:sz w:val="44"/>
          <w:szCs w:val="44"/>
          <w:highlight w:val="none"/>
        </w:rPr>
        <w:t xml:space="preserve">评标方法与评标标准</w:t>
      </w:r>
      <w:r/>
    </w:p>
    <w:p>
      <w:pPr>
        <w:pStyle w:val="710"/>
        <w:jc w:val="both"/>
        <w:spacing w:beforeAutospacing="0" w:afterAutospacing="0"/>
        <w:rPr>
          <w:highlight w:val="none"/>
        </w:rPr>
      </w:pPr>
      <w:r>
        <w:rPr>
          <w:highlight w:val="none"/>
        </w:rPr>
        <w:t xml:space="preserve"> </w:t>
      </w:r>
      <w:r/>
    </w:p>
    <w:p>
      <w:pPr>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一、定标原则</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本项目采用</w:t>
      </w:r>
      <w:r>
        <w:rPr>
          <w:rFonts w:hint="eastAsia" w:ascii="宋体" w:hAnsi="宋体" w:eastAsia="宋体" w:cs="宋体"/>
          <w:bCs/>
          <w:color w:val="000000"/>
          <w:sz w:val="24"/>
          <w:szCs w:val="24"/>
          <w:highlight w:val="none"/>
          <w:u w:val="single"/>
        </w:rPr>
        <w:t xml:space="preserve"> 综合评分 </w:t>
      </w:r>
      <w:r>
        <w:rPr>
          <w:rFonts w:hint="eastAsia" w:ascii="宋体" w:hAnsi="宋体" w:eastAsia="宋体" w:cs="宋体"/>
          <w:bCs/>
          <w:color w:val="000000"/>
          <w:sz w:val="24"/>
          <w:szCs w:val="24"/>
          <w:highlight w:val="none"/>
        </w:rPr>
        <w:t xml:space="preserve">法</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评标结果按评审后得分由高到低顺序排列。得分相同的，按投标报价由低到高顺序排列。得分且投标报价相同的</w:t>
      </w:r>
      <w:r>
        <w:rPr>
          <w:rFonts w:hint="eastAsia" w:ascii="宋体" w:hAnsi="宋体" w:eastAsia="宋体" w:cs="宋体"/>
          <w:color w:val="000000"/>
          <w:sz w:val="24"/>
          <w:szCs w:val="24"/>
          <w:highlight w:val="none"/>
          <w:lang w:val="en-US" w:eastAsia="zh-CN"/>
        </w:rPr>
        <w:t xml:space="preserve">并列</w:t>
      </w:r>
      <w:r>
        <w:rPr>
          <w:rFonts w:hint="eastAsia" w:ascii="宋体" w:hAnsi="宋体" w:eastAsia="宋体" w:cs="宋体"/>
          <w:color w:val="000000"/>
          <w:sz w:val="24"/>
          <w:szCs w:val="24"/>
          <w:highlight w:val="none"/>
        </w:rPr>
        <w:t xml:space="preserve">。投标文件满足招标文件全部实质性要求，且按照评审因素的量化指标评审得分最高的投标人为排名第一的中标候选人，本项目选取1名中标候选人。</w:t>
      </w:r>
      <w:r/>
    </w:p>
    <w:p>
      <w:pPr>
        <w:pStyle w:val="710"/>
        <w:ind w:firstLine="441"/>
        <w:spacing w:before="120" w:beforeAutospacing="0" w:after="12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政府采购政策功能落实</w:t>
      </w:r>
      <w:r/>
    </w:p>
    <w:p>
      <w:pPr>
        <w:pStyle w:val="710"/>
        <w:ind w:firstLine="480"/>
        <w:spacing w:before="120" w:beforeAutospacing="0" w:after="12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1、小微型企业价格扣除</w:t>
      </w:r>
      <w:r/>
    </w:p>
    <w:p>
      <w:pPr>
        <w:pStyle w:val="868"/>
        <w:ind w:firstLine="360"/>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（1）本项目若不专门面向中小企业采购，对</w:t>
      </w:r>
      <w:r>
        <w:rPr>
          <w:rFonts w:hint="eastAsia" w:ascii="宋体" w:hAnsi="宋体" w:eastAsia="宋体" w:cs="宋体"/>
          <w:color w:val="000000" w:themeColor="text1"/>
          <w:highlight w:val="none"/>
          <w:lang w:val="en-US" w:eastAsia="zh-CN"/>
          <w14:textFill>
            <w14:solidFill>
              <w14:schemeClr w14:val="tx1"/>
            </w14:solidFill>
          </w14:textFill>
        </w:rPr>
        <w:t xml:space="preserve">符合规定的</w:t>
      </w:r>
      <w:r>
        <w:rPr>
          <w:rFonts w:hint="eastAsia" w:ascii="宋体" w:hAnsi="宋体" w:eastAsia="宋体" w:cs="宋体"/>
          <w:color w:val="000000" w:themeColor="text1"/>
          <w:highlight w:val="none"/>
          <w14:textFill>
            <w14:solidFill>
              <w14:schemeClr w14:val="tx1"/>
            </w14:solidFill>
          </w14:textFill>
        </w:rPr>
        <w:t xml:space="preserve">小型和微型企业</w:t>
      </w:r>
      <w:r>
        <w:rPr>
          <w:rFonts w:hint="eastAsia" w:ascii="宋体" w:hAnsi="宋体" w:eastAsia="宋体" w:cs="宋体"/>
          <w:color w:val="000000" w:themeColor="text1"/>
          <w:highlight w:val="none"/>
          <w:lang w:val="en-US" w:eastAsia="zh-CN"/>
          <w14:textFill>
            <w14:solidFill>
              <w14:schemeClr w14:val="tx1"/>
            </w14:solidFill>
          </w14:textFill>
        </w:rPr>
        <w:t xml:space="preserve">报价</w:t>
      </w:r>
      <w:r>
        <w:rPr>
          <w:rFonts w:hint="eastAsia" w:ascii="宋体" w:hAnsi="宋体" w:eastAsia="宋体" w:cs="宋体"/>
          <w:color w:val="000000" w:themeColor="text1"/>
          <w:highlight w:val="none"/>
          <w14:textFill>
            <w14:solidFill>
              <w14:schemeClr w14:val="tx1"/>
            </w14:solidFill>
          </w14:textFill>
        </w:rPr>
        <w:t xml:space="preserve">给予20%的扣除价格，用扣除后的价格参与评审；若专门面向中小企业采购，不再对小型和微型企业</w:t>
      </w:r>
      <w:r>
        <w:rPr>
          <w:rFonts w:hint="eastAsia" w:ascii="宋体" w:hAnsi="宋体" w:eastAsia="宋体" w:cs="宋体"/>
          <w:color w:val="000000" w:themeColor="text1"/>
          <w:highlight w:val="none"/>
          <w:lang w:val="en-US" w:eastAsia="zh-CN"/>
          <w14:textFill>
            <w14:solidFill>
              <w14:schemeClr w14:val="tx1"/>
            </w14:solidFill>
          </w14:textFill>
        </w:rPr>
        <w:t xml:space="preserve">报价</w:t>
      </w:r>
      <w:r>
        <w:rPr>
          <w:rFonts w:hint="eastAsia" w:ascii="宋体" w:hAnsi="宋体" w:eastAsia="宋体" w:cs="宋体"/>
          <w:color w:val="000000" w:themeColor="text1"/>
          <w:highlight w:val="none"/>
          <w14:textFill>
            <w14:solidFill>
              <w14:schemeClr w14:val="tx1"/>
            </w14:solidFill>
          </w14:textFill>
        </w:rPr>
        <w:t xml:space="preserve">给予价格扣除。</w:t>
      </w:r>
      <w:r/>
    </w:p>
    <w:p>
      <w:pPr>
        <w:pStyle w:val="710"/>
        <w:ind w:firstLine="360"/>
        <w:spacing w:before="120" w:beforeAutospacing="0" w:after="12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（2）供应商需按照采购文件的要求提供相应的《</w:t>
      </w:r>
      <w:r>
        <w:rPr>
          <w:rFonts w:hint="eastAsia" w:ascii="宋体" w:hAnsi="宋体" w:eastAsia="宋体" w:cs="宋体"/>
          <w:color w:val="auto"/>
          <w:highlight w:val="none"/>
          <w:lang w:val="en-US" w:eastAsia="zh-CN"/>
        </w:rPr>
        <w:t xml:space="preserve">中小</w:t>
      </w:r>
      <w:r>
        <w:rPr>
          <w:rFonts w:hint="eastAsia" w:ascii="宋体" w:hAnsi="宋体" w:eastAsia="宋体" w:cs="宋体"/>
          <w:color w:val="auto"/>
          <w:highlight w:val="none"/>
        </w:rPr>
        <w:t xml:space="preserve">企业声明函</w:t>
      </w:r>
      <w:r>
        <w:rPr>
          <w:rFonts w:hint="eastAsia" w:ascii="宋体" w:hAnsi="宋体" w:eastAsia="宋体" w:cs="宋体"/>
          <w:color w:val="000000"/>
          <w:highlight w:val="none"/>
        </w:rPr>
        <w:t xml:space="preserve">》。</w:t>
      </w:r>
      <w:r/>
    </w:p>
    <w:p>
      <w:pPr>
        <w:pStyle w:val="710"/>
        <w:ind w:firstLine="360"/>
        <w:spacing w:before="120" w:beforeAutospacing="0" w:after="12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（3）企业标准请参照《关于印发中小企业划型标准规定的通知》（工信部联企业</w:t>
      </w:r>
      <w:r>
        <w:rPr>
          <w:rFonts w:hint="eastAsia" w:ascii="宋体" w:hAnsi="宋体" w:eastAsia="宋体" w:cs="宋体"/>
          <w:color w:val="000000"/>
          <w:highlight w:val="none"/>
          <w:lang w:eastAsia="zh-CN"/>
        </w:rPr>
        <w:t xml:space="preserve">〔2011〕300号</w:t>
      </w:r>
      <w:r>
        <w:rPr>
          <w:rFonts w:hint="eastAsia" w:ascii="宋体" w:hAnsi="宋体" w:eastAsia="宋体" w:cs="宋体"/>
          <w:color w:val="000000"/>
          <w:highlight w:val="none"/>
        </w:rPr>
        <w:t xml:space="preserve">）文件规定自行填写。</w:t>
      </w:r>
      <w:r/>
    </w:p>
    <w:p>
      <w:pPr>
        <w:pStyle w:val="710"/>
        <w:ind w:firstLine="480"/>
        <w:spacing w:before="120" w:beforeAutospacing="0" w:after="12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2、残疾人福利单位价格扣除</w:t>
      </w:r>
      <w:r/>
    </w:p>
    <w:p>
      <w:pPr>
        <w:pStyle w:val="710"/>
        <w:ind w:left="120" w:firstLine="360"/>
        <w:spacing w:before="120" w:beforeAutospacing="0" w:after="120" w:afterAutospacing="0" w:line="0" w:lineRule="atLeast"/>
        <w:rPr>
          <w:rFonts w:hint="eastAsia" w:ascii="宋体" w:hAnsi="宋体" w:eastAsia="宋体" w:cs="宋体"/>
          <w:color w:val="000000" w:themeColor="text1"/>
          <w:highlight w:val="none"/>
          <w:u w:val="none"/>
          <w:lang w:eastAsia="zh-CN"/>
          <w14:textFill>
            <w14:solidFill>
              <w14:schemeClr w14:val="tx1"/>
            </w14:solidFill>
          </w14:textFill>
        </w:rPr>
      </w:pPr>
      <w:r>
        <w:rPr>
          <w:rFonts w:hint="eastAsia" w:ascii="宋体" w:hAnsi="宋体" w:eastAsia="宋体" w:cs="宋体"/>
          <w:color w:val="000000"/>
          <w:highlight w:val="none"/>
        </w:rPr>
        <w:t xml:space="preserve">（1）本项目对残疾人福利性单位视同小型、微型企业，</w:t>
      </w:r>
      <w:r>
        <w:rPr>
          <w:rFonts w:hint="eastAsia" w:ascii="宋体" w:hAnsi="宋体" w:eastAsia="宋体" w:cs="宋体"/>
          <w:color w:val="000000" w:themeColor="text1"/>
          <w:highlight w:val="none"/>
          <w14:textFill>
            <w14:solidFill>
              <w14:schemeClr w14:val="tx1"/>
            </w14:solidFill>
          </w14:textFill>
        </w:rPr>
        <w:t xml:space="preserve">给予</w:t>
      </w:r>
      <w:r>
        <w:rPr>
          <w:rFonts w:hint="eastAsia" w:ascii="宋体" w:hAnsi="宋体" w:eastAsia="宋体" w:cs="宋体"/>
          <w:color w:val="000000" w:themeColor="text1"/>
          <w:highlight w:val="none"/>
          <w:u w:val="none"/>
          <w14:textFill>
            <w14:solidFill>
              <w14:schemeClr w14:val="tx1"/>
            </w14:solidFill>
          </w14:textFill>
        </w:rPr>
        <w:t xml:space="preserve">20%</w:t>
      </w:r>
      <w:r>
        <w:rPr>
          <w:rFonts w:hint="eastAsia" w:ascii="宋体" w:hAnsi="宋体" w:eastAsia="宋体" w:cs="宋体"/>
          <w:color w:val="000000" w:themeColor="text1"/>
          <w:highlight w:val="none"/>
          <w:u w:val="none"/>
          <w:lang w:eastAsia="zh-CN"/>
          <w14:textFill>
            <w14:solidFill>
              <w14:schemeClr w14:val="tx1"/>
            </w14:solidFill>
          </w14:textFill>
        </w:rPr>
        <w:t xml:space="preserve">的价格扣除。</w:t>
      </w:r>
      <w:r/>
    </w:p>
    <w:p>
      <w:pPr>
        <w:pStyle w:val="710"/>
        <w:ind w:left="120" w:firstLine="360"/>
        <w:spacing w:before="120" w:beforeAutospacing="0" w:after="12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（2）残疾人福利单位需按照采购文件的要求提供《残疾人福利性单位声明函》。</w:t>
      </w:r>
      <w:r/>
    </w:p>
    <w:p>
      <w:pPr>
        <w:pStyle w:val="710"/>
        <w:ind w:left="120" w:firstLine="360"/>
        <w:spacing w:before="120" w:beforeAutospacing="0" w:after="12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（3）残疾人福利单位标准请参照《关于促进残疾人就业政府采购政策的通知》（财库〔2017〕141号）。</w:t>
      </w:r>
      <w:r/>
    </w:p>
    <w:p>
      <w:pPr>
        <w:pStyle w:val="710"/>
        <w:ind w:firstLine="480"/>
        <w:spacing w:before="120" w:beforeAutospacing="0" w:after="12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3、监狱和戒毒企业价格扣除</w:t>
      </w:r>
      <w:r/>
    </w:p>
    <w:p>
      <w:pPr>
        <w:pStyle w:val="710"/>
        <w:ind w:left="120" w:firstLine="360"/>
        <w:spacing w:before="120" w:beforeAutospacing="0" w:after="120" w:afterAutospacing="0" w:line="0" w:lineRule="atLeast"/>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（1）本项目对监狱和戒毒企业（简称监狱企业）视同小型、微型企业，给予</w:t>
      </w:r>
      <w:r>
        <w:rPr>
          <w:rFonts w:hint="eastAsia" w:ascii="宋体" w:hAnsi="宋体" w:eastAsia="宋体" w:cs="宋体"/>
          <w:color w:val="000000"/>
          <w:highlight w:val="none"/>
          <w:u w:val="none"/>
        </w:rPr>
        <w:t xml:space="preserve">20%</w:t>
      </w:r>
      <w:r>
        <w:rPr>
          <w:rFonts w:hint="eastAsia" w:ascii="宋体" w:hAnsi="宋体" w:eastAsia="宋体" w:cs="宋体"/>
          <w:color w:val="000000"/>
          <w:highlight w:val="none"/>
          <w:u w:val="none"/>
          <w:lang w:eastAsia="zh-CN"/>
        </w:rPr>
        <w:t xml:space="preserve">的价格扣除。</w:t>
      </w:r>
      <w:r/>
    </w:p>
    <w:p>
      <w:pPr>
        <w:pStyle w:val="710"/>
        <w:ind w:firstLine="480"/>
        <w:spacing w:before="120" w:beforeAutospacing="0" w:after="12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710"/>
        <w:ind w:firstLine="480"/>
        <w:spacing w:before="120" w:beforeAutospacing="0" w:after="12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（3）监狱企业标准请参照《关于政府采购支持监狱企业发展有关问题的通知》（财库</w:t>
      </w:r>
      <w:r>
        <w:rPr>
          <w:rFonts w:hint="eastAsia" w:ascii="宋体" w:hAnsi="宋体" w:eastAsia="宋体" w:cs="宋体"/>
          <w:color w:val="000000"/>
          <w:highlight w:val="none"/>
          <w:lang w:eastAsia="zh-CN"/>
        </w:rPr>
        <w:t xml:space="preserve">〔2014〕68号</w:t>
      </w:r>
      <w:r>
        <w:rPr>
          <w:rFonts w:hint="eastAsia" w:ascii="宋体" w:hAnsi="宋体" w:eastAsia="宋体" w:cs="宋体"/>
          <w:color w:val="000000"/>
          <w:highlight w:val="none"/>
        </w:rPr>
        <w:t xml:space="preserve">）。</w:t>
      </w:r>
      <w:r/>
    </w:p>
    <w:p>
      <w:pPr>
        <w:pStyle w:val="710"/>
        <w:ind w:firstLine="480"/>
        <w:spacing w:before="120" w:beforeAutospacing="0" w:after="12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4、残疾人福利单位、监狱企业属于小型、微型企业的，不重复享受政策。</w:t>
      </w:r>
      <w:r/>
    </w:p>
    <w:p>
      <w:pPr>
        <w:pStyle w:val="710"/>
        <w:ind w:firstLine="480"/>
        <w:spacing w:before="120" w:beforeAutospacing="0" w:after="12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000000"/>
          <w:highlight w:val="none"/>
          <w:u w:val="single"/>
        </w:rPr>
        <w:t xml:space="preserve">6%</w:t>
      </w:r>
      <w:r>
        <w:rPr>
          <w:rFonts w:hint="eastAsia" w:ascii="宋体" w:hAnsi="宋体" w:eastAsia="宋体" w:cs="宋体"/>
          <w:color w:val="000000"/>
          <w:highlight w:val="none"/>
        </w:rPr>
        <w:t xml:space="preserve">的价格扣除，用扣除后的价格参与评审。</w:t>
      </w:r>
      <w:r/>
    </w:p>
    <w:p>
      <w:pPr>
        <w:pStyle w:val="710"/>
        <w:ind w:left="120" w:firstLine="360"/>
        <w:spacing w:before="120" w:beforeAutospacing="0" w:after="120" w:afterAutospacing="0" w:line="0" w:lineRule="atLeast"/>
        <w:rPr>
          <w:rFonts w:hint="eastAsia" w:ascii="宋体" w:hAnsi="宋体" w:eastAsia="宋体" w:cs="宋体"/>
          <w:color w:val="000000"/>
          <w:highlight w:val="none"/>
          <w:u w:val="none"/>
          <w:lang w:eastAsia="zh-CN"/>
        </w:rPr>
      </w:pPr>
      <w:r>
        <w:rPr>
          <w:rFonts w:hint="eastAsia" w:ascii="宋体" w:hAnsi="宋体" w:eastAsia="宋体" w:cs="宋体"/>
          <w:color w:val="000000"/>
          <w:highlight w:val="none"/>
        </w:rPr>
        <w:t xml:space="preserve">6、联合体各方均为小型、微型企业（残疾人福利单位、监狱企业）的，联合体享受</w:t>
      </w:r>
      <w:r>
        <w:rPr>
          <w:rFonts w:hint="eastAsia" w:ascii="宋体" w:hAnsi="宋体" w:eastAsia="宋体" w:cs="宋体"/>
          <w:color w:val="000000"/>
          <w:highlight w:val="none"/>
          <w:u w:val="none"/>
        </w:rPr>
        <w:t xml:space="preserve">20%</w:t>
      </w:r>
      <w:r>
        <w:rPr>
          <w:rFonts w:hint="eastAsia" w:ascii="宋体" w:hAnsi="宋体" w:eastAsia="宋体" w:cs="宋体"/>
          <w:color w:val="000000"/>
          <w:highlight w:val="none"/>
          <w:u w:val="none"/>
          <w:lang w:eastAsia="zh-CN"/>
        </w:rPr>
        <w:t xml:space="preserve">的价格扣除。</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highlight w:val="none"/>
        </w:rPr>
        <w:t xml:space="preserve">。</w:t>
      </w:r>
      <w:r>
        <w:rPr>
          <w:rFonts w:hint="eastAsia" w:ascii="宋体" w:hAnsi="宋体" w:eastAsia="宋体" w:cs="宋体"/>
          <w:color w:val="auto"/>
          <w:sz w:val="24"/>
          <w:highlight w:val="none"/>
        </w:rPr>
        <w:t xml:space="preserve">其他条件相同情况下，应当优先采购节能产品、环境标志产品。</w:t>
      </w:r>
      <w:r/>
    </w:p>
    <w:p>
      <w:pPr>
        <w:pStyle w:val="710"/>
        <w:ind w:firstLine="482"/>
        <w:spacing w:before="120" w:beforeAutospacing="0" w:after="120" w:afterAutospacing="0" w:line="0" w:lineRule="atLeast"/>
        <w:rPr>
          <w:rFonts w:hint="eastAsia" w:ascii="宋体" w:hAnsi="宋体" w:eastAsia="宋体" w:cs="宋体"/>
          <w:highlight w:val="yellow"/>
        </w:rPr>
      </w:pPr>
      <w:r>
        <w:rPr>
          <w:rFonts w:hint="eastAsia" w:ascii="宋体" w:hAnsi="宋体" w:eastAsia="宋体" w:cs="宋体"/>
          <w:b/>
          <w:color w:val="000000"/>
          <w:highlight w:val="none"/>
        </w:rPr>
        <w:t xml:space="preserve">评标方法与评标标准</w:t>
      </w:r>
      <w:r/>
    </w:p>
    <w:tbl>
      <w:tblPr>
        <w:tblStyle w:val="689"/>
        <w:tblW w:w="9098" w:type="dxa"/>
        <w:tblInd w:w="-246" w:type="dxa"/>
        <w:tblLayout w:type="fixed"/>
        <w:tblCellMar>
          <w:left w:w="108" w:type="dxa"/>
          <w:top w:w="0" w:type="dxa"/>
          <w:right w:w="108" w:type="dxa"/>
          <w:bottom w:w="0" w:type="dxa"/>
        </w:tblCellMar>
        <w:tblLook w:val="04A0" w:firstRow="1" w:lastRow="0" w:firstColumn="1" w:lastColumn="0" w:noHBand="0" w:noVBand="1"/>
      </w:tblPr>
      <w:tblGrid>
        <w:gridCol w:w="579"/>
        <w:gridCol w:w="1219"/>
        <w:gridCol w:w="6318"/>
        <w:gridCol w:w="982"/>
      </w:tblGrid>
      <w:tr>
        <w:trPr>
          <w:trHeight w:val="740"/>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widowControl/>
              <w:rPr>
                <w:rFonts w:ascii="宋体" w:hAnsi="宋体" w:eastAsia="宋体" w:cs="宋体"/>
                <w:b/>
                <w:bCs/>
                <w:color w:val="000000"/>
                <w:szCs w:val="21"/>
              </w:rPr>
            </w:pPr>
            <w:r>
              <w:rPr>
                <w:rFonts w:hint="eastAsia" w:ascii="宋体" w:hAnsi="宋体" w:eastAsia="宋体" w:cs="宋体"/>
                <w:b/>
                <w:bCs/>
                <w:color w:val="000000"/>
                <w:szCs w:val="21"/>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jc w:val="center"/>
              <w:widowControl/>
              <w:rPr>
                <w:rFonts w:ascii="宋体" w:hAnsi="宋体" w:eastAsia="宋体" w:cs="宋体"/>
                <w:b/>
                <w:bCs/>
                <w:color w:val="000000"/>
                <w:szCs w:val="21"/>
              </w:rPr>
            </w:pPr>
            <w:r>
              <w:rPr>
                <w:rFonts w:hint="eastAsia" w:ascii="宋体" w:hAnsi="宋体" w:eastAsia="宋体" w:cs="宋体"/>
                <w:b/>
                <w:bCs/>
                <w:color w:val="000000"/>
                <w:szCs w:val="21"/>
                <w:lang w:bidi="ar"/>
              </w:rPr>
              <w:t xml:space="preserve">评分项</w:t>
            </w:r>
            <w:r/>
          </w:p>
        </w:tc>
        <w:tc>
          <w:tcPr>
            <w:shd w:val="clear" w:color="auto" w:fill="auto"/>
            <w:tcBorders>
              <w:top w:val="single" w:color="000000" w:sz="4" w:space="0"/>
              <w:left w:val="single" w:color="000000" w:sz="4" w:space="0"/>
              <w:bottom w:val="single" w:color="000000" w:sz="4" w:space="0"/>
              <w:right w:val="none" w:color="000000" w:sz="4" w:space="0"/>
            </w:tcBorders>
            <w:tcW w:w="6318" w:type="dxa"/>
            <w:vAlign w:val="center"/>
            <w:textDirection w:val="lrTb"/>
            <w:noWrap w:val="false"/>
          </w:tcPr>
          <w:p>
            <w:pPr>
              <w:jc w:val="center"/>
              <w:widowControl/>
              <w:rPr>
                <w:rFonts w:ascii="宋体" w:hAnsi="宋体" w:eastAsia="宋体" w:cs="宋体"/>
                <w:b/>
                <w:bCs/>
                <w:color w:val="000000"/>
                <w:sz w:val="18"/>
                <w:szCs w:val="18"/>
              </w:rPr>
            </w:pPr>
            <w:r>
              <w:rPr>
                <w:rFonts w:hint="eastAsia" w:ascii="宋体" w:hAnsi="宋体" w:eastAsia="宋体" w:cs="宋体"/>
                <w:b/>
                <w:bCs/>
                <w:color w:val="000000"/>
                <w:sz w:val="18"/>
                <w:szCs w:val="18"/>
                <w:lang w:bidi="ar"/>
              </w:rPr>
              <w:t xml:space="preserve">评分标准</w:t>
            </w:r>
            <w:r/>
          </w:p>
        </w:tc>
        <w:tc>
          <w:tcPr>
            <w:shd w:val="clear" w:color="auto" w:fill="auto"/>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jc w:val="center"/>
              <w:widowControl/>
              <w:rPr>
                <w:rFonts w:ascii="宋体" w:hAnsi="宋体" w:eastAsia="宋体" w:cs="宋体"/>
                <w:b/>
                <w:bCs/>
                <w:color w:val="000000"/>
                <w:szCs w:val="21"/>
              </w:rPr>
            </w:pPr>
            <w:r>
              <w:rPr>
                <w:rFonts w:hint="eastAsia" w:ascii="宋体" w:hAnsi="宋体" w:eastAsia="宋体" w:cs="宋体"/>
                <w:b/>
                <w:bCs/>
                <w:color w:val="000000"/>
                <w:szCs w:val="21"/>
                <w:lang w:bidi="ar"/>
              </w:rPr>
              <w:t xml:space="preserve">分值</w:t>
            </w:r>
            <w:r/>
          </w:p>
        </w:tc>
      </w:tr>
      <w:tr>
        <w:trPr>
          <w:trHeight w:val="864"/>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价格部分（1</w:t>
            </w:r>
            <w:r>
              <w:rPr>
                <w:rFonts w:hint="eastAsia" w:ascii="宋体" w:hAnsi="宋体" w:eastAsia="宋体" w:cs="宋体"/>
                <w:color w:val="000000"/>
                <w:szCs w:val="21"/>
                <w:lang w:val="en-US" w:eastAsia="zh-CN" w:bidi="ar"/>
              </w:rPr>
              <w:t xml:space="preserve">5</w:t>
            </w:r>
            <w:r>
              <w:rPr>
                <w:rFonts w:hint="eastAsia" w:ascii="宋体" w:hAnsi="宋体" w:eastAsia="宋体" w:cs="宋体"/>
                <w:color w:val="000000"/>
                <w:szCs w:val="21"/>
                <w:lang w:bidi="ar"/>
              </w:rPr>
              <w:t xml:space="preserve">分）</w:t>
            </w:r>
            <w:r/>
          </w:p>
        </w:tc>
        <w:tc>
          <w:tcPr>
            <w:shd w:val="clear" w:color="auto" w:fill="auto"/>
            <w:tcBorders>
              <w:top w:val="single" w:color="000000" w:sz="4" w:space="0"/>
              <w:left w:val="single" w:color="000000" w:sz="4" w:space="0"/>
              <w:bottom w:val="single" w:color="000000" w:sz="4" w:space="0"/>
              <w:right w:val="none" w:color="000000" w:sz="4" w:space="0"/>
            </w:tcBorders>
            <w:tcW w:w="6318" w:type="dxa"/>
            <w:vAlign w:val="center"/>
            <w:textDirection w:val="lrTb"/>
            <w:noWrap w:val="false"/>
          </w:tcPr>
          <w:p>
            <w:pPr>
              <w:jc w:val="left"/>
              <w:widowControl/>
              <w:rPr>
                <w:rFonts w:ascii="宋体" w:hAnsi="宋体" w:eastAsia="宋体" w:cs="宋体"/>
                <w:color w:val="000000"/>
                <w:sz w:val="18"/>
                <w:szCs w:val="18"/>
                <w:lang w:bidi="ar"/>
              </w:rPr>
            </w:pPr>
            <w:r>
              <w:rPr>
                <w:rFonts w:hint="eastAsia" w:ascii="宋体" w:hAnsi="宋体" w:eastAsia="宋体" w:cs="宋体"/>
                <w:color w:val="000000"/>
                <w:sz w:val="18"/>
                <w:szCs w:val="18"/>
                <w:lang w:bidi="ar"/>
              </w:rPr>
              <w:t xml:space="preserve">1.有效投标报价：是指通过“投标文件初审”的投标人的经商务性评审（修正、小微企业扣除等）后的评标总价；</w:t>
            </w:r>
            <w:r/>
          </w:p>
          <w:p>
            <w:pPr>
              <w:jc w:val="left"/>
              <w:widowControl/>
              <w:rPr>
                <w:rFonts w:ascii="宋体" w:hAnsi="宋体" w:eastAsia="宋体" w:cs="宋体"/>
                <w:color w:val="000000"/>
                <w:sz w:val="18"/>
                <w:szCs w:val="18"/>
                <w:lang w:bidi="ar"/>
              </w:rPr>
            </w:pPr>
            <w:r>
              <w:rPr>
                <w:rFonts w:hint="eastAsia" w:ascii="宋体" w:hAnsi="宋体" w:eastAsia="宋体" w:cs="宋体"/>
                <w:color w:val="000000"/>
                <w:sz w:val="18"/>
                <w:szCs w:val="18"/>
                <w:lang w:bidi="ar"/>
              </w:rPr>
              <w:t xml:space="preserve">2.评标基准价=有效投标报价中的最低投标报价；</w:t>
            </w:r>
            <w:r/>
          </w:p>
          <w:p>
            <w:pPr>
              <w:jc w:val="left"/>
              <w:widowControl/>
              <w:rPr>
                <w:rFonts w:ascii="宋体" w:hAnsi="宋体" w:eastAsia="宋体" w:cs="宋体"/>
                <w:color w:val="000000"/>
                <w:sz w:val="18"/>
                <w:szCs w:val="18"/>
                <w:lang w:bidi="ar"/>
              </w:rPr>
            </w:pPr>
            <w:r>
              <w:rPr>
                <w:rFonts w:hint="eastAsia" w:ascii="宋体" w:hAnsi="宋体" w:eastAsia="宋体" w:cs="宋体"/>
                <w:color w:val="000000"/>
                <w:sz w:val="18"/>
                <w:szCs w:val="18"/>
                <w:lang w:bidi="ar"/>
              </w:rPr>
              <w:t xml:space="preserve">3.当投标人的评标总价等于评标基准价的得1</w:t>
            </w:r>
            <w:r>
              <w:rPr>
                <w:rFonts w:hint="eastAsia" w:ascii="宋体" w:hAnsi="宋体" w:eastAsia="宋体" w:cs="宋体"/>
                <w:color w:val="000000"/>
                <w:sz w:val="18"/>
                <w:szCs w:val="18"/>
                <w:lang w:val="en-US" w:eastAsia="zh-CN" w:bidi="ar"/>
              </w:rPr>
              <w:t xml:space="preserve">5</w:t>
            </w:r>
            <w:r>
              <w:rPr>
                <w:rFonts w:hint="eastAsia" w:ascii="宋体" w:hAnsi="宋体" w:eastAsia="宋体" w:cs="宋体"/>
                <w:color w:val="000000"/>
                <w:sz w:val="18"/>
                <w:szCs w:val="18"/>
                <w:lang w:bidi="ar"/>
              </w:rPr>
              <w:t xml:space="preserve">分；</w:t>
            </w:r>
            <w:r/>
          </w:p>
          <w:p>
            <w:pPr>
              <w:jc w:val="left"/>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4.其他投标人的价格分按照下列公式计算：评标总价得分=（评标基准价/评标总价）*1</w:t>
            </w:r>
            <w:r>
              <w:rPr>
                <w:rFonts w:hint="eastAsia" w:ascii="宋体" w:hAnsi="宋体" w:eastAsia="宋体" w:cs="宋体"/>
                <w:color w:val="000000"/>
                <w:sz w:val="18"/>
                <w:szCs w:val="18"/>
                <w:lang w:val="en-US" w:eastAsia="zh-CN" w:bidi="ar"/>
              </w:rPr>
              <w:t xml:space="preserve">5</w:t>
            </w:r>
            <w:r>
              <w:rPr>
                <w:rFonts w:hint="eastAsia" w:ascii="宋体" w:hAnsi="宋体" w:eastAsia="宋体" w:cs="宋体"/>
                <w:color w:val="000000"/>
                <w:sz w:val="18"/>
                <w:szCs w:val="18"/>
                <w:lang w:bidi="ar"/>
              </w:rPr>
              <w:t xml:space="preserve">分（计算结果保留2位小数，第三位四舍五入）。</w:t>
            </w:r>
            <w:r/>
          </w:p>
        </w:tc>
        <w:tc>
          <w:tcPr>
            <w:shd w:val="clear" w:color="auto" w:fill="auto"/>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jc w:val="center"/>
              <w:widowControl/>
              <w:rPr>
                <w:rFonts w:hint="eastAsia" w:ascii="宋体" w:hAnsi="宋体" w:eastAsia="宋体" w:cs="宋体"/>
                <w:color w:val="000000"/>
                <w:sz w:val="22"/>
                <w:szCs w:val="22"/>
                <w:lang w:eastAsia="zh-CN"/>
              </w:rPr>
            </w:pPr>
            <w:r>
              <w:rPr>
                <w:rFonts w:hint="eastAsia" w:ascii="宋体" w:hAnsi="宋体" w:eastAsia="宋体" w:cs="宋体"/>
                <w:color w:val="000000"/>
                <w:sz w:val="22"/>
                <w:szCs w:val="22"/>
                <w:lang w:bidi="ar"/>
              </w:rPr>
              <w:t xml:space="preserve">1</w:t>
            </w:r>
            <w:r>
              <w:rPr>
                <w:rFonts w:hint="eastAsia" w:ascii="宋体" w:hAnsi="宋体" w:eastAsia="宋体" w:cs="宋体"/>
                <w:color w:val="000000"/>
                <w:sz w:val="22"/>
                <w:szCs w:val="22"/>
                <w:lang w:val="en-US" w:eastAsia="zh-CN" w:bidi="ar"/>
              </w:rPr>
              <w:t xml:space="preserve">5</w:t>
            </w:r>
            <w:r/>
          </w:p>
        </w:tc>
      </w:tr>
      <w:tr>
        <w:trPr>
          <w:trHeight w:val="884"/>
        </w:trPr>
        <w:tc>
          <w:tcPr>
            <w:shd w:val="clear" w:color="auto" w:fill="auto"/>
            <w:tcBorders>
              <w:left w:val="single" w:color="000000" w:sz="4" w:space="0"/>
              <w:right w:val="single" w:color="000000" w:sz="4" w:space="0"/>
            </w:tcBorders>
            <w:tcW w:w="579" w:type="dxa"/>
            <w:vAlign w:val="center"/>
            <w:vMerge w:val="restart"/>
            <w:textDirection w:val="lrTb"/>
            <w:noWrap w:val="false"/>
          </w:tcPr>
          <w:p>
            <w:pPr>
              <w:jc w:val="center"/>
              <w:widowControl/>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 xml:space="preserve">2</w:t>
            </w:r>
            <w:r/>
          </w:p>
        </w:tc>
        <w:tc>
          <w:tcPr>
            <w:shd w:val="clear" w:color="auto" w:fill="auto"/>
            <w:tcBorders>
              <w:top w:val="single" w:color="000000" w:sz="4" w:space="0"/>
              <w:left w:val="single" w:color="000000" w:sz="4" w:space="0"/>
              <w:right w:val="single" w:color="000000" w:sz="4" w:space="0"/>
            </w:tcBorders>
            <w:tcW w:w="1219" w:type="dxa"/>
            <w:vAlign w:val="center"/>
            <w:vMerge w:val="restart"/>
            <w:textDirection w:val="lrTb"/>
            <w:noWrap w:val="false"/>
          </w:tcPr>
          <w:p>
            <w:pPr>
              <w:jc w:val="center"/>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资质能力（10分）</w:t>
            </w:r>
            <w:r/>
          </w:p>
        </w:tc>
        <w:tc>
          <w:tcPr>
            <w:shd w:val="clear" w:color="auto" w:fill="auto"/>
            <w:tcBorders>
              <w:top w:val="single" w:color="000000" w:sz="4" w:space="0"/>
              <w:left w:val="single" w:color="000000" w:sz="4" w:space="0"/>
              <w:right w:val="none" w:color="000000" w:sz="4" w:space="0"/>
            </w:tcBorders>
            <w:tcW w:w="6318" w:type="dxa"/>
            <w:vAlign w:val="center"/>
            <w:textDirection w:val="lrTb"/>
            <w:noWrap w:val="false"/>
          </w:tcPr>
          <w:p>
            <w:pPr>
              <w:jc w:val="left"/>
              <w:widowControl/>
              <w:rPr>
                <w:rFonts w:ascii="宋体" w:hAnsi="宋体" w:eastAsia="宋体" w:cs="宋体"/>
                <w:color w:val="000000"/>
                <w:sz w:val="18"/>
                <w:szCs w:val="18"/>
                <w:lang w:bidi="ar"/>
              </w:rPr>
            </w:pPr>
            <w:r>
              <w:rPr>
                <w:rFonts w:hint="eastAsia" w:ascii="宋体" w:hAnsi="宋体" w:eastAsia="宋体" w:cs="宋体"/>
                <w:color w:val="auto"/>
                <w:sz w:val="18"/>
                <w:szCs w:val="18"/>
                <w:highlight w:val="none"/>
                <w:lang w:bidi="ar"/>
              </w:rPr>
              <w:t xml:space="preserve">投标人</w:t>
            </w:r>
            <w:r>
              <w:rPr>
                <w:rFonts w:hint="eastAsia" w:ascii="宋体" w:hAnsi="宋体" w:eastAsia="宋体" w:cs="宋体"/>
                <w:color w:val="auto"/>
                <w:sz w:val="18"/>
                <w:szCs w:val="18"/>
                <w:highlight w:val="none"/>
                <w:lang w:val="en-US" w:eastAsia="zh-CN" w:bidi="ar"/>
              </w:rPr>
              <w:t xml:space="preserve">所使用的</w:t>
            </w:r>
            <w:r>
              <w:rPr>
                <w:rFonts w:hint="eastAsia" w:ascii="宋体" w:hAnsi="宋体" w:eastAsia="宋体" w:cs="宋体"/>
                <w:color w:val="auto"/>
                <w:sz w:val="18"/>
                <w:szCs w:val="18"/>
                <w:highlight w:val="none"/>
                <w:lang w:bidi="ar"/>
              </w:rPr>
              <w:t xml:space="preserve">快检采样软件、监管系统、公示系统相关软件著作权证书的；每提供1种证书材料得2分，本项最多得6分。</w:t>
            </w:r>
            <w:bookmarkStart w:id="182" w:name="OLE_LINK38"/>
            <w:r>
              <w:rPr>
                <w:rFonts w:hint="eastAsia" w:ascii="宋体" w:hAnsi="宋体" w:eastAsia="宋体" w:cs="宋体"/>
                <w:color w:val="auto"/>
                <w:sz w:val="18"/>
                <w:szCs w:val="18"/>
                <w:highlight w:val="none"/>
                <w:lang w:bidi="ar"/>
              </w:rPr>
              <w:t xml:space="preserve">（</w:t>
            </w:r>
            <w:bookmarkStart w:id="183" w:name="OLE_LINK37"/>
            <w:r/>
            <w:bookmarkStart w:id="184" w:name="OLE_LINK36"/>
            <w:r>
              <w:rPr>
                <w:rFonts w:hint="eastAsia" w:ascii="宋体" w:hAnsi="宋体" w:eastAsia="宋体" w:cs="宋体"/>
                <w:color w:val="auto"/>
                <w:sz w:val="18"/>
                <w:szCs w:val="18"/>
                <w:highlight w:val="none"/>
                <w:lang w:bidi="ar"/>
              </w:rPr>
              <w:t xml:space="preserve">提供相关证书材料原件扫描件并加盖公章，否则不得分。）</w:t>
            </w:r>
            <w:bookmarkEnd w:id="182"/>
            <w:r/>
            <w:bookmarkEnd w:id="183"/>
            <w:r/>
            <w:bookmarkEnd w:id="184"/>
            <w:r/>
            <w:r/>
          </w:p>
        </w:tc>
        <w:tc>
          <w:tcPr>
            <w:shd w:val="clear" w:color="auto" w:fill="auto"/>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6</w:t>
            </w:r>
            <w:r/>
          </w:p>
        </w:tc>
      </w:tr>
      <w:tr>
        <w:trPr>
          <w:trHeight w:val="1738"/>
        </w:trPr>
        <w:tc>
          <w:tcPr>
            <w:shd w:val="clear" w:color="auto" w:fill="auto"/>
            <w:tcBorders>
              <w:left w:val="single" w:color="000000" w:sz="4" w:space="0"/>
              <w:bottom w:val="single" w:color="000000" w:sz="4" w:space="0"/>
              <w:right w:val="single" w:color="000000" w:sz="4" w:space="0"/>
            </w:tcBorders>
            <w:tcW w:w="579" w:type="dxa"/>
            <w:vAlign w:val="center"/>
            <w:vMerge w:val="continue"/>
            <w:textDirection w:val="lrTb"/>
            <w:noWrap w:val="false"/>
          </w:tcPr>
          <w:p>
            <w:pPr>
              <w:jc w:val="center"/>
              <w:widowControl/>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219" w:type="dxa"/>
            <w:vAlign w:val="center"/>
            <w:vMerge w:val="continue"/>
            <w:textDirection w:val="lrTb"/>
            <w:noWrap w:val="false"/>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none" w:color="000000" w:sz="4" w:space="0"/>
            </w:tcBorders>
            <w:tcW w:w="6318" w:type="dxa"/>
            <w:vAlign w:val="center"/>
            <w:textDirection w:val="lrTb"/>
            <w:noWrap w:val="false"/>
          </w:tcPr>
          <w:p>
            <w:pPr>
              <w:jc w:val="left"/>
              <w:widowControl/>
              <w:rPr>
                <w:rFonts w:ascii="宋体" w:hAnsi="宋体" w:eastAsia="宋体" w:cs="宋体"/>
                <w:color w:val="auto"/>
                <w:sz w:val="18"/>
                <w:szCs w:val="18"/>
                <w:lang w:bidi="ar"/>
              </w:rPr>
            </w:pPr>
            <w:r>
              <w:rPr>
                <w:rFonts w:hint="eastAsia" w:ascii="宋体" w:hAnsi="宋体" w:eastAsia="宋体" w:cs="宋体"/>
                <w:color w:val="auto"/>
                <w:sz w:val="18"/>
                <w:szCs w:val="18"/>
                <w:lang w:bidi="ar"/>
              </w:rPr>
              <w:t xml:space="preserve">投标人或投标人所使用的试剂生产厂家作为起草单位每参与过一项食品安全快检技术相关国家标准、行业标准或技术规范（该标准或技术规范已通过备案并公布）的得2分；本项最多加4分；</w:t>
            </w:r>
            <w:r/>
          </w:p>
          <w:p>
            <w:pPr>
              <w:jc w:val="left"/>
              <w:widowControl/>
              <w:rPr>
                <w:rFonts w:ascii="宋体" w:hAnsi="宋体" w:eastAsia="宋体" w:cs="宋体"/>
                <w:color w:val="000000"/>
                <w:sz w:val="18"/>
                <w:szCs w:val="18"/>
                <w:lang w:bidi="ar"/>
              </w:rPr>
            </w:pPr>
            <w:r>
              <w:rPr>
                <w:rFonts w:hint="eastAsia" w:ascii="宋体" w:hAnsi="宋体" w:eastAsia="宋体" w:cs="宋体"/>
                <w:color w:val="auto"/>
                <w:sz w:val="18"/>
                <w:szCs w:val="18"/>
                <w:lang w:bidi="ar"/>
              </w:rPr>
              <w:t xml:space="preserve">评审依据：提供体现起草单位的相关标准或技术规范文本扫描件加盖起草单位公章或提供该标准或技术规范已通过备案并公布的相关证明材料，如投标人为代理商，则提供生产厂家授权书，否则不得分。注：中标后试剂生产厂家不得变更，如变更，取消中标人资格，招标人有权向投标人追索损失。</w:t>
            </w:r>
            <w:r/>
          </w:p>
        </w:tc>
        <w:tc>
          <w:tcPr>
            <w:shd w:val="clear" w:color="auto" w:fill="auto"/>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4</w:t>
            </w:r>
            <w:r/>
          </w:p>
        </w:tc>
      </w:tr>
      <w:tr>
        <w:trPr>
          <w:trHeight w:val="1080"/>
        </w:trPr>
        <w:tc>
          <w:tcPr>
            <w:shd w:val="clear" w:color="auto" w:fill="auto"/>
            <w:tcBorders>
              <w:top w:val="single" w:color="000000" w:sz="4" w:space="0"/>
              <w:left w:val="single" w:color="000000" w:sz="4" w:space="0"/>
              <w:right w:val="single" w:color="000000" w:sz="4" w:space="0"/>
            </w:tcBorders>
            <w:tcW w:w="579" w:type="dxa"/>
            <w:vAlign w:val="center"/>
            <w:vMerge w:val="restart"/>
            <w:textDirection w:val="lrTb"/>
            <w:noWrap w:val="false"/>
          </w:tcPr>
          <w:p>
            <w:pPr>
              <w:jc w:val="center"/>
              <w:widowControl/>
              <w:rPr>
                <w:rFonts w:ascii="宋体" w:hAnsi="宋体" w:eastAsia="宋体" w:cs="宋体"/>
                <w:color w:val="000000"/>
                <w:sz w:val="22"/>
                <w:szCs w:val="22"/>
                <w:lang w:bidi="ar"/>
              </w:rPr>
            </w:pPr>
            <w:r>
              <w:rPr>
                <w:rFonts w:hint="eastAsia" w:ascii="宋体" w:hAnsi="宋体" w:eastAsia="宋体" w:cs="宋体"/>
                <w:color w:val="000000"/>
                <w:sz w:val="22"/>
                <w:szCs w:val="22"/>
                <w:lang w:bidi="ar"/>
              </w:rPr>
              <w:t xml:space="preserve">3</w:t>
            </w:r>
            <w:r/>
          </w:p>
          <w:p>
            <w:pPr>
              <w:jc w:val="center"/>
              <w:widowControl/>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219" w:type="dxa"/>
            <w:vAlign w:val="center"/>
            <w:vMerge w:val="restart"/>
            <w:textDirection w:val="lrTb"/>
            <w:noWrap w:val="false"/>
          </w:tcPr>
          <w:p>
            <w:pPr>
              <w:jc w:val="center"/>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业绩</w:t>
            </w:r>
            <w:r/>
          </w:p>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w:t>
            </w:r>
            <w:r>
              <w:rPr>
                <w:rFonts w:hint="eastAsia" w:ascii="宋体" w:hAnsi="宋体" w:eastAsia="宋体" w:cs="宋体"/>
                <w:color w:val="000000"/>
                <w:szCs w:val="21"/>
                <w:lang w:val="en-US" w:eastAsia="zh-CN" w:bidi="ar"/>
              </w:rPr>
              <w:t xml:space="preserve">15</w:t>
            </w:r>
            <w:r>
              <w:rPr>
                <w:rFonts w:hint="eastAsia" w:ascii="宋体" w:hAnsi="宋体" w:eastAsia="宋体" w:cs="宋体"/>
                <w:color w:val="000000"/>
                <w:szCs w:val="21"/>
                <w:lang w:bidi="ar"/>
              </w:rPr>
              <w:t xml:space="preserve">分）</w:t>
            </w:r>
            <w:r/>
          </w:p>
        </w:tc>
        <w:tc>
          <w:tcPr>
            <w:shd w:val="clear" w:color="auto" w:fill="auto"/>
            <w:tcBorders>
              <w:top w:val="single" w:color="000000" w:sz="4" w:space="0"/>
              <w:left w:val="single" w:color="000000" w:sz="4" w:space="0"/>
              <w:bottom w:val="single" w:color="000000" w:sz="4" w:space="0"/>
              <w:right w:val="none" w:color="000000" w:sz="4" w:space="0"/>
            </w:tcBorders>
            <w:tcW w:w="6318" w:type="dxa"/>
            <w:vAlign w:val="center"/>
            <w:textDirection w:val="lrTb"/>
            <w:noWrap w:val="false"/>
          </w:tcPr>
          <w:p>
            <w:pPr>
              <w:jc w:val="left"/>
              <w:widowControl/>
              <w:rPr>
                <w:rFonts w:ascii="宋体" w:hAnsi="宋体" w:eastAsia="宋体" w:cs="宋体"/>
                <w:color w:val="000000"/>
                <w:sz w:val="18"/>
                <w:szCs w:val="18"/>
                <w:lang w:bidi="ar"/>
              </w:rPr>
            </w:pPr>
            <w:r>
              <w:rPr>
                <w:rFonts w:hint="eastAsia" w:ascii="宋体" w:hAnsi="宋体" w:eastAsia="宋体" w:cs="宋体"/>
                <w:color w:val="auto"/>
                <w:sz w:val="18"/>
                <w:szCs w:val="18"/>
                <w:highlight w:val="none"/>
                <w:lang w:bidi="ar"/>
              </w:rPr>
              <w:t xml:space="preserve">202</w:t>
            </w:r>
            <w:r>
              <w:rPr>
                <w:rFonts w:hint="eastAsia" w:ascii="宋体" w:hAnsi="宋体" w:eastAsia="宋体" w:cs="宋体"/>
                <w:color w:val="auto"/>
                <w:sz w:val="18"/>
                <w:szCs w:val="18"/>
                <w:highlight w:val="none"/>
                <w:lang w:val="en-US" w:eastAsia="zh-CN" w:bidi="ar"/>
              </w:rPr>
              <w:t xml:space="preserve">3</w:t>
            </w:r>
            <w:r>
              <w:rPr>
                <w:rFonts w:hint="eastAsia" w:ascii="宋体" w:hAnsi="宋体" w:eastAsia="宋体" w:cs="宋体"/>
                <w:color w:val="auto"/>
                <w:sz w:val="18"/>
                <w:szCs w:val="18"/>
                <w:highlight w:val="none"/>
                <w:lang w:bidi="ar"/>
              </w:rPr>
              <w:t xml:space="preserve">年1月1日以来（以合同签订时间为准），投标人承担过快检室运维服务相关类似业绩的，每提供一项得2分，本项最高得</w:t>
            </w:r>
            <w:r>
              <w:rPr>
                <w:rFonts w:hint="eastAsia" w:ascii="宋体" w:hAnsi="宋体" w:eastAsia="宋体" w:cs="宋体"/>
                <w:color w:val="auto"/>
                <w:sz w:val="18"/>
                <w:szCs w:val="18"/>
                <w:highlight w:val="none"/>
                <w:lang w:val="en-US" w:eastAsia="zh-CN" w:bidi="ar"/>
              </w:rPr>
              <w:t xml:space="preserve">8</w:t>
            </w:r>
            <w:r>
              <w:rPr>
                <w:rFonts w:hint="eastAsia" w:ascii="宋体" w:hAnsi="宋体" w:eastAsia="宋体" w:cs="宋体"/>
                <w:color w:val="auto"/>
                <w:sz w:val="18"/>
                <w:szCs w:val="18"/>
                <w:highlight w:val="none"/>
                <w:lang w:bidi="ar"/>
              </w:rPr>
              <w:t xml:space="preserve">分（提供中标通知书或合同扫描件；中标通知书或合同应能反映上述相关业绩信息，未提供或提供不全不得分）。</w:t>
            </w:r>
            <w:r/>
          </w:p>
        </w:tc>
        <w:tc>
          <w:tcPr>
            <w:shd w:val="clear" w:color="auto" w:fill="auto"/>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jc w:val="center"/>
              <w:widowControl/>
              <w:rPr>
                <w:rFonts w:hint="eastAsia" w:ascii="宋体" w:hAnsi="宋体" w:eastAsia="宋体" w:cs="宋体"/>
                <w:color w:val="000000"/>
                <w:sz w:val="22"/>
                <w:szCs w:val="22"/>
                <w:lang w:eastAsia="zh-CN"/>
              </w:rPr>
            </w:pPr>
            <w:r>
              <w:rPr>
                <w:rFonts w:hint="eastAsia" w:ascii="宋体" w:hAnsi="宋体" w:eastAsia="宋体" w:cs="宋体"/>
                <w:color w:val="000000"/>
                <w:sz w:val="22"/>
                <w:szCs w:val="22"/>
                <w:lang w:val="en-US" w:eastAsia="zh-CN" w:bidi="ar"/>
              </w:rPr>
              <w:t xml:space="preserve">8</w:t>
            </w:r>
            <w:r/>
          </w:p>
        </w:tc>
      </w:tr>
      <w:tr>
        <w:trPr>
          <w:trHeight w:val="1260"/>
        </w:trPr>
        <w:tc>
          <w:tcPr>
            <w:shd w:val="clear" w:color="auto" w:fill="auto"/>
            <w:tcBorders>
              <w:left w:val="single" w:color="000000" w:sz="4" w:space="0"/>
              <w:bottom w:val="single" w:color="000000" w:sz="4" w:space="0"/>
              <w:right w:val="single" w:color="000000" w:sz="4" w:space="0"/>
            </w:tcBorders>
            <w:tcW w:w="579" w:type="dxa"/>
            <w:vAlign w:val="center"/>
            <w:vMerge w:val="continue"/>
            <w:textDirection w:val="lrTb"/>
            <w:noWrap w:val="false"/>
          </w:tcPr>
          <w:p>
            <w:pPr>
              <w:jc w:val="center"/>
              <w:widowControl/>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219" w:type="dxa"/>
            <w:vAlign w:val="center"/>
            <w:vMerge w:val="continue"/>
            <w:textDirection w:val="lrTb"/>
            <w:noWrap w:val="false"/>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none" w:color="000000" w:sz="4" w:space="0"/>
            </w:tcBorders>
            <w:tcW w:w="6318" w:type="dxa"/>
            <w:vAlign w:val="center"/>
            <w:textDirection w:val="lrTb"/>
            <w:noWrap w:val="false"/>
          </w:tcPr>
          <w:p>
            <w:pPr>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1、2023年1月1日以来，投标</w:t>
            </w:r>
            <w:r>
              <w:rPr>
                <w:rFonts w:hint="eastAsia" w:ascii="宋体" w:hAnsi="宋体" w:eastAsia="宋体" w:cs="宋体"/>
                <w:i w:val="0"/>
                <w:iCs w:val="0"/>
                <w:color w:val="auto"/>
                <w:sz w:val="18"/>
                <w:szCs w:val="18"/>
                <w:highlight w:val="none"/>
                <w:u w:val="none"/>
                <w:lang w:val="en-US" w:eastAsia="zh-CN" w:bidi="ar"/>
              </w:rPr>
              <w:t xml:space="preserve">人承担过政府主管部门委托的大型活动食品类快速检测任务或重大保障任务（提供合同或证明文件），1次得1分</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，最高得4分。</w:t>
            </w:r>
            <w:r/>
          </w:p>
          <w:p>
            <w:pPr>
              <w:widowControl/>
              <w:rPr>
                <w:rFonts w:hint="default" w:ascii="宋体" w:hAnsi="宋体" w:eastAsia="宋体" w:cs="宋体"/>
                <w:i w:val="0"/>
                <w:iCs w:val="0"/>
                <w:color w:val="000000"/>
                <w:sz w:val="18"/>
                <w:szCs w:val="18"/>
                <w:highlight w:val="none"/>
                <w:u w:val="none"/>
                <w:lang w:val="en-US" w:eastAsia="zh-CN" w:bidi="ar"/>
              </w:rPr>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2、2023年1月1日以来，投标人组织过政府主管部门委托的食品快检结果验证工作的，每提供1个合同得3分，最高得3分；或者投标人参加过政府主管部门组织的食品快检结果验证，且结果</w:t>
            </w:r>
            <w:r>
              <w:rPr>
                <w:rFonts w:hint="eastAsia" w:ascii="宋体" w:hAnsi="宋体" w:eastAsia="宋体" w:cs="宋体"/>
                <w:i w:val="0"/>
                <w:iCs w:val="0"/>
                <w:color w:val="auto"/>
                <w:sz w:val="18"/>
                <w:szCs w:val="18"/>
                <w:highlight w:val="none"/>
                <w:u w:val="none"/>
                <w:lang w:val="en-US" w:eastAsia="zh-CN" w:bidi="ar"/>
              </w:rPr>
              <w:t xml:space="preserve">为合格、通过、符合的，</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每提供1个证明文件得1.5分，最高得3分。（本项最高得3分）</w:t>
            </w:r>
            <w:r/>
          </w:p>
        </w:tc>
        <w:tc>
          <w:tcPr>
            <w:shd w:val="clear" w:color="auto" w:fill="auto"/>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jc w:val="center"/>
              <w:widowControl/>
              <w:rPr>
                <w:rFonts w:hint="eastAsia" w:ascii="宋体" w:hAnsi="宋体" w:eastAsia="宋体" w:cs="宋体"/>
                <w:color w:val="000000"/>
                <w:sz w:val="22"/>
                <w:szCs w:val="22"/>
                <w:lang w:eastAsia="zh-CN"/>
              </w:rPr>
            </w:pPr>
            <w:r>
              <w:rPr>
                <w:rFonts w:hint="eastAsia" w:ascii="宋体" w:hAnsi="宋体" w:eastAsia="宋体" w:cs="宋体"/>
                <w:color w:val="000000"/>
                <w:sz w:val="22"/>
                <w:szCs w:val="22"/>
                <w:lang w:val="en-US" w:eastAsia="zh-CN" w:bidi="ar"/>
              </w:rPr>
              <w:t xml:space="preserve">7</w:t>
            </w:r>
            <w:r/>
          </w:p>
        </w:tc>
      </w:tr>
      <w:tr>
        <w:trPr>
          <w:trHeight w:val="1260"/>
        </w:trPr>
        <w:tc>
          <w:tcPr>
            <w:shd w:val="clear" w:color="auto" w:fill="auto"/>
            <w:tcBorders>
              <w:top w:val="single" w:color="000000" w:sz="4" w:space="0"/>
              <w:left w:val="single" w:color="000000" w:sz="4" w:space="0"/>
              <w:right w:val="single" w:color="000000" w:sz="4" w:space="0"/>
            </w:tcBorders>
            <w:tcW w:w="579" w:type="dxa"/>
            <w:vAlign w:val="center"/>
            <w:vMerge w:val="restart"/>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19" w:type="dxa"/>
            <w:vAlign w:val="center"/>
            <w:vMerge w:val="restart"/>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技术能力（</w:t>
            </w:r>
            <w:r>
              <w:rPr>
                <w:rFonts w:hint="eastAsia" w:ascii="宋体" w:hAnsi="宋体" w:eastAsia="宋体" w:cs="宋体"/>
                <w:color w:val="000000"/>
                <w:szCs w:val="21"/>
                <w:lang w:val="en-US" w:eastAsia="zh-CN" w:bidi="ar"/>
              </w:rPr>
              <w:t xml:space="preserve">16</w:t>
            </w:r>
            <w:r>
              <w:rPr>
                <w:rFonts w:hint="eastAsia" w:ascii="宋体" w:hAnsi="宋体" w:eastAsia="宋体" w:cs="宋体"/>
                <w:color w:val="000000"/>
                <w:szCs w:val="21"/>
                <w:lang w:bidi="ar"/>
              </w:rPr>
              <w:t xml:space="preserve">分）</w:t>
            </w:r>
            <w:r/>
          </w:p>
        </w:tc>
        <w:tc>
          <w:tcPr>
            <w:shd w:val="clear" w:color="auto" w:fill="auto"/>
            <w:tcBorders>
              <w:top w:val="single" w:color="000000" w:sz="4" w:space="0"/>
              <w:left w:val="single" w:color="000000" w:sz="4" w:space="0"/>
              <w:bottom w:val="single" w:color="000000" w:sz="4" w:space="0"/>
              <w:right w:val="none" w:color="000000" w:sz="4" w:space="0"/>
            </w:tcBorders>
            <w:tcW w:w="6318" w:type="dxa"/>
            <w:vAlign w:val="center"/>
            <w:textDirection w:val="lrTb"/>
            <w:noWrap w:val="false"/>
          </w:tcPr>
          <w:p>
            <w:pP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投标人拟投入本项目水产品中的孔雀石绿、氯霉素、硝基呋喃类代谢物、氧氟沙星等通过农业部门水产科学研究院评价通过的，每通过一项得2分，本项最</w:t>
            </w:r>
            <w:r>
              <w:rPr>
                <w:rFonts w:hint="eastAsia" w:ascii="宋体" w:hAnsi="宋体" w:eastAsia="宋体" w:cs="宋体"/>
                <w:color w:val="000000"/>
                <w:sz w:val="18"/>
                <w:szCs w:val="18"/>
                <w:lang w:val="en-US" w:eastAsia="zh-CN" w:bidi="ar"/>
              </w:rPr>
              <w:t xml:space="preserve">高得</w:t>
            </w:r>
            <w:r>
              <w:rPr>
                <w:rFonts w:hint="eastAsia" w:ascii="宋体" w:hAnsi="宋体" w:eastAsia="宋体" w:cs="宋体"/>
                <w:color w:val="000000"/>
                <w:sz w:val="18"/>
                <w:szCs w:val="18"/>
                <w:lang w:bidi="ar"/>
              </w:rPr>
              <w:t xml:space="preserve">8分。注：提供农业部门水产科学研究院评价的结果证明材料扫描件，不清晰或未提供全不得分。</w:t>
            </w:r>
            <w:r/>
          </w:p>
        </w:tc>
        <w:tc>
          <w:tcPr>
            <w:shd w:val="clear" w:color="auto" w:fill="auto"/>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8</w:t>
            </w:r>
            <w:r/>
          </w:p>
        </w:tc>
      </w:tr>
      <w:tr>
        <w:trPr>
          <w:trHeight w:val="90"/>
        </w:trPr>
        <w:tc>
          <w:tcPr>
            <w:shd w:val="clear" w:color="auto" w:fill="auto"/>
            <w:tcBorders>
              <w:left w:val="single" w:color="000000" w:sz="4" w:space="0"/>
              <w:right w:val="single" w:color="000000" w:sz="4" w:space="0"/>
            </w:tcBorders>
            <w:tcW w:w="579" w:type="dxa"/>
            <w:vAlign w:val="center"/>
            <w:vMerge w:val="continue"/>
            <w:textDirection w:val="lrTb"/>
            <w:noWrap w:val="false"/>
          </w:tcPr>
          <w:p>
            <w:pPr>
              <w:jc w:val="center"/>
              <w:widowControl/>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219" w:type="dxa"/>
            <w:vAlign w:val="center"/>
            <w:vMerge w:val="continue"/>
            <w:textDirection w:val="lrTb"/>
            <w:noWrap w:val="false"/>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right w:val="none" w:color="000000" w:sz="4" w:space="0"/>
            </w:tcBorders>
            <w:tcW w:w="6318" w:type="dxa"/>
            <w:vAlign w:val="center"/>
            <w:textDirection w:val="lrTb"/>
            <w:noWrap w:val="false"/>
          </w:tcPr>
          <w:p>
            <w:pPr>
              <w:widowControl/>
              <w:rPr>
                <w:rFonts w:hint="eastAsia" w:ascii="宋体" w:hAnsi="宋体" w:eastAsia="宋体" w:cs="宋体"/>
                <w:color w:val="000000"/>
                <w:sz w:val="18"/>
                <w:szCs w:val="18"/>
                <w:lang w:bidi="ar"/>
              </w:rPr>
            </w:pPr>
            <w:r>
              <w:rPr>
                <w:rFonts w:hint="eastAsia" w:ascii="宋体" w:hAnsi="宋体" w:eastAsia="宋体" w:cs="宋体"/>
                <w:color w:val="000000"/>
                <w:sz w:val="18"/>
                <w:szCs w:val="18"/>
                <w:lang w:bidi="ar"/>
              </w:rPr>
              <w:t xml:space="preserve">所用的试剂需提供试剂生产厂家符合国家总局公告的快检方法经过具有检验资质的第三方机构实验出具的评价报告，评价报告需按《市场监管总局关于规范食品快速检测使用的意见》（国市监食检规〔2023〕1号）或食药监办科[2017]43 号《食品快速检测方法评价技术规范》要求进行盲样测试，评价结果需符合国家食药总局快检方法要求（评价内容至少包括适用范围、灵敏度、特异性、假阳性率、假阴性率指标）每提供1个加0.5分，最高得8分。(提供的评价报告所对应的试剂需为供应商能真实采购，投入使用的，否则不得分）</w:t>
            </w:r>
            <w:r/>
          </w:p>
          <w:p>
            <w:pPr>
              <w:widowControl/>
              <w:rPr>
                <w:rFonts w:ascii="宋体" w:hAnsi="宋体" w:eastAsia="宋体" w:cs="宋体"/>
                <w:color w:val="000000"/>
                <w:sz w:val="18"/>
                <w:szCs w:val="18"/>
              </w:rPr>
            </w:pPr>
            <w:r>
              <w:rPr>
                <w:rFonts w:ascii="宋体" w:hAnsi="宋体" w:eastAsia="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jc w:val="center"/>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t xml:space="preserve">8</w:t>
            </w:r>
            <w:r/>
          </w:p>
          <w:p>
            <w:pPr>
              <w:jc w:val="center"/>
              <w:widowControl/>
              <w:rPr>
                <w:rFonts w:ascii="宋体" w:hAnsi="宋体" w:eastAsia="宋体" w:cs="宋体"/>
                <w:color w:val="000000"/>
                <w:sz w:val="22"/>
                <w:szCs w:val="22"/>
              </w:rPr>
            </w:pPr>
            <w:r>
              <w:rPr>
                <w:rFonts w:ascii="宋体" w:hAnsi="宋体" w:eastAsia="宋体" w:cs="宋体"/>
                <w:color w:val="000000"/>
                <w:sz w:val="22"/>
                <w:szCs w:val="22"/>
              </w:rPr>
            </w:r>
            <w:r/>
          </w:p>
        </w:tc>
      </w:tr>
      <w:tr>
        <w:trPr>
          <w:trHeight w:val="1260"/>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车辆服务（2分）</w:t>
            </w:r>
            <w:r/>
          </w:p>
        </w:tc>
        <w:tc>
          <w:tcPr>
            <w:shd w:val="clear" w:color="auto" w:fill="auto"/>
            <w:tcBorders>
              <w:top w:val="single" w:color="000000" w:sz="4" w:space="0"/>
              <w:left w:val="single" w:color="000000" w:sz="4" w:space="0"/>
              <w:bottom w:val="single" w:color="000000" w:sz="4" w:space="0"/>
              <w:right w:val="none" w:color="000000" w:sz="4" w:space="0"/>
            </w:tcBorders>
            <w:tcW w:w="6318" w:type="dxa"/>
            <w:vAlign w:val="center"/>
            <w:textDirection w:val="lrTb"/>
            <w:noWrap w:val="false"/>
          </w:tcPr>
          <w:p>
            <w:pPr>
              <w:widowControl/>
              <w:rPr>
                <w:rFonts w:ascii="宋体" w:hAnsi="宋体" w:eastAsia="宋体" w:cs="宋体"/>
                <w:color w:val="ff0000"/>
                <w:sz w:val="18"/>
                <w:szCs w:val="18"/>
              </w:rPr>
            </w:pPr>
            <w:r>
              <w:rPr>
                <w:rFonts w:hint="eastAsia" w:ascii="宋体" w:hAnsi="宋体" w:eastAsia="宋体" w:cs="宋体"/>
                <w:i w:val="0"/>
                <w:iCs w:val="0"/>
                <w:color w:val="auto"/>
                <w:sz w:val="18"/>
                <w:szCs w:val="18"/>
                <w:highlight w:val="none"/>
                <w:u w:val="none"/>
                <w:lang w:val="en-US" w:eastAsia="zh-CN" w:bidi="ar"/>
              </w:rPr>
              <w:t xml:space="preserve">投标人能提供食品专用快检车辆的（自有或租赁的），得2分，没有不得分。投标人须提供以下材料：若为自有车辆，提供车辆登记证书（车辆所有人需和投标人一致）、购车发票、车辆行驶证、车辆照片等；若为租赁车辆，还须提供租赁协议，协议期限不得少于服务期限。</w:t>
            </w:r>
            <w:r/>
          </w:p>
        </w:tc>
        <w:tc>
          <w:tcPr>
            <w:shd w:val="clear" w:color="auto" w:fill="auto"/>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2</w:t>
            </w:r>
            <w:r/>
          </w:p>
        </w:tc>
      </w:tr>
      <w:tr>
        <w:trPr>
          <w:trHeight w:val="3456"/>
        </w:trPr>
        <w:tc>
          <w:tcPr>
            <w:shd w:val="clear" w:color="auto" w:fill="auto"/>
            <w:tcBorders>
              <w:top w:val="single" w:color="000000" w:sz="4" w:space="0"/>
              <w:left w:val="single" w:color="000000" w:sz="4" w:space="0"/>
              <w:right w:val="single" w:color="000000" w:sz="4" w:space="0"/>
            </w:tcBorders>
            <w:tcW w:w="579" w:type="dxa"/>
            <w:vAlign w:val="center"/>
            <w:vMerge w:val="restart"/>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19" w:type="dxa"/>
            <w:vAlign w:val="center"/>
            <w:vMerge w:val="restart"/>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技术人员（10分）</w:t>
            </w:r>
            <w:r/>
          </w:p>
        </w:tc>
        <w:tc>
          <w:tcPr>
            <w:shd w:val="clear" w:color="auto" w:fill="auto"/>
            <w:tcBorders>
              <w:top w:val="single" w:color="000000" w:sz="4" w:space="0"/>
              <w:left w:val="single" w:color="000000" w:sz="4" w:space="0"/>
              <w:bottom w:val="single" w:color="000000" w:sz="4" w:space="0"/>
              <w:right w:val="none" w:color="000000" w:sz="4" w:space="0"/>
            </w:tcBorders>
            <w:tcW w:w="6318" w:type="dxa"/>
            <w:vAlign w:val="center"/>
            <w:textDirection w:val="lrTb"/>
            <w:noWrap w:val="false"/>
          </w:tcPr>
          <w:p>
            <w:pPr>
              <w:widowControl/>
              <w:rPr>
                <w:rFonts w:ascii="宋体" w:hAnsi="宋体" w:eastAsia="宋体" w:cs="宋体"/>
                <w:color w:val="auto"/>
                <w:sz w:val="18"/>
                <w:szCs w:val="18"/>
                <w:lang w:bidi="ar"/>
              </w:rPr>
            </w:pPr>
            <w:r>
              <w:rPr>
                <w:rFonts w:hint="eastAsia" w:ascii="宋体" w:hAnsi="宋体" w:eastAsia="宋体" w:cs="宋体"/>
                <w:color w:val="000000"/>
                <w:sz w:val="18"/>
                <w:szCs w:val="18"/>
                <w:lang w:bidi="ar"/>
              </w:rPr>
              <w:t xml:space="preserve"> 投标人拟为本项目配备专职的项目负责人：</w:t>
            </w:r>
            <w:r>
              <w:rPr>
                <w:rFonts w:hint="eastAsia" w:ascii="宋体" w:hAnsi="宋体" w:eastAsia="宋体" w:cs="宋体"/>
                <w:b/>
                <w:bCs/>
                <w:color w:val="000000"/>
                <w:sz w:val="18"/>
                <w:szCs w:val="18"/>
                <w:u w:val="single"/>
                <w:lang w:bidi="ar"/>
              </w:rPr>
              <w:t xml:space="preserve">（项目负责人必须为同一个人，如不是同一个人，本项不得分）</w:t>
            </w:r>
            <w:r>
              <w:rPr>
                <w:rFonts w:hint="eastAsia" w:ascii="宋体" w:hAnsi="宋体" w:eastAsia="宋体" w:cs="宋体"/>
                <w:b/>
                <w:bCs/>
                <w:color w:val="000000"/>
                <w:sz w:val="18"/>
                <w:szCs w:val="18"/>
                <w:u w:val="single"/>
                <w:lang w:bidi="ar"/>
              </w:rPr>
              <w:br/>
            </w:r>
            <w:r>
              <w:rPr>
                <w:rFonts w:hint="eastAsia" w:ascii="宋体" w:hAnsi="宋体" w:eastAsia="宋体" w:cs="宋体"/>
                <w:color w:val="000000"/>
                <w:sz w:val="18"/>
                <w:szCs w:val="18"/>
                <w:lang w:bidi="ar"/>
              </w:rPr>
              <w:t xml:space="preserve">（1）具有食品或化学或生物或检验类硕士研究生（含）以上学历学位，具有两年（含）以上同类项目工作经验，全部满足得2分。</w:t>
            </w:r>
            <w:r>
              <w:rPr>
                <w:rFonts w:hint="eastAsia" w:ascii="宋体" w:hAnsi="宋体" w:eastAsia="宋体" w:cs="宋体"/>
                <w:color w:val="000000"/>
                <w:sz w:val="18"/>
                <w:szCs w:val="18"/>
                <w:lang w:bidi="ar"/>
              </w:rPr>
              <w:br/>
            </w:r>
            <w:r>
              <w:rPr>
                <w:rFonts w:hint="eastAsia" w:ascii="宋体" w:hAnsi="宋体" w:eastAsia="宋体" w:cs="宋体"/>
                <w:color w:val="000000"/>
                <w:sz w:val="18"/>
                <w:szCs w:val="18"/>
                <w:lang w:bidi="ar"/>
              </w:rPr>
              <w:t xml:space="preserve">注：提供项目负责人学历学位证书扫描件、同类项目工作经验年限证明（投标人需提供证明函扫描件）</w:t>
            </w:r>
            <w:r>
              <w:rPr>
                <w:rFonts w:hint="eastAsia" w:ascii="宋体" w:hAnsi="宋体" w:eastAsia="宋体" w:cs="宋体"/>
                <w:color w:val="auto"/>
                <w:sz w:val="18"/>
                <w:szCs w:val="18"/>
                <w:lang w:bidi="ar"/>
              </w:rPr>
              <w:t xml:space="preserve">，以上内容未提供或提供不全或不清晰不明确或不符合要求不得分。</w:t>
            </w:r>
            <w:r>
              <w:rPr>
                <w:rFonts w:hint="eastAsia" w:ascii="宋体" w:hAnsi="宋体" w:eastAsia="宋体" w:cs="宋体"/>
                <w:color w:val="auto"/>
                <w:sz w:val="18"/>
                <w:szCs w:val="18"/>
                <w:lang w:bidi="ar"/>
              </w:rPr>
              <w:br/>
            </w:r>
            <w:r>
              <w:rPr>
                <w:rFonts w:hint="eastAsia" w:ascii="宋体" w:hAnsi="宋体" w:eastAsia="宋体" w:cs="宋体"/>
                <w:color w:val="auto"/>
                <w:sz w:val="18"/>
                <w:szCs w:val="18"/>
                <w:lang w:bidi="ar"/>
              </w:rPr>
              <w:t xml:space="preserve">（</w:t>
            </w:r>
            <w:r>
              <w:rPr>
                <w:rFonts w:hint="eastAsia" w:ascii="宋体" w:hAnsi="宋体" w:eastAsia="宋体" w:cs="宋体"/>
                <w:color w:val="auto"/>
                <w:sz w:val="18"/>
                <w:szCs w:val="18"/>
                <w:highlight w:val="none"/>
                <w:lang w:bidi="ar"/>
              </w:rPr>
              <w:t xml:space="preserve">2）具有</w:t>
            </w:r>
            <w:r>
              <w:rPr>
                <w:rFonts w:hint="eastAsia" w:ascii="宋体" w:hAnsi="宋体" w:eastAsia="宋体" w:cs="宋体"/>
                <w:color w:val="auto"/>
                <w:sz w:val="18"/>
                <w:szCs w:val="18"/>
                <w:lang w:bidi="ar"/>
              </w:rPr>
              <w:t xml:space="preserve">食品类、化工类、生物类中级及以上</w:t>
            </w:r>
            <w:r>
              <w:rPr>
                <w:rFonts w:hint="eastAsia" w:ascii="宋体" w:hAnsi="宋体" w:eastAsia="宋体" w:cs="宋体"/>
                <w:color w:val="auto"/>
                <w:sz w:val="18"/>
                <w:szCs w:val="18"/>
                <w:highlight w:val="none"/>
                <w:lang w:bidi="ar"/>
              </w:rPr>
              <w:t xml:space="preserve">职称证书，得2分。</w:t>
            </w:r>
            <w:r/>
          </w:p>
          <w:p>
            <w:pPr>
              <w:widowControl/>
              <w:rPr>
                <w:rFonts w:ascii="宋体" w:hAnsi="宋体" w:eastAsia="宋体" w:cs="宋体"/>
                <w:color w:val="000000"/>
                <w:sz w:val="18"/>
                <w:szCs w:val="18"/>
              </w:rPr>
            </w:pPr>
            <w:r>
              <w:rPr>
                <w:rFonts w:hint="eastAsia" w:ascii="宋体" w:hAnsi="宋体" w:eastAsia="宋体" w:cs="宋体"/>
                <w:color w:val="auto"/>
                <w:sz w:val="18"/>
                <w:szCs w:val="18"/>
                <w:lang w:bidi="ar"/>
              </w:rPr>
              <w:t xml:space="preserve">注：提供中级职称证书扫描件和加盖投标人公章。</w:t>
            </w:r>
            <w:r>
              <w:rPr>
                <w:rFonts w:hint="eastAsia" w:ascii="宋体" w:hAnsi="宋体" w:eastAsia="宋体" w:cs="宋体"/>
                <w:color w:val="auto"/>
                <w:sz w:val="18"/>
                <w:szCs w:val="18"/>
                <w:lang w:bidi="ar"/>
              </w:rPr>
              <w:br/>
            </w:r>
            <w:r>
              <w:rPr>
                <w:rFonts w:hint="eastAsia" w:ascii="宋体" w:hAnsi="宋体" w:eastAsia="宋体" w:cs="宋体"/>
                <w:color w:val="auto"/>
                <w:sz w:val="18"/>
                <w:szCs w:val="18"/>
                <w:highlight w:val="none"/>
                <w:lang w:bidi="ar"/>
              </w:rPr>
              <w:t xml:space="preserve">（3）配备的项目负责人自202</w:t>
            </w:r>
            <w:r>
              <w:rPr>
                <w:rFonts w:hint="eastAsia" w:ascii="宋体" w:hAnsi="宋体" w:eastAsia="宋体" w:cs="宋体"/>
                <w:color w:val="auto"/>
                <w:sz w:val="18"/>
                <w:szCs w:val="18"/>
                <w:highlight w:val="none"/>
                <w:lang w:val="en-US" w:eastAsia="zh-CN" w:bidi="ar"/>
              </w:rPr>
              <w:t xml:space="preserve">4</w:t>
            </w:r>
            <w:r>
              <w:rPr>
                <w:rFonts w:hint="eastAsia" w:ascii="宋体" w:hAnsi="宋体" w:eastAsia="宋体" w:cs="宋体"/>
                <w:color w:val="auto"/>
                <w:sz w:val="18"/>
                <w:szCs w:val="18"/>
                <w:highlight w:val="none"/>
                <w:lang w:bidi="ar"/>
              </w:rPr>
              <w:t xml:space="preserve">年1月1日以来（以合同签订时间为准）承担过类似项目，提供一个得1分，最多得2分。</w:t>
            </w:r>
            <w:r>
              <w:rPr>
                <w:rFonts w:hint="eastAsia" w:ascii="宋体" w:hAnsi="宋体" w:eastAsia="宋体" w:cs="宋体"/>
                <w:color w:val="auto"/>
                <w:sz w:val="18"/>
                <w:szCs w:val="18"/>
                <w:highlight w:val="none"/>
                <w:lang w:bidi="ar"/>
              </w:rPr>
              <w:br/>
            </w:r>
            <w:r>
              <w:rPr>
                <w:rFonts w:hint="eastAsia" w:ascii="宋体" w:hAnsi="宋体" w:eastAsia="宋体" w:cs="宋体"/>
                <w:color w:val="auto"/>
                <w:sz w:val="18"/>
                <w:szCs w:val="18"/>
                <w:highlight w:val="none"/>
                <w:lang w:bidi="ar"/>
              </w:rPr>
              <w:t xml:space="preserve">注：提供合同扫描件及项目负责人参与此</w:t>
            </w:r>
            <w:r>
              <w:rPr>
                <w:rFonts w:hint="eastAsia" w:ascii="宋体" w:hAnsi="宋体" w:eastAsia="宋体" w:cs="宋体"/>
                <w:color w:val="000000"/>
                <w:sz w:val="18"/>
                <w:szCs w:val="18"/>
                <w:highlight w:val="none"/>
                <w:lang w:bidi="ar"/>
              </w:rPr>
              <w:t xml:space="preserve">项目等证明材料，合同需能反映相关类似项目信息。证明材料未提供或提供不全或不清晰不明确或不符合要求不得分。</w:t>
            </w:r>
            <w:r/>
          </w:p>
        </w:tc>
        <w:tc>
          <w:tcPr>
            <w:shd w:val="clear" w:color="auto" w:fill="auto"/>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6</w:t>
            </w:r>
            <w:r/>
          </w:p>
        </w:tc>
      </w:tr>
      <w:tr>
        <w:trPr>
          <w:trHeight w:val="1097"/>
        </w:trPr>
        <w:tc>
          <w:tcPr>
            <w:shd w:val="clear" w:color="auto" w:fill="auto"/>
            <w:tcBorders>
              <w:left w:val="single" w:color="000000" w:sz="4" w:space="0"/>
              <w:bottom w:val="single" w:color="000000" w:sz="4" w:space="0"/>
              <w:right w:val="single" w:color="000000" w:sz="4" w:space="0"/>
            </w:tcBorders>
            <w:tcW w:w="579" w:type="dxa"/>
            <w:vAlign w:val="center"/>
            <w:vMerge w:val="continue"/>
            <w:textDirection w:val="lrTb"/>
            <w:noWrap w:val="false"/>
          </w:tcPr>
          <w:p>
            <w:pPr>
              <w:jc w:val="center"/>
              <w:widowControl/>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219" w:type="dxa"/>
            <w:vAlign w:val="center"/>
            <w:vMerge w:val="continue"/>
            <w:textDirection w:val="lrTb"/>
            <w:noWrap w:val="false"/>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none" w:color="000000" w:sz="4" w:space="0"/>
            </w:tcBorders>
            <w:tcW w:w="6318" w:type="dxa"/>
            <w:vAlign w:val="center"/>
            <w:textDirection w:val="lrTb"/>
            <w:noWrap w:val="false"/>
          </w:tcPr>
          <w:p>
            <w:pPr>
              <w:widowControl/>
              <w:rPr>
                <w:rFonts w:ascii="宋体" w:hAnsi="宋体" w:eastAsia="宋体" w:cs="宋体"/>
                <w:color w:val="000000"/>
                <w:sz w:val="20"/>
                <w:szCs w:val="20"/>
              </w:rPr>
            </w:pPr>
            <w:r/>
            <w:bookmarkStart w:id="185" w:name="OLE_LINK1"/>
            <w:r>
              <w:rPr>
                <w:rFonts w:hint="eastAsia" w:ascii="宋体" w:hAnsi="宋体" w:eastAsia="宋体" w:cs="宋体"/>
                <w:color w:val="000000"/>
                <w:sz w:val="18"/>
                <w:szCs w:val="18"/>
                <w:lang w:bidi="ar"/>
              </w:rPr>
              <w:t xml:space="preserve">投标人拟派2名项目检测技</w:t>
            </w:r>
            <w:bookmarkEnd w:id="185"/>
            <w:r>
              <w:rPr>
                <w:rFonts w:hint="eastAsia" w:ascii="宋体" w:hAnsi="宋体" w:eastAsia="宋体" w:cs="宋体"/>
                <w:color w:val="000000"/>
                <w:sz w:val="18"/>
                <w:szCs w:val="18"/>
                <w:lang w:bidi="ar"/>
              </w:rPr>
              <w:t xml:space="preserve">术骨干人员；具有本科及以上学历（生物类、食品类、化学类、检测化验类、高分子材料与工程类等相关专业），每提供1名符合要求的人员证明材料</w:t>
            </w:r>
            <w:r>
              <w:rPr>
                <w:rFonts w:hint="eastAsia" w:ascii="宋体" w:hAnsi="宋体" w:eastAsia="宋体" w:cs="宋体"/>
                <w:color w:val="000000"/>
                <w:sz w:val="18"/>
                <w:szCs w:val="18"/>
                <w:highlight w:val="none"/>
                <w:lang w:bidi="ar"/>
              </w:rPr>
              <w:t xml:space="preserve">得2分</w:t>
            </w:r>
            <w:r>
              <w:rPr>
                <w:rFonts w:hint="eastAsia" w:ascii="宋体" w:hAnsi="宋体" w:eastAsia="宋体" w:cs="宋体"/>
                <w:color w:val="000000"/>
                <w:sz w:val="18"/>
                <w:szCs w:val="18"/>
                <w:lang w:bidi="ar"/>
              </w:rPr>
              <w:t xml:space="preserve">，最高得4分。注：（需提供毕业证书扫描件未提供或提供不全的不得分。</w:t>
            </w:r>
            <w:r/>
          </w:p>
        </w:tc>
        <w:tc>
          <w:tcPr>
            <w:shd w:val="clear" w:color="auto" w:fill="auto"/>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4</w:t>
            </w:r>
            <w:r/>
          </w:p>
        </w:tc>
      </w:tr>
      <w:tr>
        <w:trPr>
          <w:trHeight w:val="463"/>
        </w:trPr>
        <w:tc>
          <w:tcPr>
            <w:shd w:val="clear" w:color="auto" w:fill="auto"/>
            <w:tcBorders>
              <w:top w:val="single" w:color="000000" w:sz="4" w:space="0"/>
              <w:left w:val="single" w:color="000000" w:sz="4" w:space="0"/>
              <w:right w:val="single" w:color="000000" w:sz="4" w:space="0"/>
            </w:tcBorders>
            <w:tcW w:w="579" w:type="dxa"/>
            <w:vAlign w:val="center"/>
            <w:vMerge w:val="restart"/>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19" w:type="dxa"/>
            <w:vAlign w:val="center"/>
            <w:vMerge w:val="restart"/>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运维技术服务</w:t>
            </w:r>
            <w:r>
              <w:rPr>
                <w:rFonts w:hint="eastAsia" w:ascii="宋体" w:hAnsi="宋体" w:eastAsia="宋体" w:cs="宋体"/>
                <w:color w:val="000000"/>
                <w:sz w:val="22"/>
                <w:szCs w:val="22"/>
                <w:lang w:bidi="ar"/>
              </w:rPr>
              <w:br/>
            </w:r>
            <w:r>
              <w:rPr>
                <w:rFonts w:hint="eastAsia" w:ascii="宋体" w:hAnsi="宋体" w:eastAsia="宋体" w:cs="宋体"/>
                <w:color w:val="000000"/>
                <w:sz w:val="22"/>
                <w:szCs w:val="22"/>
                <w:lang w:bidi="ar"/>
              </w:rPr>
              <w:t xml:space="preserve">（</w:t>
            </w:r>
            <w:r>
              <w:rPr>
                <w:rFonts w:hint="eastAsia" w:ascii="宋体" w:hAnsi="宋体" w:eastAsia="宋体" w:cs="宋体"/>
                <w:color w:val="000000"/>
                <w:sz w:val="22"/>
                <w:szCs w:val="22"/>
                <w:lang w:val="en-US" w:eastAsia="zh-CN" w:bidi="ar"/>
              </w:rPr>
              <w:t xml:space="preserve">32</w:t>
            </w:r>
            <w:r>
              <w:rPr>
                <w:rFonts w:hint="eastAsia" w:ascii="宋体" w:hAnsi="宋体" w:eastAsia="宋体" w:cs="宋体"/>
                <w:color w:val="000000"/>
                <w:sz w:val="22"/>
                <w:szCs w:val="22"/>
                <w:lang w:bidi="ar"/>
              </w:rPr>
              <w:t xml:space="preserve">分）</w:t>
            </w:r>
            <w:r/>
          </w:p>
        </w:tc>
        <w:tc>
          <w:tcPr>
            <w:shd w:val="clear" w:color="auto" w:fill="auto"/>
            <w:tcBorders>
              <w:top w:val="single" w:color="000000" w:sz="4" w:space="0"/>
              <w:left w:val="none" w:color="000000" w:sz="4" w:space="0"/>
              <w:bottom w:val="single" w:color="000000" w:sz="4" w:space="0"/>
              <w:right w:val="none" w:color="000000" w:sz="4" w:space="0"/>
            </w:tcBorders>
            <w:tcW w:w="6318" w:type="dxa"/>
            <w:vAlign w:val="bottom"/>
            <w:textDirection w:val="lrTb"/>
            <w:noWrap w:val="false"/>
          </w:tcPr>
          <w:p>
            <w:pPr>
              <w:jc w:val="left"/>
              <w:widowControl/>
              <w:rPr>
                <w:rFonts w:ascii="宋体" w:hAnsi="宋体" w:eastAsia="宋体" w:cs="宋体"/>
                <w:color w:val="000000"/>
                <w:sz w:val="18"/>
                <w:szCs w:val="18"/>
                <w:lang w:bidi="ar"/>
              </w:rPr>
            </w:pPr>
            <w:r>
              <w:rPr>
                <w:rFonts w:hint="eastAsia" w:ascii="宋体" w:hAnsi="宋体" w:eastAsia="宋体" w:cs="宋体"/>
                <w:color w:val="000000"/>
                <w:sz w:val="18"/>
                <w:szCs w:val="18"/>
                <w:lang w:bidi="ar"/>
              </w:rPr>
              <w:t xml:space="preserve">评委根据投标人针对本项目提供的农贸市场快检室食品安全检测服务方案（包括但不限于人力投入计划、服务便利性措施、运营管理和服务质量保障措施等）进行综合评分：</w:t>
            </w:r>
            <w:r>
              <w:rPr>
                <w:rFonts w:hint="eastAsia" w:ascii="宋体" w:hAnsi="宋体" w:eastAsia="宋体" w:cs="宋体"/>
                <w:color w:val="000000"/>
                <w:sz w:val="18"/>
                <w:szCs w:val="18"/>
                <w:lang w:bidi="ar"/>
              </w:rPr>
              <w:br/>
            </w:r>
            <w:r>
              <w:rPr>
                <w:rFonts w:hint="eastAsia" w:ascii="宋体" w:hAnsi="宋体" w:eastAsia="宋体" w:cs="宋体"/>
                <w:color w:val="000000"/>
                <w:sz w:val="18"/>
                <w:szCs w:val="18"/>
                <w:lang w:bidi="ar"/>
              </w:rPr>
              <w:t xml:space="preserve">1) 上述方案思路清晰、目标明确、对农贸市场运维服务的各项工作要求理解到位、具有较强的科学性及合理性的得</w:t>
            </w:r>
            <w:r>
              <w:rPr>
                <w:rFonts w:hint="eastAsia" w:ascii="宋体" w:hAnsi="宋体" w:eastAsia="宋体" w:cs="宋体"/>
                <w:color w:val="000000"/>
                <w:sz w:val="18"/>
                <w:szCs w:val="18"/>
                <w:lang w:val="en-US" w:eastAsia="zh-CN" w:bidi="ar"/>
              </w:rPr>
              <w:t xml:space="preserve">10</w:t>
            </w:r>
            <w:r>
              <w:rPr>
                <w:rFonts w:hint="eastAsia" w:ascii="宋体" w:hAnsi="宋体" w:eastAsia="宋体" w:cs="宋体"/>
                <w:color w:val="000000"/>
                <w:sz w:val="18"/>
                <w:szCs w:val="18"/>
                <w:lang w:bidi="ar"/>
              </w:rPr>
              <w:t xml:space="preserve">分；</w:t>
            </w:r>
            <w:r>
              <w:rPr>
                <w:rFonts w:hint="eastAsia" w:ascii="宋体" w:hAnsi="宋体" w:eastAsia="宋体" w:cs="宋体"/>
                <w:color w:val="000000"/>
                <w:sz w:val="18"/>
                <w:szCs w:val="18"/>
                <w:lang w:bidi="ar"/>
              </w:rPr>
              <w:br/>
            </w:r>
            <w:r>
              <w:rPr>
                <w:rFonts w:hint="eastAsia" w:ascii="宋体" w:hAnsi="宋体" w:eastAsia="宋体" w:cs="宋体"/>
                <w:color w:val="000000"/>
                <w:sz w:val="18"/>
                <w:szCs w:val="18"/>
                <w:lang w:bidi="ar"/>
              </w:rPr>
              <w:t xml:space="preserve">2) 上述方案思路较清晰、目标较明确、对农贸市场运维服务的各项工作要求基本理解、具有科学性及合理性的得</w:t>
            </w:r>
            <w:r>
              <w:rPr>
                <w:rFonts w:hint="eastAsia" w:ascii="宋体" w:hAnsi="宋体" w:eastAsia="宋体" w:cs="宋体"/>
                <w:color w:val="000000"/>
                <w:sz w:val="18"/>
                <w:szCs w:val="18"/>
                <w:lang w:val="en-US" w:eastAsia="zh-CN" w:bidi="ar"/>
              </w:rPr>
              <w:t xml:space="preserve">6</w:t>
            </w:r>
            <w:r>
              <w:rPr>
                <w:rFonts w:hint="eastAsia" w:ascii="宋体" w:hAnsi="宋体" w:eastAsia="宋体" w:cs="宋体"/>
                <w:color w:val="000000"/>
                <w:sz w:val="18"/>
                <w:szCs w:val="18"/>
                <w:lang w:bidi="ar"/>
              </w:rPr>
              <w:t xml:space="preserve">分；</w:t>
            </w:r>
            <w:r>
              <w:rPr>
                <w:rFonts w:hint="eastAsia" w:ascii="宋体" w:hAnsi="宋体" w:eastAsia="宋体" w:cs="宋体"/>
                <w:color w:val="000000"/>
                <w:sz w:val="18"/>
                <w:szCs w:val="18"/>
                <w:lang w:bidi="ar"/>
              </w:rPr>
              <w:br/>
            </w:r>
            <w:r>
              <w:rPr>
                <w:rFonts w:hint="eastAsia" w:ascii="宋体" w:hAnsi="宋体" w:eastAsia="宋体" w:cs="宋体"/>
                <w:color w:val="000000"/>
                <w:sz w:val="18"/>
                <w:szCs w:val="18"/>
                <w:lang w:bidi="ar"/>
              </w:rPr>
              <w:t xml:space="preserve">3) 上述方案思路与目标设置基本符合本项目实际需求、但对农贸市场运维服务各项工作要求的理解有所欠缺、具有的合理性一般的得</w:t>
            </w:r>
            <w:r>
              <w:rPr>
                <w:rFonts w:hint="eastAsia" w:ascii="宋体" w:hAnsi="宋体" w:eastAsia="宋体" w:cs="宋体"/>
                <w:color w:val="000000"/>
                <w:sz w:val="18"/>
                <w:szCs w:val="18"/>
                <w:lang w:val="en-US" w:eastAsia="zh-CN" w:bidi="ar"/>
              </w:rPr>
              <w:t xml:space="preserve">4</w:t>
            </w:r>
            <w:r>
              <w:rPr>
                <w:rFonts w:hint="eastAsia" w:ascii="宋体" w:hAnsi="宋体" w:eastAsia="宋体" w:cs="宋体"/>
                <w:color w:val="000000"/>
                <w:sz w:val="18"/>
                <w:szCs w:val="18"/>
                <w:lang w:bidi="ar"/>
              </w:rPr>
              <w:t xml:space="preserve">分；</w:t>
            </w:r>
            <w:r>
              <w:rPr>
                <w:rFonts w:hint="eastAsia" w:ascii="宋体" w:hAnsi="宋体" w:eastAsia="宋体" w:cs="宋体"/>
                <w:color w:val="000000"/>
                <w:sz w:val="18"/>
                <w:szCs w:val="18"/>
                <w:lang w:bidi="ar"/>
              </w:rPr>
              <w:br/>
            </w:r>
            <w:r>
              <w:rPr>
                <w:rFonts w:hint="eastAsia" w:ascii="宋体" w:hAnsi="宋体" w:eastAsia="宋体" w:cs="宋体"/>
                <w:color w:val="000000"/>
                <w:sz w:val="18"/>
                <w:szCs w:val="18"/>
                <w:lang w:bidi="ar"/>
              </w:rPr>
              <w:t xml:space="preserve">4) 上述方案思路较混乱、目标设置不明确、对农贸市场运维服务的各项工作要求的理解有所偏差、不具有合理性的得1分；</w:t>
            </w:r>
            <w:r>
              <w:rPr>
                <w:rFonts w:hint="eastAsia" w:ascii="宋体" w:hAnsi="宋体" w:eastAsia="宋体" w:cs="宋体"/>
                <w:color w:val="000000"/>
                <w:sz w:val="18"/>
                <w:szCs w:val="18"/>
                <w:lang w:bidi="ar"/>
              </w:rPr>
              <w:br/>
            </w:r>
            <w:r>
              <w:rPr>
                <w:rFonts w:hint="eastAsia" w:ascii="宋体" w:hAnsi="宋体" w:eastAsia="宋体" w:cs="宋体"/>
                <w:color w:val="000000"/>
                <w:sz w:val="18"/>
                <w:szCs w:val="18"/>
                <w:lang w:bidi="ar"/>
              </w:rPr>
              <w:t xml:space="preserve">5）其他情况不得分。</w:t>
            </w:r>
            <w:r/>
          </w:p>
        </w:tc>
        <w:tc>
          <w:tcPr>
            <w:shd w:val="clear" w:color="auto" w:fill="auto"/>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jc w:val="center"/>
              <w:widowControl/>
              <w:rPr>
                <w:rFonts w:hint="default"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bidi="ar"/>
              </w:rPr>
              <w:t xml:space="preserve">10</w:t>
            </w:r>
            <w:r/>
          </w:p>
        </w:tc>
      </w:tr>
      <w:tr>
        <w:trPr>
          <w:trHeight w:val="538"/>
        </w:trPr>
        <w:tc>
          <w:tcPr>
            <w:shd w:val="clear" w:color="auto" w:fill="auto"/>
            <w:tcBorders>
              <w:left w:val="single" w:color="000000" w:sz="4" w:space="0"/>
              <w:right w:val="single" w:color="000000" w:sz="4" w:space="0"/>
            </w:tcBorders>
            <w:tcW w:w="579" w:type="dxa"/>
            <w:vAlign w:val="center"/>
            <w:vMerge w:val="continue"/>
            <w:textDirection w:val="lrTb"/>
            <w:noWrap w:val="false"/>
          </w:tcPr>
          <w:p>
            <w:pPr>
              <w:jc w:val="center"/>
              <w:widowControl/>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219" w:type="dxa"/>
            <w:vAlign w:val="center"/>
            <w:vMerge w:val="continue"/>
            <w:textDirection w:val="lrTb"/>
            <w:noWrap w:val="false"/>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none" w:color="000000" w:sz="4" w:space="0"/>
              <w:bottom w:val="single" w:color="000000" w:sz="4" w:space="0"/>
              <w:right w:val="none" w:color="000000" w:sz="4" w:space="0"/>
            </w:tcBorders>
            <w:tcW w:w="6318" w:type="dxa"/>
            <w:vAlign w:val="bottom"/>
            <w:textDirection w:val="lrTb"/>
            <w:noWrap w:val="false"/>
          </w:tcPr>
          <w:p>
            <w:pPr>
              <w:jc w:val="left"/>
              <w:widowControl/>
              <w:rPr>
                <w:rFonts w:ascii="宋体" w:hAnsi="宋体" w:eastAsia="宋体" w:cs="宋体"/>
                <w:color w:val="000000"/>
                <w:sz w:val="18"/>
                <w:szCs w:val="18"/>
                <w:lang w:bidi="ar"/>
              </w:rPr>
            </w:pPr>
            <w:r>
              <w:rPr>
                <w:rFonts w:hint="eastAsia" w:ascii="宋体" w:hAnsi="宋体" w:eastAsia="宋体" w:cs="宋体"/>
                <w:color w:val="000000"/>
                <w:sz w:val="18"/>
                <w:szCs w:val="18"/>
                <w:lang w:bidi="ar"/>
              </w:rPr>
              <w:t xml:space="preserve">评委根据投标人针对本项目提供的农贸市场快检室运营管理服务方案（包括但不限于技术保障能力、服务响应速度和应急保障措施等）进行综合评分：</w:t>
            </w:r>
            <w:r>
              <w:rPr>
                <w:rFonts w:hint="eastAsia" w:ascii="宋体" w:hAnsi="宋体" w:eastAsia="宋体" w:cs="宋体"/>
                <w:color w:val="000000"/>
                <w:sz w:val="18"/>
                <w:szCs w:val="18"/>
                <w:lang w:bidi="ar"/>
              </w:rPr>
              <w:br/>
            </w:r>
            <w:r>
              <w:rPr>
                <w:rFonts w:hint="eastAsia" w:ascii="宋体" w:hAnsi="宋体" w:eastAsia="宋体" w:cs="宋体"/>
                <w:color w:val="000000"/>
                <w:sz w:val="18"/>
                <w:szCs w:val="18"/>
                <w:lang w:bidi="ar"/>
              </w:rPr>
              <w:t xml:space="preserve">1） 上述内容全面完整、科学合理、具有实际可操作性且优于本项目实际需求的得</w:t>
            </w:r>
            <w:r>
              <w:rPr>
                <w:rFonts w:hint="eastAsia" w:ascii="宋体" w:hAnsi="宋体" w:eastAsia="宋体" w:cs="宋体"/>
                <w:color w:val="000000"/>
                <w:sz w:val="18"/>
                <w:szCs w:val="18"/>
                <w:lang w:val="en-US" w:eastAsia="zh-CN" w:bidi="ar"/>
              </w:rPr>
              <w:t xml:space="preserve">6</w:t>
            </w:r>
            <w:r>
              <w:rPr>
                <w:rFonts w:hint="eastAsia" w:ascii="宋体" w:hAnsi="宋体" w:eastAsia="宋体" w:cs="宋体"/>
                <w:color w:val="000000"/>
                <w:sz w:val="18"/>
                <w:szCs w:val="18"/>
                <w:lang w:bidi="ar"/>
              </w:rPr>
              <w:t xml:space="preserve">分；</w:t>
            </w:r>
            <w:r>
              <w:rPr>
                <w:rFonts w:hint="eastAsia" w:ascii="宋体" w:hAnsi="宋体" w:eastAsia="宋体" w:cs="宋体"/>
                <w:color w:val="000000"/>
                <w:sz w:val="18"/>
                <w:szCs w:val="18"/>
                <w:lang w:bidi="ar"/>
              </w:rPr>
              <w:br/>
            </w:r>
            <w:r>
              <w:rPr>
                <w:rFonts w:hint="eastAsia" w:ascii="宋体" w:hAnsi="宋体" w:eastAsia="宋体" w:cs="宋体"/>
                <w:color w:val="000000"/>
                <w:sz w:val="18"/>
                <w:szCs w:val="18"/>
                <w:lang w:bidi="ar"/>
              </w:rPr>
              <w:t xml:space="preserve">2） 上述内容较全面、较合理、具有一定的可操作性且基本满足本项目实际需求的得3分；</w:t>
            </w:r>
            <w:r>
              <w:rPr>
                <w:rFonts w:hint="eastAsia" w:ascii="宋体" w:hAnsi="宋体" w:eastAsia="宋体" w:cs="宋体"/>
                <w:color w:val="000000"/>
                <w:sz w:val="18"/>
                <w:szCs w:val="18"/>
                <w:lang w:bidi="ar"/>
              </w:rPr>
              <w:br/>
            </w:r>
            <w:r>
              <w:rPr>
                <w:rFonts w:hint="eastAsia" w:ascii="宋体" w:hAnsi="宋体" w:eastAsia="宋体" w:cs="宋体"/>
                <w:color w:val="000000"/>
                <w:sz w:val="18"/>
                <w:szCs w:val="18"/>
                <w:lang w:bidi="ar"/>
              </w:rPr>
              <w:t xml:space="preserve">3） 上述内容略有瑕疵、合理性与实际可操作性一般的得</w:t>
            </w:r>
            <w:r>
              <w:rPr>
                <w:rFonts w:hint="eastAsia" w:ascii="宋体" w:hAnsi="宋体" w:eastAsia="宋体" w:cs="宋体"/>
                <w:color w:val="000000"/>
                <w:sz w:val="18"/>
                <w:szCs w:val="18"/>
                <w:lang w:val="en-US" w:eastAsia="zh-CN" w:bidi="ar"/>
              </w:rPr>
              <w:t xml:space="preserve">1</w:t>
            </w:r>
            <w:r>
              <w:rPr>
                <w:rFonts w:hint="eastAsia" w:ascii="宋体" w:hAnsi="宋体" w:eastAsia="宋体" w:cs="宋体"/>
                <w:color w:val="000000"/>
                <w:sz w:val="18"/>
                <w:szCs w:val="18"/>
                <w:lang w:bidi="ar"/>
              </w:rPr>
              <w:t xml:space="preserve">分；</w:t>
            </w:r>
            <w:r>
              <w:rPr>
                <w:rFonts w:hint="eastAsia" w:ascii="宋体" w:hAnsi="宋体" w:eastAsia="宋体" w:cs="宋体"/>
                <w:color w:val="000000"/>
                <w:sz w:val="18"/>
                <w:szCs w:val="18"/>
                <w:lang w:bidi="ar"/>
              </w:rPr>
              <w:br/>
            </w:r>
            <w:r>
              <w:rPr>
                <w:rFonts w:hint="eastAsia" w:ascii="宋体" w:hAnsi="宋体" w:eastAsia="宋体" w:cs="宋体"/>
                <w:color w:val="000000"/>
                <w:sz w:val="18"/>
                <w:szCs w:val="18"/>
                <w:lang w:bidi="ar"/>
              </w:rPr>
              <w:t xml:space="preserve">4） </w:t>
            </w:r>
            <w:r>
              <w:rPr>
                <w:rFonts w:hint="eastAsia" w:ascii="宋体" w:hAnsi="宋体" w:eastAsia="宋体" w:cs="宋体"/>
                <w:color w:val="000000"/>
                <w:sz w:val="18"/>
                <w:szCs w:val="18"/>
                <w:lang w:eastAsia="zh-CN" w:bidi="ar"/>
              </w:rPr>
              <w:t xml:space="preserve">未提供</w:t>
            </w:r>
            <w:r>
              <w:rPr>
                <w:rFonts w:hint="eastAsia" w:ascii="宋体" w:hAnsi="宋体" w:eastAsia="宋体" w:cs="宋体"/>
                <w:color w:val="000000"/>
                <w:sz w:val="18"/>
                <w:szCs w:val="18"/>
                <w:lang w:bidi="ar"/>
              </w:rPr>
              <w:t xml:space="preserve">不得分。</w:t>
            </w:r>
            <w:r/>
          </w:p>
        </w:tc>
        <w:tc>
          <w:tcPr>
            <w:shd w:val="clear" w:color="auto" w:fill="auto"/>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jc w:val="center"/>
              <w:widowControl/>
              <w:rPr>
                <w:rFonts w:hint="eastAsia" w:ascii="宋体" w:hAnsi="宋体" w:eastAsia="宋体" w:cs="宋体"/>
                <w:color w:val="000000"/>
                <w:sz w:val="22"/>
                <w:szCs w:val="22"/>
                <w:lang w:eastAsia="zh-CN"/>
              </w:rPr>
            </w:pPr>
            <w:r>
              <w:rPr>
                <w:rFonts w:hint="eastAsia" w:ascii="宋体" w:hAnsi="宋体" w:eastAsia="宋体" w:cs="宋体"/>
                <w:color w:val="000000"/>
                <w:sz w:val="22"/>
                <w:szCs w:val="22"/>
                <w:lang w:val="en-US" w:eastAsia="zh-CN" w:bidi="ar"/>
              </w:rPr>
              <w:t xml:space="preserve">6</w:t>
            </w:r>
            <w:r/>
          </w:p>
        </w:tc>
      </w:tr>
      <w:tr>
        <w:trPr>
          <w:trHeight w:val="1152"/>
        </w:trPr>
        <w:tc>
          <w:tcPr>
            <w:shd w:val="clear" w:color="auto" w:fill="auto"/>
            <w:tcBorders>
              <w:left w:val="single" w:color="000000" w:sz="4" w:space="0"/>
              <w:right w:val="single" w:color="000000" w:sz="4" w:space="0"/>
            </w:tcBorders>
            <w:tcW w:w="579" w:type="dxa"/>
            <w:vAlign w:val="center"/>
            <w:vMerge w:val="continue"/>
            <w:textDirection w:val="lrTb"/>
            <w:noWrap w:val="false"/>
          </w:tcPr>
          <w:p>
            <w:pPr>
              <w:jc w:val="center"/>
              <w:widowControl/>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219" w:type="dxa"/>
            <w:vAlign w:val="center"/>
            <w:vMerge w:val="continue"/>
            <w:textDirection w:val="lrTb"/>
            <w:noWrap w:val="false"/>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none" w:color="000000" w:sz="4" w:space="0"/>
              <w:bottom w:val="single" w:color="000000" w:sz="4" w:space="0"/>
              <w:right w:val="none" w:color="000000" w:sz="4" w:space="0"/>
            </w:tcBorders>
            <w:tcW w:w="6318" w:type="dxa"/>
            <w:vAlign w:val="bottom"/>
            <w:textDirection w:val="lrTb"/>
            <w:noWrap w:val="false"/>
          </w:tcPr>
          <w:p>
            <w:pPr>
              <w:jc w:val="left"/>
              <w:widowControl/>
              <w:rPr>
                <w:rFonts w:hint="eastAsia" w:ascii="宋体" w:hAnsi="宋体" w:eastAsia="宋体" w:cs="宋体"/>
                <w:color w:val="000000"/>
                <w:sz w:val="18"/>
                <w:szCs w:val="18"/>
                <w:lang w:bidi="ar"/>
              </w:rPr>
            </w:pPr>
            <w:r>
              <w:rPr>
                <w:rFonts w:hint="eastAsia" w:ascii="宋体" w:hAnsi="宋体" w:eastAsia="宋体" w:cs="宋体"/>
                <w:color w:val="000000"/>
                <w:sz w:val="18"/>
                <w:szCs w:val="18"/>
                <w:lang w:bidi="ar"/>
              </w:rPr>
              <w:t xml:space="preserve">评委根据投标人针对本项目提供的农贸市场快检室相关检测设备运行维护服务方案进行综合评分：</w:t>
            </w:r>
            <w:r>
              <w:rPr>
                <w:rFonts w:hint="eastAsia" w:ascii="宋体" w:hAnsi="宋体" w:eastAsia="宋体" w:cs="宋体"/>
                <w:color w:val="000000"/>
                <w:sz w:val="18"/>
                <w:szCs w:val="18"/>
                <w:lang w:bidi="ar"/>
              </w:rPr>
              <w:br/>
            </w:r>
            <w:r>
              <w:rPr>
                <w:rFonts w:hint="eastAsia" w:ascii="宋体" w:hAnsi="宋体" w:eastAsia="宋体" w:cs="宋体"/>
                <w:color w:val="000000"/>
                <w:sz w:val="18"/>
                <w:szCs w:val="18"/>
                <w:lang w:bidi="ar"/>
              </w:rPr>
              <w:t xml:space="preserve">1） 上述内容全面完整、科学合理且、具有实际可操作性且优于本项目实际需求的得</w:t>
            </w:r>
            <w:r>
              <w:rPr>
                <w:rFonts w:hint="eastAsia" w:ascii="宋体" w:hAnsi="宋体" w:eastAsia="宋体" w:cs="宋体"/>
                <w:color w:val="000000"/>
                <w:sz w:val="18"/>
                <w:szCs w:val="18"/>
                <w:lang w:val="en-US" w:eastAsia="zh-CN" w:bidi="ar"/>
              </w:rPr>
              <w:t xml:space="preserve">6</w:t>
            </w:r>
            <w:r>
              <w:rPr>
                <w:rFonts w:hint="eastAsia" w:ascii="宋体" w:hAnsi="宋体" w:eastAsia="宋体" w:cs="宋体"/>
                <w:color w:val="000000"/>
                <w:sz w:val="18"/>
                <w:szCs w:val="18"/>
                <w:lang w:bidi="ar"/>
              </w:rPr>
              <w:t xml:space="preserve">分；</w:t>
            </w:r>
            <w:r>
              <w:rPr>
                <w:rFonts w:hint="eastAsia" w:ascii="宋体" w:hAnsi="宋体" w:eastAsia="宋体" w:cs="宋体"/>
                <w:color w:val="000000"/>
                <w:sz w:val="18"/>
                <w:szCs w:val="18"/>
                <w:lang w:bidi="ar"/>
              </w:rPr>
              <w:br/>
            </w:r>
            <w:r>
              <w:rPr>
                <w:rFonts w:hint="eastAsia" w:ascii="宋体" w:hAnsi="宋体" w:eastAsia="宋体" w:cs="宋体"/>
                <w:color w:val="000000"/>
                <w:sz w:val="18"/>
                <w:szCs w:val="18"/>
                <w:lang w:bidi="ar"/>
              </w:rPr>
              <w:t xml:space="preserve">2） 上述内容较全面完整、较科学合理、具有一定的可操作性且基本满足本项目实际需求的得3分；</w:t>
            </w:r>
            <w:r>
              <w:rPr>
                <w:rFonts w:hint="eastAsia" w:ascii="宋体" w:hAnsi="宋体" w:eastAsia="宋体" w:cs="宋体"/>
                <w:color w:val="000000"/>
                <w:sz w:val="18"/>
                <w:szCs w:val="18"/>
                <w:lang w:bidi="ar"/>
              </w:rPr>
              <w:br/>
            </w:r>
            <w:r>
              <w:rPr>
                <w:rFonts w:hint="eastAsia" w:ascii="宋体" w:hAnsi="宋体" w:eastAsia="宋体" w:cs="宋体"/>
                <w:color w:val="000000"/>
                <w:sz w:val="18"/>
                <w:szCs w:val="18"/>
                <w:lang w:bidi="ar"/>
              </w:rPr>
              <w:t xml:space="preserve">3） 上述内容略有瑕疵、合理性与实际可操作性一般的得</w:t>
            </w:r>
            <w:r>
              <w:rPr>
                <w:rFonts w:hint="eastAsia" w:ascii="宋体" w:hAnsi="宋体" w:eastAsia="宋体" w:cs="宋体"/>
                <w:color w:val="000000"/>
                <w:sz w:val="18"/>
                <w:szCs w:val="18"/>
                <w:lang w:val="en-US" w:eastAsia="zh-CN" w:bidi="ar"/>
              </w:rPr>
              <w:t xml:space="preserve">1</w:t>
            </w:r>
            <w:r>
              <w:rPr>
                <w:rFonts w:hint="eastAsia" w:ascii="宋体" w:hAnsi="宋体" w:eastAsia="宋体" w:cs="宋体"/>
                <w:color w:val="000000"/>
                <w:sz w:val="18"/>
                <w:szCs w:val="18"/>
                <w:lang w:bidi="ar"/>
              </w:rPr>
              <w:t xml:space="preserve">分；</w:t>
            </w:r>
            <w:r/>
          </w:p>
          <w:p>
            <w:pPr>
              <w:jc w:val="left"/>
              <w:widowControl/>
              <w:rPr>
                <w:rFonts w:ascii="宋体" w:hAnsi="宋体" w:eastAsia="宋体" w:cs="宋体"/>
                <w:color w:val="000000"/>
                <w:sz w:val="18"/>
                <w:szCs w:val="18"/>
                <w:lang w:bidi="ar"/>
              </w:rPr>
            </w:pPr>
            <w:r>
              <w:rPr>
                <w:rFonts w:hint="eastAsia" w:ascii="宋体" w:hAnsi="宋体" w:eastAsia="宋体" w:cs="宋体"/>
                <w:color w:val="000000"/>
                <w:sz w:val="18"/>
                <w:szCs w:val="18"/>
                <w:lang w:val="en-US" w:eastAsia="zh-CN" w:bidi="ar"/>
              </w:rPr>
              <w:t xml:space="preserve">4</w:t>
            </w:r>
            <w:r>
              <w:rPr>
                <w:rFonts w:hint="eastAsia" w:ascii="宋体" w:hAnsi="宋体" w:eastAsia="宋体" w:cs="宋体"/>
                <w:color w:val="000000"/>
                <w:sz w:val="18"/>
                <w:szCs w:val="18"/>
                <w:lang w:bidi="ar"/>
              </w:rPr>
              <w:t xml:space="preserve">） </w:t>
            </w:r>
            <w:r>
              <w:rPr>
                <w:rFonts w:hint="eastAsia" w:ascii="宋体" w:hAnsi="宋体" w:eastAsia="宋体" w:cs="宋体"/>
                <w:color w:val="000000"/>
                <w:sz w:val="18"/>
                <w:szCs w:val="18"/>
                <w:lang w:eastAsia="zh-CN" w:bidi="ar"/>
              </w:rPr>
              <w:t xml:space="preserve">未提供</w:t>
            </w:r>
            <w:r>
              <w:rPr>
                <w:rFonts w:hint="eastAsia" w:ascii="宋体" w:hAnsi="宋体" w:eastAsia="宋体" w:cs="宋体"/>
                <w:color w:val="000000"/>
                <w:sz w:val="18"/>
                <w:szCs w:val="18"/>
                <w:lang w:bidi="ar"/>
              </w:rPr>
              <w:t xml:space="preserve">不得分。</w:t>
            </w:r>
            <w:r/>
          </w:p>
        </w:tc>
        <w:tc>
          <w:tcPr>
            <w:shd w:val="clear" w:color="auto" w:fill="auto"/>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jc w:val="center"/>
              <w:widowControl/>
              <w:rPr>
                <w:rFonts w:hint="eastAsia" w:ascii="宋体" w:hAnsi="宋体" w:eastAsia="宋体" w:cs="宋体"/>
                <w:color w:val="000000"/>
                <w:sz w:val="22"/>
                <w:szCs w:val="22"/>
                <w:lang w:eastAsia="zh-CN"/>
              </w:rPr>
            </w:pPr>
            <w:r>
              <w:rPr>
                <w:rFonts w:hint="eastAsia" w:ascii="宋体" w:hAnsi="宋体" w:eastAsia="宋体" w:cs="宋体"/>
                <w:color w:val="000000"/>
                <w:sz w:val="22"/>
                <w:szCs w:val="22"/>
                <w:lang w:val="en-US" w:eastAsia="zh-CN" w:bidi="ar"/>
              </w:rPr>
              <w:t xml:space="preserve">6</w:t>
            </w:r>
            <w:r/>
          </w:p>
        </w:tc>
      </w:tr>
      <w:tr>
        <w:trPr>
          <w:trHeight w:val="1020"/>
        </w:trPr>
        <w:tc>
          <w:tcPr>
            <w:shd w:val="clear" w:color="auto" w:fill="auto"/>
            <w:tcBorders>
              <w:left w:val="single" w:color="000000" w:sz="4" w:space="0"/>
              <w:right w:val="single" w:color="000000" w:sz="4" w:space="0"/>
            </w:tcBorders>
            <w:tcW w:w="579" w:type="dxa"/>
            <w:vAlign w:val="center"/>
            <w:vMerge w:val="continue"/>
            <w:textDirection w:val="lrTb"/>
            <w:noWrap w:val="false"/>
          </w:tcPr>
          <w:p>
            <w:pPr>
              <w:jc w:val="center"/>
              <w:widowControl/>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219" w:type="dxa"/>
            <w:vAlign w:val="center"/>
            <w:vMerge w:val="continue"/>
            <w:textDirection w:val="lrTb"/>
            <w:noWrap w:val="false"/>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none" w:color="000000" w:sz="4" w:space="0"/>
              <w:bottom w:val="single" w:color="000000" w:sz="4" w:space="0"/>
              <w:right w:val="none" w:color="000000" w:sz="4" w:space="0"/>
            </w:tcBorders>
            <w:tcW w:w="6318" w:type="dxa"/>
            <w:vAlign w:val="bottom"/>
            <w:textDirection w:val="lrTb"/>
            <w:noWrap w:val="false"/>
          </w:tcPr>
          <w:p>
            <w:pPr>
              <w:jc w:val="left"/>
              <w:widowControl/>
              <w:rPr>
                <w:rFonts w:ascii="宋体" w:hAnsi="宋体" w:eastAsia="宋体" w:cs="宋体"/>
                <w:color w:val="000000"/>
                <w:sz w:val="18"/>
                <w:szCs w:val="18"/>
                <w:lang w:bidi="ar"/>
              </w:rPr>
            </w:pPr>
            <w:r>
              <w:rPr>
                <w:rFonts w:hint="eastAsia" w:ascii="宋体" w:hAnsi="宋体" w:eastAsia="宋体" w:cs="宋体"/>
                <w:color w:val="000000"/>
                <w:sz w:val="18"/>
                <w:szCs w:val="18"/>
                <w:lang w:bidi="ar"/>
              </w:rPr>
              <w:t xml:space="preserve">根据投标人提供的检测人员培训、应急处理方案等方面进行评审：</w:t>
            </w:r>
            <w:r/>
          </w:p>
          <w:p>
            <w:pPr>
              <w:numPr>
                <w:ilvl w:val="0"/>
                <w:numId w:val="3"/>
              </w:numPr>
              <w:jc w:val="left"/>
              <w:widowControl/>
              <w:rPr>
                <w:rFonts w:ascii="宋体" w:hAnsi="宋体" w:eastAsia="宋体" w:cs="宋体"/>
                <w:color w:val="000000"/>
                <w:sz w:val="18"/>
                <w:szCs w:val="18"/>
                <w:lang w:bidi="ar"/>
              </w:rPr>
            </w:pPr>
            <w:r>
              <w:rPr>
                <w:rFonts w:hint="eastAsia" w:ascii="宋体" w:hAnsi="宋体" w:eastAsia="宋体" w:cs="宋体"/>
                <w:color w:val="000000"/>
                <w:sz w:val="18"/>
                <w:szCs w:val="18"/>
                <w:lang w:bidi="ar"/>
              </w:rPr>
              <w:t xml:space="preserve">人员培训有效、应急处理措施全面合理的得</w:t>
            </w:r>
            <w:r>
              <w:rPr>
                <w:rFonts w:hint="eastAsia" w:ascii="宋体" w:hAnsi="宋体" w:eastAsia="宋体" w:cs="宋体"/>
                <w:color w:val="000000"/>
                <w:sz w:val="18"/>
                <w:szCs w:val="18"/>
                <w:lang w:val="en-US" w:eastAsia="zh-CN" w:bidi="ar"/>
              </w:rPr>
              <w:t xml:space="preserve">6</w:t>
            </w:r>
            <w:r>
              <w:rPr>
                <w:rFonts w:hint="eastAsia" w:ascii="宋体" w:hAnsi="宋体" w:eastAsia="宋体" w:cs="宋体"/>
                <w:color w:val="000000"/>
                <w:sz w:val="18"/>
                <w:szCs w:val="18"/>
                <w:lang w:bidi="ar"/>
              </w:rPr>
              <w:t xml:space="preserve">分；</w:t>
            </w:r>
            <w:r/>
          </w:p>
          <w:p>
            <w:pPr>
              <w:numPr>
                <w:ilvl w:val="0"/>
                <w:numId w:val="3"/>
              </w:numPr>
              <w:jc w:val="left"/>
              <w:widowControl/>
              <w:rPr>
                <w:rFonts w:ascii="宋体" w:hAnsi="宋体" w:eastAsia="宋体" w:cs="宋体"/>
                <w:color w:val="000000"/>
                <w:sz w:val="18"/>
                <w:szCs w:val="18"/>
                <w:lang w:bidi="ar"/>
              </w:rPr>
            </w:pPr>
            <w:r>
              <w:rPr>
                <w:rFonts w:hint="eastAsia" w:ascii="宋体" w:hAnsi="宋体" w:eastAsia="宋体" w:cs="宋体"/>
                <w:color w:val="000000"/>
                <w:sz w:val="18"/>
                <w:szCs w:val="18"/>
                <w:lang w:bidi="ar"/>
              </w:rPr>
              <w:t xml:space="preserve">人员培训效果一般或方案应急处理措施基本全面合理的得</w:t>
            </w:r>
            <w:r>
              <w:rPr>
                <w:rFonts w:hint="eastAsia" w:ascii="宋体" w:hAnsi="宋体" w:eastAsia="宋体" w:cs="宋体"/>
                <w:color w:val="000000"/>
                <w:sz w:val="18"/>
                <w:szCs w:val="18"/>
                <w:lang w:val="en-US" w:eastAsia="zh-CN" w:bidi="ar"/>
              </w:rPr>
              <w:t xml:space="preserve">3</w:t>
            </w:r>
            <w:r>
              <w:rPr>
                <w:rFonts w:hint="eastAsia" w:ascii="宋体" w:hAnsi="宋体" w:eastAsia="宋体" w:cs="宋体"/>
                <w:color w:val="000000"/>
                <w:sz w:val="18"/>
                <w:szCs w:val="18"/>
                <w:lang w:bidi="ar"/>
              </w:rPr>
              <w:t xml:space="preserve">分；</w:t>
            </w:r>
            <w:r/>
          </w:p>
          <w:p>
            <w:pPr>
              <w:numPr>
                <w:ilvl w:val="0"/>
                <w:numId w:val="3"/>
              </w:numPr>
              <w:jc w:val="left"/>
              <w:widowControl/>
              <w:rPr>
                <w:rFonts w:ascii="宋体" w:hAnsi="宋体" w:eastAsia="宋体" w:cs="宋体"/>
                <w:color w:val="000000"/>
                <w:sz w:val="18"/>
                <w:szCs w:val="18"/>
                <w:lang w:bidi="ar"/>
              </w:rPr>
            </w:pPr>
            <w:r>
              <w:rPr>
                <w:rFonts w:hint="eastAsia" w:ascii="宋体" w:hAnsi="宋体" w:eastAsia="宋体" w:cs="宋体"/>
                <w:color w:val="000000"/>
                <w:sz w:val="18"/>
                <w:szCs w:val="18"/>
                <w:lang w:bidi="ar"/>
              </w:rPr>
              <w:t xml:space="preserve">人员培训不贴合实际或应急处理措施不够全面、合理的不得分。</w:t>
            </w:r>
            <w:r/>
          </w:p>
        </w:tc>
        <w:tc>
          <w:tcPr>
            <w:shd w:val="clear" w:color="auto" w:fill="auto"/>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jc w:val="center"/>
              <w:widowControl/>
              <w:rPr>
                <w:rFonts w:hint="eastAsia" w:ascii="宋体" w:hAnsi="宋体" w:eastAsia="宋体" w:cs="宋体"/>
                <w:color w:val="000000"/>
                <w:sz w:val="22"/>
                <w:szCs w:val="22"/>
                <w:lang w:eastAsia="zh-CN"/>
              </w:rPr>
            </w:pPr>
            <w:r>
              <w:rPr>
                <w:rFonts w:hint="eastAsia" w:ascii="宋体" w:hAnsi="宋体" w:eastAsia="宋体" w:cs="宋体"/>
                <w:color w:val="000000"/>
                <w:sz w:val="22"/>
                <w:szCs w:val="22"/>
                <w:lang w:val="en-US" w:eastAsia="zh-CN" w:bidi="ar"/>
              </w:rPr>
              <w:t xml:space="preserve">6</w:t>
            </w:r>
            <w:r/>
          </w:p>
        </w:tc>
      </w:tr>
      <w:tr>
        <w:trPr>
          <w:trHeight w:val="864"/>
        </w:trPr>
        <w:tc>
          <w:tcPr>
            <w:shd w:val="clear" w:color="auto" w:fill="auto"/>
            <w:tcBorders>
              <w:left w:val="single" w:color="000000" w:sz="4" w:space="0"/>
              <w:bottom w:val="single" w:color="000000" w:sz="4" w:space="0"/>
              <w:right w:val="single" w:color="000000" w:sz="4" w:space="0"/>
            </w:tcBorders>
            <w:tcW w:w="579" w:type="dxa"/>
            <w:vAlign w:val="center"/>
            <w:vMerge w:val="continue"/>
            <w:textDirection w:val="lrTb"/>
            <w:noWrap w:val="false"/>
          </w:tcPr>
          <w:p>
            <w:pPr>
              <w:jc w:val="center"/>
              <w:widowControl/>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219" w:type="dxa"/>
            <w:vAlign w:val="center"/>
            <w:vMerge w:val="continue"/>
            <w:textDirection w:val="lrTb"/>
            <w:noWrap w:val="false"/>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none" w:color="000000" w:sz="4" w:space="0"/>
              <w:bottom w:val="single" w:color="000000" w:sz="4" w:space="0"/>
              <w:right w:val="none" w:color="000000" w:sz="4" w:space="0"/>
            </w:tcBorders>
            <w:tcW w:w="6318" w:type="dxa"/>
            <w:vAlign w:val="bottom"/>
            <w:textDirection w:val="lrTb"/>
            <w:noWrap w:val="false"/>
          </w:tcPr>
          <w:p>
            <w:pPr>
              <w:jc w:val="left"/>
              <w:widowControl/>
              <w:rPr>
                <w:rFonts w:ascii="宋体" w:hAnsi="宋体" w:eastAsia="宋体" w:cs="宋体"/>
                <w:color w:val="000000"/>
                <w:sz w:val="18"/>
                <w:szCs w:val="18"/>
                <w:lang w:bidi="ar"/>
              </w:rPr>
            </w:pPr>
            <w:r>
              <w:rPr>
                <w:rFonts w:hint="eastAsia" w:ascii="宋体" w:hAnsi="宋体" w:eastAsia="宋体" w:cs="宋体"/>
                <w:color w:val="000000"/>
                <w:sz w:val="18"/>
                <w:szCs w:val="18"/>
                <w:lang w:bidi="ar"/>
              </w:rPr>
              <w:t xml:space="preserve">根据投标人提供的针对本项目的增值服务内容（至少包括：提供专家培训、应急检测、宣传活动等内容）从可实施性、丰富性、便民性等方面进行评审：</w:t>
            </w:r>
            <w:r/>
          </w:p>
          <w:p>
            <w:pPr>
              <w:numPr>
                <w:ilvl w:val="0"/>
                <w:numId w:val="4"/>
              </w:numPr>
              <w:jc w:val="left"/>
              <w:widowControl/>
              <w:rPr>
                <w:rFonts w:ascii="宋体" w:hAnsi="宋体" w:eastAsia="宋体" w:cs="宋体"/>
                <w:color w:val="000000"/>
                <w:sz w:val="18"/>
                <w:szCs w:val="18"/>
                <w:lang w:bidi="ar"/>
              </w:rPr>
            </w:pPr>
            <w:r>
              <w:rPr>
                <w:rFonts w:hint="eastAsia" w:ascii="宋体" w:hAnsi="宋体" w:eastAsia="宋体" w:cs="宋体"/>
                <w:color w:val="000000"/>
                <w:sz w:val="18"/>
                <w:szCs w:val="18"/>
                <w:lang w:bidi="ar"/>
              </w:rPr>
              <w:t xml:space="preserve">内容切实可行的得</w:t>
            </w:r>
            <w:r>
              <w:rPr>
                <w:rFonts w:hint="eastAsia" w:ascii="宋体" w:hAnsi="宋体" w:eastAsia="宋体" w:cs="宋体"/>
                <w:color w:val="000000"/>
                <w:sz w:val="18"/>
                <w:szCs w:val="18"/>
                <w:lang w:val="en-US" w:eastAsia="zh-CN" w:bidi="ar"/>
              </w:rPr>
              <w:t xml:space="preserve">4</w:t>
            </w:r>
            <w:r>
              <w:rPr>
                <w:rFonts w:hint="eastAsia" w:ascii="宋体" w:hAnsi="宋体" w:eastAsia="宋体" w:cs="宋体"/>
                <w:color w:val="000000"/>
                <w:sz w:val="18"/>
                <w:szCs w:val="18"/>
                <w:lang w:bidi="ar"/>
              </w:rPr>
              <w:t xml:space="preserve">分；</w:t>
            </w:r>
            <w:r/>
          </w:p>
          <w:p>
            <w:pPr>
              <w:numPr>
                <w:ilvl w:val="0"/>
                <w:numId w:val="4"/>
              </w:numPr>
              <w:jc w:val="left"/>
              <w:widowControl/>
              <w:rPr>
                <w:rFonts w:ascii="宋体" w:hAnsi="宋体" w:eastAsia="宋体" w:cs="宋体"/>
                <w:color w:val="000000"/>
                <w:sz w:val="18"/>
                <w:szCs w:val="18"/>
                <w:lang w:bidi="ar"/>
              </w:rPr>
            </w:pPr>
            <w:r>
              <w:rPr>
                <w:rFonts w:hint="eastAsia" w:ascii="宋体" w:hAnsi="宋体" w:eastAsia="宋体" w:cs="宋体"/>
                <w:color w:val="000000"/>
                <w:sz w:val="18"/>
                <w:szCs w:val="18"/>
                <w:lang w:bidi="ar"/>
              </w:rPr>
              <w:t xml:space="preserve">内容一般，可行性一般的得2分。</w:t>
            </w:r>
            <w:r/>
          </w:p>
          <w:p>
            <w:pPr>
              <w:jc w:val="left"/>
              <w:widowControl/>
              <w:rPr>
                <w:rFonts w:ascii="宋体" w:hAnsi="宋体" w:eastAsia="宋体" w:cs="宋体"/>
                <w:color w:val="000000"/>
                <w:sz w:val="18"/>
                <w:szCs w:val="18"/>
                <w:lang w:bidi="ar"/>
              </w:rPr>
            </w:pPr>
            <w:r>
              <w:rPr>
                <w:rFonts w:hint="eastAsia" w:ascii="宋体" w:hAnsi="宋体" w:eastAsia="宋体" w:cs="宋体"/>
                <w:color w:val="000000"/>
                <w:sz w:val="18"/>
                <w:szCs w:val="18"/>
                <w:lang w:bidi="ar"/>
              </w:rPr>
              <w:t xml:space="preserve">3）</w:t>
            </w:r>
            <w:r>
              <w:rPr>
                <w:rFonts w:hint="eastAsia" w:ascii="宋体" w:hAnsi="宋体" w:eastAsia="宋体" w:cs="宋体"/>
                <w:color w:val="000000"/>
                <w:sz w:val="18"/>
                <w:szCs w:val="18"/>
                <w:lang w:eastAsia="zh-CN" w:bidi="ar"/>
              </w:rPr>
              <w:t xml:space="preserve">未提供</w:t>
            </w:r>
            <w:r>
              <w:rPr>
                <w:rFonts w:hint="eastAsia" w:ascii="宋体" w:hAnsi="宋体" w:eastAsia="宋体" w:cs="宋体"/>
                <w:color w:val="000000"/>
                <w:sz w:val="18"/>
                <w:szCs w:val="18"/>
                <w:lang w:bidi="ar"/>
              </w:rPr>
              <w:t xml:space="preserve">不得分。</w:t>
            </w:r>
            <w:r/>
          </w:p>
        </w:tc>
        <w:tc>
          <w:tcPr>
            <w:shd w:val="clear" w:color="auto" w:fill="auto"/>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jc w:val="center"/>
              <w:widowControl/>
              <w:rPr>
                <w:rFonts w:hint="eastAsia" w:ascii="宋体" w:hAnsi="宋体" w:eastAsia="宋体" w:cs="宋体"/>
                <w:color w:val="000000"/>
                <w:sz w:val="22"/>
                <w:szCs w:val="22"/>
                <w:lang w:eastAsia="zh-CN"/>
              </w:rPr>
            </w:pPr>
            <w:r>
              <w:rPr>
                <w:rFonts w:hint="eastAsia" w:ascii="宋体" w:hAnsi="宋体" w:eastAsia="宋体" w:cs="宋体"/>
                <w:color w:val="000000"/>
                <w:sz w:val="22"/>
                <w:szCs w:val="22"/>
                <w:lang w:val="en-US" w:eastAsia="zh-CN" w:bidi="ar"/>
              </w:rPr>
              <w:t xml:space="preserve">4</w:t>
            </w:r>
            <w:r/>
          </w:p>
        </w:tc>
      </w:tr>
    </w:tbl>
    <w:p>
      <w:pPr>
        <w:pStyle w:val="710"/>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710"/>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710"/>
        <w:jc w:val="both"/>
        <w:spacing w:beforeAutospacing="0" w:afterAutospacing="0"/>
        <w:rPr>
          <w:highlight w:val="none"/>
        </w:rPr>
      </w:pPr>
      <w:r>
        <w:rPr>
          <w:highlight w:val="none"/>
        </w:rPr>
        <w:t xml:space="preserve"> </w:t>
      </w:r>
      <w:r/>
    </w:p>
    <w:p>
      <w:pPr>
        <w:pStyle w:val="710"/>
        <w:jc w:val="both"/>
        <w:spacing w:beforeAutospacing="0" w:afterAutospacing="0"/>
        <w:rPr>
          <w:highlight w:val="none"/>
        </w:rPr>
      </w:pPr>
      <w:r>
        <w:rPr>
          <w:highlight w:val="none"/>
        </w:rPr>
        <w:t xml:space="preserve"> </w:t>
      </w:r>
      <w:r/>
    </w:p>
    <w:p>
      <w:pPr>
        <w:pStyle w:val="710"/>
        <w:jc w:val="both"/>
        <w:spacing w:beforeAutospacing="0" w:afterAutospacing="0"/>
        <w:rPr>
          <w:highlight w:val="none"/>
        </w:rPr>
      </w:pPr>
      <w:r>
        <w:rPr>
          <w:highlight w:val="none"/>
        </w:rPr>
        <w:t xml:space="preserve"> </w:t>
      </w:r>
      <w:r/>
    </w:p>
    <w:p>
      <w:pPr>
        <w:pStyle w:val="710"/>
        <w:jc w:val="both"/>
        <w:spacing w:beforeAutospacing="0" w:afterAutospacing="0"/>
        <w:rPr>
          <w:highlight w:val="none"/>
        </w:rPr>
      </w:pPr>
      <w:r>
        <w:rPr>
          <w:highlight w:val="none"/>
        </w:rPr>
        <w:t xml:space="preserve"> </w:t>
      </w:r>
      <w:r/>
    </w:p>
    <w:p>
      <w:pPr>
        <w:pStyle w:val="710"/>
        <w:jc w:val="both"/>
        <w:spacing w:beforeAutospacing="0" w:afterAutospacing="0"/>
        <w:rPr>
          <w:highlight w:val="none"/>
        </w:rPr>
      </w:pPr>
      <w:r>
        <w:rPr>
          <w:highlight w:val="none"/>
        </w:rPr>
        <w:t xml:space="preserve"> </w:t>
      </w:r>
      <w:r/>
    </w:p>
    <w:p>
      <w:pPr>
        <w:pStyle w:val="710"/>
        <w:jc w:val="both"/>
        <w:spacing w:beforeAutospacing="0" w:afterAutospacing="0"/>
        <w:rPr>
          <w:highlight w:val="none"/>
        </w:rPr>
      </w:pPr>
      <w:r>
        <w:rPr>
          <w:highlight w:val="none"/>
        </w:rPr>
        <w:t xml:space="preserve"> </w:t>
      </w:r>
      <w:r/>
    </w:p>
    <w:p>
      <w:pPr>
        <w:pStyle w:val="710"/>
        <w:jc w:val="both"/>
        <w:spacing w:beforeAutospacing="0" w:afterAutospacing="0"/>
        <w:rPr>
          <w:highlight w:val="none"/>
        </w:rPr>
      </w:pPr>
      <w:r>
        <w:rPr>
          <w:highlight w:val="none"/>
        </w:rPr>
        <w:t xml:space="preserve"> </w:t>
      </w:r>
      <w:r/>
    </w:p>
    <w:p>
      <w:pPr>
        <w:pStyle w:val="710"/>
        <w:jc w:val="both"/>
        <w:spacing w:beforeAutospacing="0" w:afterAutospacing="0"/>
        <w:rPr>
          <w:highlight w:val="none"/>
        </w:rPr>
      </w:pPr>
      <w:r>
        <w:rPr>
          <w:highlight w:val="none"/>
        </w:rPr>
      </w:r>
      <w:r/>
    </w:p>
    <w:p>
      <w:pPr>
        <w:pStyle w:val="710"/>
        <w:jc w:val="both"/>
        <w:spacing w:beforeAutospacing="0" w:afterAutospacing="0"/>
        <w:rPr>
          <w:highlight w:val="none"/>
        </w:rPr>
      </w:pPr>
      <w:r>
        <w:rPr>
          <w:highlight w:val="none"/>
        </w:rPr>
        <w:t xml:space="preserve"> </w:t>
      </w:r>
      <w:r/>
    </w:p>
    <w:p>
      <w:pPr>
        <w:pStyle w:val="710"/>
        <w:jc w:val="both"/>
        <w:spacing w:beforeAutospacing="0" w:afterAutospacing="0"/>
        <w:rPr>
          <w:highlight w:val="none"/>
        </w:rPr>
      </w:pPr>
      <w:r>
        <w:rPr>
          <w:highlight w:val="none"/>
        </w:rPr>
        <w:t xml:space="preserve"> </w:t>
      </w:r>
      <w:r/>
    </w:p>
    <w:p>
      <w:pPr>
        <w:pStyle w:val="710"/>
        <w:jc w:val="both"/>
        <w:spacing w:beforeAutospacing="0" w:afterAutospacing="0"/>
        <w:rPr>
          <w:highlight w:val="none"/>
        </w:rPr>
      </w:pPr>
      <w:r>
        <w:rPr>
          <w:highlight w:val="none"/>
        </w:rPr>
        <w:t xml:space="preserve"> </w:t>
      </w:r>
      <w:r/>
    </w:p>
    <w:p>
      <w:pPr>
        <w:pStyle w:val="710"/>
        <w:jc w:val="both"/>
        <w:spacing w:beforeAutospacing="0" w:afterAutospacing="0"/>
        <w:rPr>
          <w:highlight w:val="none"/>
        </w:rPr>
      </w:pPr>
      <w:r>
        <w:rPr>
          <w:highlight w:val="none"/>
        </w:rPr>
        <w:t xml:space="preserve"> </w:t>
      </w:r>
      <w:r/>
    </w:p>
    <w:p>
      <w:pPr>
        <w:pStyle w:val="710"/>
        <w:jc w:val="both"/>
        <w:spacing w:beforeAutospacing="0" w:afterAutospacing="0"/>
        <w:rPr>
          <w:highlight w:val="none"/>
        </w:rPr>
      </w:pPr>
      <w:r>
        <w:rPr>
          <w:highlight w:val="none"/>
        </w:rPr>
      </w:r>
      <w:r/>
    </w:p>
    <w:p>
      <w:pPr>
        <w:pStyle w:val="710"/>
        <w:jc w:val="both"/>
        <w:spacing w:beforeAutospacing="0" w:afterAutospacing="0"/>
        <w:rPr>
          <w:highlight w:val="none"/>
        </w:rPr>
      </w:pPr>
      <w:r>
        <w:rPr>
          <w:highlight w:val="none"/>
        </w:rPr>
      </w:r>
      <w:r/>
    </w:p>
    <w:p>
      <w:pPr>
        <w:pStyle w:val="710"/>
        <w:jc w:val="both"/>
        <w:spacing w:beforeAutospacing="0" w:afterAutospacing="0"/>
        <w:rPr>
          <w:highlight w:val="none"/>
        </w:rPr>
      </w:pPr>
      <w:r>
        <w:rPr>
          <w:highlight w:val="none"/>
        </w:rPr>
      </w:r>
      <w:r/>
    </w:p>
    <w:p>
      <w:pPr>
        <w:pStyle w:val="710"/>
        <w:jc w:val="both"/>
        <w:spacing w:beforeAutospacing="0" w:afterAutospacing="0"/>
        <w:rPr>
          <w:highlight w:val="none"/>
        </w:rPr>
      </w:pPr>
      <w:r>
        <w:rPr>
          <w:highlight w:val="none"/>
        </w:rPr>
      </w:r>
      <w:r/>
    </w:p>
    <w:p>
      <w:pPr>
        <w:pStyle w:val="710"/>
        <w:jc w:val="both"/>
        <w:spacing w:beforeAutospacing="0" w:afterAutospacing="0"/>
        <w:rPr>
          <w:rFonts w:hint="eastAsia"/>
          <w:highlight w:val="none"/>
        </w:rPr>
      </w:pPr>
      <w:r>
        <w:rPr>
          <w:rFonts w:hint="eastAsia"/>
          <w:highlight w:val="none"/>
        </w:rPr>
      </w:r>
      <w:r/>
    </w:p>
    <w:p>
      <w:pPr>
        <w:pStyle w:val="710"/>
        <w:jc w:val="center"/>
        <w:keepNext/>
        <w:spacing w:beforeAutospacing="0" w:afterAutospacing="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710"/>
        <w:jc w:val="center"/>
        <w:spacing w:beforeAutospacing="0" w:afterAutospacing="0"/>
        <w:rPr>
          <w:rFonts w:hint="eastAsia" w:ascii="黑体" w:hAnsi="宋体" w:eastAsia="黑体" w:cs="黑体"/>
          <w:b/>
          <w:color w:val="000000"/>
          <w:sz w:val="44"/>
          <w:szCs w:val="44"/>
          <w:highlight w:val="none"/>
        </w:rPr>
      </w:pPr>
      <w:r>
        <w:rPr>
          <w:rFonts w:hint="eastAsia" w:ascii="黑体" w:hAnsi="宋体" w:eastAsia="黑体" w:cs="黑体"/>
          <w:b/>
          <w:color w:val="000000"/>
          <w:sz w:val="44"/>
          <w:szCs w:val="44"/>
          <w:highlight w:val="none"/>
        </w:rPr>
      </w:r>
      <w:r/>
    </w:p>
    <w:p>
      <w:pPr>
        <w:pStyle w:val="710"/>
        <w:jc w:val="center"/>
        <w:spacing w:beforeAutospacing="0" w:afterAutospacing="0"/>
        <w:rPr>
          <w:rFonts w:hint="eastAsia" w:ascii="黑体" w:hAnsi="宋体" w:eastAsia="黑体" w:cs="黑体"/>
          <w:b/>
          <w:color w:val="000000"/>
          <w:sz w:val="44"/>
          <w:szCs w:val="44"/>
          <w:highlight w:val="none"/>
        </w:rPr>
      </w:pPr>
      <w:r>
        <w:rPr>
          <w:rFonts w:hint="eastAsia" w:ascii="黑体" w:hAnsi="宋体" w:eastAsia="黑体" w:cs="黑体"/>
          <w:b/>
          <w:color w:val="000000"/>
          <w:sz w:val="44"/>
          <w:szCs w:val="44"/>
          <w:highlight w:val="none"/>
        </w:rPr>
      </w:r>
      <w:r/>
    </w:p>
    <w:p>
      <w:pPr>
        <w:pStyle w:val="710"/>
        <w:jc w:val="center"/>
        <w:spacing w:beforeAutospacing="0" w:afterAutospacing="0"/>
        <w:rPr>
          <w:rFonts w:hint="eastAsia" w:ascii="黑体" w:hAnsi="宋体" w:eastAsia="黑体" w:cs="黑体"/>
          <w:b/>
          <w:color w:val="000000"/>
          <w:sz w:val="44"/>
          <w:szCs w:val="44"/>
          <w:highlight w:val="none"/>
        </w:rPr>
      </w:pPr>
      <w:r>
        <w:rPr>
          <w:rFonts w:hint="eastAsia" w:ascii="黑体" w:hAnsi="宋体" w:eastAsia="黑体" w:cs="黑体"/>
          <w:b/>
          <w:color w:val="000000"/>
          <w:sz w:val="44"/>
          <w:szCs w:val="44"/>
          <w:highlight w:val="none"/>
        </w:rPr>
      </w:r>
      <w:r/>
    </w:p>
    <w:p>
      <w:pPr>
        <w:pStyle w:val="710"/>
        <w:jc w:val="center"/>
        <w:spacing w:beforeAutospacing="0" w:afterAutospacing="0"/>
        <w:rPr>
          <w:rFonts w:hint="eastAsia" w:ascii="黑体" w:hAnsi="宋体" w:eastAsia="黑体" w:cs="黑体"/>
          <w:b/>
          <w:color w:val="000000"/>
          <w:sz w:val="44"/>
          <w:szCs w:val="44"/>
          <w:highlight w:val="none"/>
        </w:rPr>
      </w:pPr>
      <w:r>
        <w:rPr>
          <w:rFonts w:hint="eastAsia" w:ascii="黑体" w:hAnsi="宋体" w:eastAsia="黑体" w:cs="黑体"/>
          <w:b/>
          <w:color w:val="000000"/>
          <w:sz w:val="44"/>
          <w:szCs w:val="44"/>
          <w:highlight w:val="none"/>
        </w:rPr>
      </w:r>
      <w:r/>
    </w:p>
    <w:p>
      <w:pPr>
        <w:pStyle w:val="710"/>
        <w:jc w:val="center"/>
        <w:spacing w:beforeAutospacing="0" w:afterAutospacing="0"/>
        <w:rPr>
          <w:rFonts w:hint="eastAsia" w:ascii="黑体" w:hAnsi="宋体" w:eastAsia="黑体" w:cs="黑体"/>
          <w:b/>
          <w:color w:val="000000"/>
          <w:sz w:val="44"/>
          <w:szCs w:val="44"/>
          <w:highlight w:val="none"/>
        </w:rPr>
      </w:pPr>
      <w:r>
        <w:rPr>
          <w:rFonts w:hint="eastAsia" w:ascii="黑体" w:hAnsi="宋体" w:eastAsia="黑体" w:cs="黑体"/>
          <w:b/>
          <w:color w:val="000000"/>
          <w:sz w:val="44"/>
          <w:szCs w:val="44"/>
          <w:highlight w:val="none"/>
        </w:rPr>
      </w:r>
      <w:r/>
    </w:p>
    <w:p>
      <w:pPr>
        <w:pStyle w:val="710"/>
        <w:jc w:val="center"/>
        <w:spacing w:beforeAutospacing="0" w:afterAutospacing="0"/>
        <w:rPr>
          <w:rFonts w:hint="eastAsia" w:ascii="黑体" w:hAnsi="宋体" w:eastAsia="黑体" w:cs="黑体"/>
          <w:b/>
          <w:color w:val="000000"/>
          <w:sz w:val="44"/>
          <w:szCs w:val="44"/>
          <w:highlight w:val="none"/>
        </w:rPr>
      </w:pPr>
      <w:r>
        <w:rPr>
          <w:rFonts w:hint="eastAsia" w:ascii="黑体" w:hAnsi="宋体" w:eastAsia="黑体" w:cs="黑体"/>
          <w:b/>
          <w:color w:val="000000"/>
          <w:sz w:val="44"/>
          <w:szCs w:val="44"/>
          <w:highlight w:val="none"/>
        </w:rPr>
      </w:r>
      <w:r/>
    </w:p>
    <w:p>
      <w:pPr>
        <w:pStyle w:val="710"/>
        <w:jc w:val="center"/>
        <w:spacing w:beforeAutospacing="0" w:afterAutospacing="0"/>
        <w:rPr>
          <w:rFonts w:hint="eastAsia" w:ascii="黑体" w:hAnsi="宋体" w:eastAsia="黑体" w:cs="黑体"/>
          <w:b/>
          <w:color w:val="000000"/>
          <w:sz w:val="44"/>
          <w:szCs w:val="44"/>
          <w:highlight w:val="none"/>
        </w:rPr>
      </w:pPr>
      <w:r>
        <w:rPr>
          <w:rFonts w:hint="eastAsia" w:ascii="黑体" w:hAnsi="宋体" w:eastAsia="黑体" w:cs="黑体"/>
          <w:b/>
          <w:color w:val="000000"/>
          <w:sz w:val="44"/>
          <w:szCs w:val="44"/>
          <w:highlight w:val="none"/>
        </w:rPr>
      </w:r>
      <w:r/>
    </w:p>
    <w:p>
      <w:pPr>
        <w:pStyle w:val="710"/>
        <w:jc w:val="center"/>
        <w:spacing w:beforeAutospacing="0" w:afterAutospacing="0"/>
        <w:rPr>
          <w:rFonts w:hint="eastAsia" w:ascii="黑体" w:hAnsi="宋体" w:eastAsia="黑体" w:cs="黑体"/>
          <w:b/>
          <w:color w:val="000000"/>
          <w:sz w:val="44"/>
          <w:szCs w:val="44"/>
          <w:highlight w:val="none"/>
        </w:rPr>
      </w:pPr>
      <w:r>
        <w:rPr>
          <w:rFonts w:hint="eastAsia" w:ascii="黑体" w:hAnsi="宋体" w:eastAsia="黑体" w:cs="黑体"/>
          <w:b/>
          <w:color w:val="000000"/>
          <w:sz w:val="44"/>
          <w:szCs w:val="44"/>
          <w:highlight w:val="none"/>
        </w:rPr>
      </w:r>
      <w:r/>
    </w:p>
    <w:p>
      <w:pPr>
        <w:pStyle w:val="710"/>
        <w:jc w:val="center"/>
        <w:spacing w:beforeAutospacing="0" w:afterAutospacing="0"/>
        <w:rPr>
          <w:rFonts w:hint="eastAsia" w:ascii="黑体" w:hAnsi="宋体" w:eastAsia="黑体" w:cs="黑体"/>
          <w:b/>
          <w:color w:val="000000"/>
          <w:sz w:val="44"/>
          <w:szCs w:val="44"/>
          <w:highlight w:val="none"/>
        </w:rPr>
      </w:pPr>
      <w:r>
        <w:rPr>
          <w:rFonts w:hint="eastAsia" w:ascii="黑体" w:hAnsi="宋体" w:eastAsia="黑体" w:cs="黑体"/>
          <w:b/>
          <w:color w:val="000000"/>
          <w:sz w:val="44"/>
          <w:szCs w:val="44"/>
          <w:highlight w:val="none"/>
        </w:rPr>
        <w:t xml:space="preserve">第六章  投标文件格式 </w:t>
      </w:r>
      <w:r/>
    </w:p>
    <w:p>
      <w:pPr>
        <w:pStyle w:val="710"/>
        <w:jc w:val="both"/>
        <w:spacing w:beforeAutospacing="0" w:afterAutospacing="0"/>
        <w:rPr>
          <w:rFonts w:hint="eastAsia" w:ascii="宋体" w:hAnsi="宋体" w:eastAsia="宋体" w:cs="宋体"/>
          <w:b/>
          <w:color w:val="000000"/>
          <w:sz w:val="72"/>
          <w:szCs w:val="72"/>
          <w:highlight w:val="none"/>
        </w:rPr>
      </w:pPr>
      <w:r/>
      <w:bookmarkStart w:id="186" w:name="_Toc26554094"/>
      <w:r/>
      <w:bookmarkEnd w:id="186"/>
      <w:r/>
      <w:bookmarkStart w:id="187" w:name="_Hlt26955039"/>
      <w:r/>
      <w:bookmarkEnd w:id="187"/>
      <w:r/>
      <w:bookmarkStart w:id="188" w:name="_Hlt26671244"/>
      <w:r/>
      <w:bookmarkEnd w:id="188"/>
      <w:r/>
      <w:bookmarkStart w:id="189" w:name="_Toc120614282"/>
      <w:r/>
      <w:bookmarkStart w:id="190" w:name="_Toc49090576"/>
      <w:r/>
      <w:r/>
    </w:p>
    <w:p>
      <w:pPr>
        <w:pStyle w:val="710"/>
        <w:jc w:val="center"/>
        <w:spacing w:beforeAutospacing="0" w:afterAutospacing="0"/>
        <w:rPr>
          <w:rFonts w:hint="eastAsia" w:ascii="宋体" w:hAnsi="宋体" w:eastAsia="宋体" w:cs="宋体"/>
          <w:b/>
          <w:color w:val="000000"/>
          <w:sz w:val="72"/>
          <w:szCs w:val="72"/>
          <w:highlight w:val="none"/>
        </w:rPr>
      </w:pPr>
      <w:r>
        <w:rPr>
          <w:rFonts w:hint="eastAsia" w:ascii="宋体" w:hAnsi="宋体" w:eastAsia="宋体" w:cs="宋体"/>
          <w:b/>
          <w:color w:val="000000"/>
          <w:sz w:val="72"/>
          <w:szCs w:val="72"/>
          <w:highlight w:val="none"/>
        </w:rPr>
      </w:r>
      <w:r/>
    </w:p>
    <w:p>
      <w:pPr>
        <w:pStyle w:val="710"/>
        <w:jc w:val="center"/>
        <w:spacing w:beforeAutospacing="0" w:afterAutospacing="0"/>
        <w:rPr>
          <w:highlight w:val="none"/>
        </w:rPr>
      </w:pPr>
      <w:r>
        <w:rPr>
          <w:rFonts w:hint="eastAsia" w:ascii="宋体" w:hAnsi="宋体" w:eastAsia="宋体" w:cs="宋体"/>
          <w:b/>
          <w:color w:val="000000"/>
          <w:sz w:val="72"/>
          <w:szCs w:val="72"/>
          <w:highlight w:val="none"/>
        </w:rPr>
        <w:t xml:space="preserve">投  标  文  件</w:t>
      </w:r>
      <w:r/>
    </w:p>
    <w:p>
      <w:pPr>
        <w:pStyle w:val="710"/>
        <w:jc w:val="center"/>
        <w:spacing w:beforeAutospacing="0" w:afterAutospacing="0"/>
        <w:rPr>
          <w:highlight w:val="none"/>
        </w:rPr>
      </w:pPr>
      <w:r>
        <w:rPr>
          <w:highlight w:val="none"/>
        </w:rPr>
        <w:t xml:space="preserve">  </w:t>
      </w:r>
      <w:r/>
    </w:p>
    <w:p>
      <w:pPr>
        <w:pStyle w:val="710"/>
        <w:jc w:val="center"/>
        <w:spacing w:beforeAutospacing="0" w:afterAutospacing="0"/>
        <w:rPr>
          <w:highlight w:val="none"/>
        </w:rPr>
      </w:pPr>
      <w:r>
        <w:rPr>
          <w:highlight w:val="none"/>
        </w:rPr>
        <w:t xml:space="preserve"> </w:t>
      </w:r>
      <w:r/>
    </w:p>
    <w:p>
      <w:pPr>
        <w:pStyle w:val="710"/>
        <w:jc w:val="center"/>
        <w:spacing w:beforeAutospacing="0" w:afterAutospacing="0"/>
        <w:rPr>
          <w:highlight w:val="none"/>
        </w:rPr>
      </w:pPr>
      <w:r>
        <w:rPr>
          <w:highlight w:val="none"/>
        </w:rPr>
        <w:t xml:space="preserve"> </w:t>
      </w:r>
      <w:r/>
    </w:p>
    <w:p>
      <w:pPr>
        <w:pStyle w:val="710"/>
        <w:jc w:val="both"/>
        <w:spacing w:beforeAutospacing="0" w:afterAutospacing="0"/>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710"/>
        <w:jc w:val="both"/>
        <w:spacing w:beforeAutospacing="0" w:afterAutospacing="0"/>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710"/>
        <w:jc w:val="both"/>
        <w:spacing w:beforeAutospacing="0" w:afterAutospacing="0"/>
        <w:rPr>
          <w:highlight w:val="none"/>
        </w:rPr>
      </w:pPr>
      <w:r>
        <w:rPr>
          <w:rFonts w:hint="eastAsia" w:ascii="宋体" w:hAnsi="宋体" w:eastAsia="宋体" w:cs="宋体"/>
          <w:b/>
          <w:color w:val="000000"/>
          <w:sz w:val="36"/>
          <w:szCs w:val="36"/>
          <w:highlight w:val="none"/>
        </w:rPr>
        <w:t xml:space="preserve">项目 名 称：</w:t>
      </w:r>
      <w:r>
        <w:rPr>
          <w:rFonts w:hint="eastAsia" w:ascii="宋体" w:hAnsi="宋体" w:eastAsia="宋体" w:cs="宋体"/>
          <w:b/>
          <w:color w:val="000000"/>
          <w:sz w:val="36"/>
          <w:szCs w:val="36"/>
          <w:highlight w:val="none"/>
          <w:u w:val="single"/>
        </w:rPr>
        <w:t xml:space="preserve">               </w:t>
      </w:r>
      <w:r/>
    </w:p>
    <w:p>
      <w:pPr>
        <w:pStyle w:val="710"/>
        <w:jc w:val="both"/>
        <w:spacing w:beforeAutospacing="0" w:afterAutospacing="0"/>
        <w:rPr>
          <w:highlight w:val="none"/>
        </w:rPr>
      </w:pPr>
      <w:r>
        <w:rPr>
          <w:rFonts w:hint="eastAsia" w:ascii="宋体" w:hAnsi="宋体" w:eastAsia="宋体" w:cs="宋体"/>
          <w:b/>
          <w:color w:val="000000"/>
          <w:sz w:val="36"/>
          <w:szCs w:val="36"/>
          <w:highlight w:val="none"/>
        </w:rPr>
        <w:t xml:space="preserve">项目 编 号：</w:t>
      </w:r>
      <w:r>
        <w:rPr>
          <w:rFonts w:hint="eastAsia" w:ascii="宋体" w:hAnsi="宋体" w:eastAsia="宋体" w:cs="宋体"/>
          <w:b/>
          <w:color w:val="000000"/>
          <w:sz w:val="36"/>
          <w:szCs w:val="36"/>
          <w:highlight w:val="none"/>
          <w:u w:val="single"/>
        </w:rPr>
        <w:t xml:space="preserve">               </w:t>
      </w:r>
      <w:r/>
    </w:p>
    <w:p>
      <w:pPr>
        <w:pStyle w:val="710"/>
        <w:jc w:val="both"/>
        <w:spacing w:beforeAutospacing="0" w:afterAutospacing="0"/>
        <w:rPr>
          <w:highlight w:val="none"/>
        </w:rPr>
      </w:pPr>
      <w:r>
        <w:rPr>
          <w:rFonts w:hint="eastAsia" w:ascii="宋体" w:hAnsi="宋体" w:eastAsia="宋体" w:cs="宋体"/>
          <w:b/>
          <w:color w:val="000000"/>
          <w:sz w:val="36"/>
          <w:szCs w:val="36"/>
          <w:highlight w:val="none"/>
        </w:rPr>
        <w:t xml:space="preserve">投标人名称 ：</w:t>
      </w:r>
      <w:r>
        <w:rPr>
          <w:rFonts w:hint="eastAsia" w:ascii="宋体" w:hAnsi="宋体" w:eastAsia="宋体" w:cs="宋体"/>
          <w:b/>
          <w:color w:val="000000"/>
          <w:sz w:val="36"/>
          <w:szCs w:val="36"/>
          <w:highlight w:val="none"/>
          <w:u w:val="single"/>
        </w:rPr>
        <w:t xml:space="preserve">（加盖CA电子公章）        </w:t>
      </w:r>
      <w:r/>
    </w:p>
    <w:p>
      <w:pPr>
        <w:pStyle w:val="710"/>
        <w:jc w:val="both"/>
        <w:spacing w:beforeAutospacing="0" w:afterAutospacing="0"/>
        <w:rPr>
          <w:highlight w:val="none"/>
        </w:rPr>
      </w:pPr>
      <w:r>
        <w:rPr>
          <w:rFonts w:hint="eastAsia" w:ascii="宋体" w:hAnsi="宋体" w:eastAsia="宋体" w:cs="宋体"/>
          <w:b/>
          <w:color w:val="000000"/>
          <w:sz w:val="36"/>
          <w:szCs w:val="36"/>
          <w:highlight w:val="none"/>
        </w:rPr>
        <w:t xml:space="preserve">日   期 ：</w:t>
      </w:r>
      <w:r>
        <w:rPr>
          <w:rFonts w:hint="eastAsia" w:ascii="宋体" w:hAnsi="宋体" w:eastAsia="宋体" w:cs="宋体"/>
          <w:b/>
          <w:color w:val="000000"/>
          <w:sz w:val="36"/>
          <w:szCs w:val="36"/>
          <w:highlight w:val="none"/>
          <w:u w:val="single"/>
        </w:rPr>
        <w:t xml:space="preserve">                     </w:t>
      </w:r>
      <w:r/>
    </w:p>
    <w:p>
      <w:pPr>
        <w:pStyle w:val="710"/>
        <w:jc w:val="center"/>
        <w:spacing w:beforeAutospacing="0" w:afterAutospacing="0" w:line="0" w:lineRule="atLeast"/>
        <w:rPr>
          <w:highlight w:val="none"/>
        </w:rPr>
      </w:pPr>
      <w:r>
        <w:rPr>
          <w:highlight w:val="none"/>
        </w:rPr>
        <w:t xml:space="preserve"> </w:t>
      </w:r>
      <w:r/>
    </w:p>
    <w:p>
      <w:pPr>
        <w:pStyle w:val="710"/>
        <w:jc w:val="both"/>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710"/>
        <w:jc w:val="center"/>
        <w:spacing w:beforeAutospacing="0" w:afterAutospacing="0" w:line="0" w:lineRule="atLeas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10"/>
        <w:jc w:val="center"/>
        <w:spacing w:beforeAutospacing="0" w:afterAutospacing="0" w:line="0" w:lineRule="atLeas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10"/>
        <w:jc w:val="center"/>
        <w:spacing w:beforeAutospacing="0" w:afterAutospacing="0" w:line="0" w:lineRule="atLeas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10"/>
        <w:jc w:val="center"/>
        <w:spacing w:beforeAutospacing="0" w:afterAutospacing="0" w:line="0" w:lineRule="atLeas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10"/>
        <w:jc w:val="center"/>
        <w:spacing w:beforeAutospacing="0" w:afterAutospacing="0" w:line="0" w:lineRule="atLeas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10"/>
        <w:jc w:val="center"/>
        <w:spacing w:beforeAutospacing="0" w:afterAutospacing="0" w:line="0" w:lineRule="atLeas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10"/>
        <w:jc w:val="center"/>
        <w:spacing w:beforeAutospacing="0" w:afterAutospacing="0" w:line="0" w:lineRule="atLeas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10"/>
        <w:jc w:val="center"/>
        <w:spacing w:beforeAutospacing="0" w:afterAutospacing="0" w:line="0" w:lineRule="atLeas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10"/>
        <w:jc w:val="center"/>
        <w:spacing w:beforeAutospacing="0" w:afterAutospacing="0" w:line="0" w:lineRule="atLeas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10"/>
        <w:jc w:val="center"/>
        <w:spacing w:beforeAutospacing="0" w:afterAutospacing="0" w:line="0" w:lineRule="atLeas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10"/>
        <w:jc w:val="center"/>
        <w:spacing w:beforeAutospacing="0" w:afterAutospacing="0" w:line="0" w:lineRule="atLeas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10"/>
        <w:jc w:val="center"/>
        <w:spacing w:beforeAutospacing="0" w:afterAutospacing="0" w:line="0" w:lineRule="atLeas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10"/>
        <w:jc w:val="center"/>
        <w:spacing w:beforeAutospacing="0" w:afterAutospacing="0" w:line="0" w:lineRule="atLeas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ind w:firstLine="3213"/>
        <w:rPr>
          <w:highlight w:val="none"/>
        </w:rPr>
      </w:pPr>
      <w:r>
        <w:rPr>
          <w:rFonts w:hint="eastAsia" w:ascii="宋体" w:hAnsi="宋体" w:eastAsia="宋体" w:cs="宋体"/>
          <w:b/>
          <w:color w:val="000000"/>
          <w:sz w:val="32"/>
          <w:szCs w:val="32"/>
          <w:highlight w:val="none"/>
        </w:rPr>
        <w:t xml:space="preserve">投标文件目录</w:t>
      </w:r>
      <w:r/>
    </w:p>
    <w:p>
      <w:pPr>
        <w:pStyle w:val="710"/>
        <w:jc w:val="center"/>
        <w:spacing w:beforeAutospacing="0" w:afterAutospacing="0" w:line="0" w:lineRule="atLeast"/>
        <w:rPr>
          <w:highlight w:val="none"/>
        </w:rPr>
      </w:pPr>
      <w:r>
        <w:rPr>
          <w:highlight w:val="none"/>
        </w:rPr>
        <w:t xml:space="preserve"> </w:t>
      </w:r>
      <w:r/>
    </w:p>
    <w:p>
      <w:pPr>
        <w:pStyle w:val="710"/>
        <w:ind w:left="480"/>
        <w:jc w:val="both"/>
        <w:spacing w:beforeAutospacing="0" w:afterAutospacing="0"/>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一、法人或者其他组织的营业执照等证明文件，自然人的身份证明</w:t>
      </w:r>
      <w:r/>
    </w:p>
    <w:p>
      <w:pPr>
        <w:pStyle w:val="710"/>
        <w:ind w:left="480"/>
        <w:jc w:val="both"/>
        <w:spacing w:beforeAutospacing="0" w:afterAutospacing="0"/>
        <w:rPr>
          <w:rFonts w:hint="eastAsia" w:ascii="宋体" w:hAnsi="宋体" w:eastAsia="宋体" w:cs="宋体"/>
          <w:i w:val="0"/>
          <w:iCs/>
          <w:color w:val="000000"/>
          <w:sz w:val="24"/>
          <w:szCs w:val="24"/>
          <w:highlight w:val="none"/>
          <w:u w:val="none"/>
          <w:lang w:val="en-US" w:eastAsia="zh-CN" w:bidi="ar-SA"/>
        </w:rPr>
      </w:pPr>
      <w:r>
        <w:rPr>
          <w:rFonts w:hint="eastAsia" w:ascii="宋体" w:hAnsi="宋体" w:eastAsia="宋体" w:cs="宋体"/>
          <w:i w:val="0"/>
          <w:iCs/>
          <w:color w:val="000000"/>
          <w:sz w:val="24"/>
          <w:szCs w:val="24"/>
          <w:highlight w:val="none"/>
          <w:u w:val="none"/>
          <w:lang w:val="en-US" w:eastAsia="zh-CN" w:bidi="ar-SA"/>
        </w:rPr>
        <w:t xml:space="preserve">二、上一年度（2025年度）的财务状况报告（财务报告至少应当包括资产负债表、利润表，距投标截止之日止，成立不足一年的供应商，可不提供财务报告）</w:t>
      </w:r>
      <w:r/>
    </w:p>
    <w:p>
      <w:pPr>
        <w:pStyle w:val="710"/>
        <w:ind w:left="480"/>
        <w:jc w:val="both"/>
        <w:spacing w:beforeAutospacing="0" w:afterAutospacing="0"/>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 xml:space="preserve">三</w:t>
      </w:r>
      <w:r>
        <w:rPr>
          <w:rFonts w:hint="eastAsia" w:ascii="宋体" w:hAnsi="宋体" w:eastAsia="宋体" w:cs="宋体"/>
          <w:i w:val="0"/>
          <w:iCs/>
          <w:color w:val="000000"/>
          <w:highlight w:val="none"/>
          <w:u w:val="none"/>
        </w:rPr>
        <w:t xml:space="preserve">、具备履行合同所必需的设备和专业技术能力的书面声明</w:t>
      </w:r>
      <w:r/>
    </w:p>
    <w:p>
      <w:pPr>
        <w:pStyle w:val="710"/>
        <w:ind w:left="480"/>
        <w:jc w:val="both"/>
        <w:spacing w:beforeAutospacing="0" w:afterAutospacing="0"/>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 xml:space="preserve">四</w:t>
      </w:r>
      <w:r>
        <w:rPr>
          <w:rFonts w:hint="eastAsia" w:ascii="宋体" w:hAnsi="宋体" w:eastAsia="宋体" w:cs="宋体"/>
          <w:i w:val="0"/>
          <w:iCs/>
          <w:color w:val="000000"/>
          <w:highlight w:val="none"/>
          <w:u w:val="non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710"/>
        <w:ind w:left="480"/>
        <w:jc w:val="both"/>
        <w:spacing w:beforeAutospacing="0" w:afterAutospacing="0"/>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五、参加政府采购活动前 3 年内在经营活动中没有重大违法记录的书面声明</w:t>
      </w:r>
      <w:r/>
    </w:p>
    <w:p>
      <w:pPr>
        <w:pStyle w:val="710"/>
        <w:ind w:firstLine="480"/>
        <w:jc w:val="both"/>
        <w:spacing w:beforeAutospacing="0" w:afterAutospacing="0" w:line="0" w:lineRule="atLeast"/>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六、特定资格要求的证明文件（如果本项目设置特定资格要求，则需要提供）</w:t>
      </w:r>
      <w:r/>
    </w:p>
    <w:p>
      <w:pPr>
        <w:pStyle w:val="710"/>
        <w:ind w:firstLine="480"/>
        <w:jc w:val="both"/>
        <w:spacing w:beforeAutospacing="0" w:afterAutospacing="0" w:line="0" w:lineRule="atLeast"/>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七、法人授权书</w:t>
      </w:r>
      <w:r/>
    </w:p>
    <w:p>
      <w:pPr>
        <w:pStyle w:val="710"/>
        <w:ind w:firstLine="480"/>
        <w:jc w:val="both"/>
        <w:spacing w:beforeAutospacing="0" w:afterAutospacing="0" w:line="0" w:lineRule="atLeast"/>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八、投标函</w:t>
      </w:r>
      <w:r/>
    </w:p>
    <w:p>
      <w:pPr>
        <w:pStyle w:val="710"/>
        <w:ind w:firstLine="480"/>
        <w:jc w:val="both"/>
        <w:spacing w:beforeAutospacing="0" w:afterAutospacing="0" w:line="0" w:lineRule="atLeast"/>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九、</w:t>
      </w:r>
      <w:r>
        <w:rPr>
          <w:rFonts w:hint="eastAsia" w:ascii="宋体" w:hAnsi="宋体" w:eastAsia="宋体" w:cs="宋体"/>
          <w:i w:val="0"/>
          <w:iCs/>
          <w:color w:val="000000"/>
          <w:highlight w:val="none"/>
          <w:u w:val="none"/>
          <w:lang w:val="en-US" w:eastAsia="zh-CN"/>
        </w:rPr>
        <w:t xml:space="preserve">中小</w:t>
      </w:r>
      <w:r>
        <w:rPr>
          <w:rFonts w:hint="eastAsia" w:ascii="宋体" w:hAnsi="宋体" w:eastAsia="宋体" w:cs="宋体"/>
          <w:i w:val="0"/>
          <w:iCs/>
          <w:color w:val="000000"/>
          <w:highlight w:val="none"/>
          <w:u w:val="none"/>
        </w:rPr>
        <w:t xml:space="preserve">企业声明函</w:t>
      </w:r>
      <w:r/>
    </w:p>
    <w:p>
      <w:pPr>
        <w:pStyle w:val="710"/>
        <w:ind w:firstLine="480"/>
        <w:jc w:val="both"/>
        <w:spacing w:beforeAutospacing="0" w:afterAutospacing="0" w:line="0" w:lineRule="atLeast"/>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十、残疾人福利性单位声明函</w:t>
      </w:r>
      <w:r/>
    </w:p>
    <w:p>
      <w:pPr>
        <w:pStyle w:val="710"/>
        <w:ind w:firstLine="480"/>
        <w:jc w:val="both"/>
        <w:spacing w:beforeAutospacing="0" w:afterAutospacing="0" w:line="0" w:lineRule="atLeast"/>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一</w:t>
      </w:r>
      <w:r>
        <w:rPr>
          <w:rFonts w:hint="eastAsia" w:ascii="宋体" w:hAnsi="宋体" w:eastAsia="宋体" w:cs="宋体"/>
          <w:i w:val="0"/>
          <w:iCs/>
          <w:color w:val="000000"/>
          <w:highlight w:val="none"/>
          <w:u w:val="none"/>
        </w:rPr>
        <w:t xml:space="preserve">、技术要求响应及偏离表</w:t>
      </w:r>
      <w:r/>
    </w:p>
    <w:p>
      <w:pPr>
        <w:pStyle w:val="710"/>
        <w:ind w:firstLine="480"/>
        <w:jc w:val="both"/>
        <w:spacing w:beforeAutospacing="0" w:afterAutospacing="0" w:line="0" w:lineRule="atLeast"/>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二</w:t>
      </w:r>
      <w:r>
        <w:rPr>
          <w:rFonts w:hint="eastAsia" w:ascii="宋体" w:hAnsi="宋体" w:eastAsia="宋体" w:cs="宋体"/>
          <w:i w:val="0"/>
          <w:iCs/>
          <w:color w:val="000000"/>
          <w:highlight w:val="none"/>
          <w:u w:val="none"/>
        </w:rPr>
        <w:t xml:space="preserve">、商务要求响应及偏离表</w:t>
      </w:r>
      <w:r/>
    </w:p>
    <w:p>
      <w:pPr>
        <w:pStyle w:val="710"/>
        <w:ind w:firstLine="480"/>
        <w:jc w:val="both"/>
        <w:spacing w:beforeAutospacing="0" w:afterAutospacing="0" w:line="0" w:lineRule="atLeast"/>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三</w:t>
      </w:r>
      <w:r>
        <w:rPr>
          <w:rFonts w:hint="eastAsia" w:ascii="宋体" w:hAnsi="宋体" w:eastAsia="宋体" w:cs="宋体"/>
          <w:i w:val="0"/>
          <w:iCs/>
          <w:color w:val="000000"/>
          <w:highlight w:val="none"/>
          <w:u w:val="none"/>
        </w:rPr>
        <w:t xml:space="preserve">、开标一览表</w:t>
      </w:r>
      <w:r/>
    </w:p>
    <w:p>
      <w:pPr>
        <w:pStyle w:val="710"/>
        <w:ind w:firstLine="480"/>
        <w:jc w:val="both"/>
        <w:spacing w:beforeAutospacing="0" w:afterAutospacing="0" w:line="0" w:lineRule="atLeast"/>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 xml:space="preserve">十四、</w:t>
      </w:r>
      <w:r>
        <w:rPr>
          <w:rFonts w:hint="eastAsia" w:ascii="宋体" w:hAnsi="宋体" w:eastAsia="宋体" w:cs="宋体"/>
          <w:i w:val="0"/>
          <w:iCs/>
          <w:color w:val="000000"/>
          <w:highlight w:val="none"/>
          <w:u w:val="none"/>
        </w:rPr>
        <w:t xml:space="preserve">技术方案、服务承诺、培训承诺等</w:t>
      </w:r>
      <w:r/>
    </w:p>
    <w:p>
      <w:pPr>
        <w:pStyle w:val="710"/>
        <w:ind w:firstLine="480"/>
        <w:jc w:val="both"/>
        <w:spacing w:beforeAutospacing="0" w:afterAutospacing="0" w:line="0" w:lineRule="atLeast"/>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五</w:t>
      </w:r>
      <w:r>
        <w:rPr>
          <w:rFonts w:hint="eastAsia" w:ascii="宋体" w:hAnsi="宋体" w:eastAsia="宋体" w:cs="宋体"/>
          <w:i w:val="0"/>
          <w:iCs/>
          <w:color w:val="000000"/>
          <w:highlight w:val="none"/>
          <w:u w:val="none"/>
        </w:rPr>
        <w:t xml:space="preserve">、盐城市政府采购事前信用承诺书</w:t>
      </w:r>
      <w:r/>
    </w:p>
    <w:p>
      <w:pPr>
        <w:pStyle w:val="710"/>
        <w:ind w:firstLine="480"/>
        <w:jc w:val="both"/>
        <w:spacing w:beforeAutospacing="0" w:afterAutospacing="0" w:line="0" w:lineRule="atLeast"/>
        <w:rPr>
          <w:rFonts w:ascii="宋体" w:hAnsi="宋体" w:eastAsia="宋体" w:cs="宋体"/>
          <w:color w:val="000000"/>
          <w:highlight w:val="none"/>
        </w:rPr>
      </w:pPr>
      <w:r>
        <w:rPr>
          <w:rFonts w:ascii="宋体" w:hAnsi="宋体" w:eastAsia="宋体" w:cs="宋体"/>
          <w:color w:val="000000"/>
          <w:highlight w:val="none"/>
        </w:rPr>
      </w:r>
      <w:r/>
    </w:p>
    <w:p>
      <w:pPr>
        <w:pStyle w:val="710"/>
        <w:ind w:firstLine="480"/>
        <w:jc w:val="both"/>
        <w:spacing w:beforeAutospacing="0" w:afterAutospacing="0" w:line="0" w:lineRule="atLeast"/>
        <w:rPr>
          <w:rFonts w:ascii="宋体" w:hAnsi="宋体" w:eastAsia="宋体" w:cs="宋体"/>
          <w:color w:val="000000"/>
          <w:highlight w:val="none"/>
        </w:rPr>
      </w:pPr>
      <w:r>
        <w:rPr>
          <w:rFonts w:ascii="宋体" w:hAnsi="宋体" w:eastAsia="宋体" w:cs="宋体"/>
          <w:color w:val="000000"/>
          <w:highlight w:val="none"/>
        </w:rPr>
      </w:r>
      <w:r/>
    </w:p>
    <w:p>
      <w:pPr>
        <w:pStyle w:val="710"/>
        <w:ind w:firstLine="480"/>
        <w:jc w:val="both"/>
        <w:spacing w:beforeAutospacing="0" w:afterAutospacing="0" w:line="0" w:lineRule="atLeast"/>
        <w:rPr>
          <w:rFonts w:ascii="宋体" w:hAnsi="宋体" w:eastAsia="宋体" w:cs="宋体"/>
          <w:color w:val="000000"/>
          <w:highlight w:val="none"/>
        </w:rPr>
      </w:pPr>
      <w:r>
        <w:rPr>
          <w:rFonts w:ascii="宋体" w:hAnsi="宋体" w:eastAsia="宋体" w:cs="宋体"/>
          <w:color w:val="000000"/>
          <w:highlight w:val="none"/>
        </w:rPr>
      </w:r>
      <w:r/>
    </w:p>
    <w:p>
      <w:pPr>
        <w:pStyle w:val="710"/>
        <w:ind w:firstLine="480"/>
        <w:jc w:val="both"/>
        <w:spacing w:beforeAutospacing="0" w:afterAutospacing="0" w:line="0" w:lineRule="atLeast"/>
        <w:rPr>
          <w:rFonts w:ascii="宋体" w:hAnsi="宋体" w:eastAsia="宋体" w:cs="宋体"/>
          <w:color w:val="000000"/>
          <w:highlight w:val="none"/>
        </w:rPr>
      </w:pPr>
      <w:r>
        <w:rPr>
          <w:rFonts w:ascii="宋体" w:hAnsi="宋体" w:eastAsia="宋体" w:cs="宋体"/>
          <w:color w:val="000000"/>
          <w:highlight w:val="none"/>
        </w:rPr>
      </w:r>
      <w:r/>
    </w:p>
    <w:p>
      <w:pPr>
        <w:pStyle w:val="710"/>
        <w:ind w:firstLine="480"/>
        <w:jc w:val="both"/>
        <w:spacing w:beforeAutospacing="0" w:afterAutospacing="0" w:line="0" w:lineRule="atLeast"/>
        <w:rPr>
          <w:rFonts w:ascii="宋体" w:hAnsi="宋体" w:eastAsia="宋体" w:cs="宋体"/>
          <w:color w:val="000000"/>
          <w:highlight w:val="none"/>
        </w:rPr>
      </w:pPr>
      <w:r>
        <w:rPr>
          <w:rFonts w:ascii="宋体" w:hAnsi="宋体" w:eastAsia="宋体" w:cs="宋体"/>
          <w:color w:val="000000"/>
          <w:highlight w:val="none"/>
        </w:rPr>
      </w:r>
      <w:r/>
    </w:p>
    <w:p>
      <w:pPr>
        <w:pStyle w:val="710"/>
        <w:ind w:firstLine="480"/>
        <w:jc w:val="both"/>
        <w:spacing w:beforeAutospacing="0" w:afterAutospacing="0" w:line="0" w:lineRule="atLeast"/>
        <w:rPr>
          <w:rFonts w:ascii="宋体" w:hAnsi="宋体" w:eastAsia="宋体" w:cs="宋体"/>
          <w:color w:val="000000"/>
          <w:highlight w:val="none"/>
        </w:rPr>
      </w:pPr>
      <w:r>
        <w:rPr>
          <w:rFonts w:ascii="宋体" w:hAnsi="宋体" w:eastAsia="宋体" w:cs="宋体"/>
          <w:color w:val="000000"/>
          <w:highlight w:val="none"/>
        </w:rPr>
      </w:r>
      <w:r/>
    </w:p>
    <w:p>
      <w:pPr>
        <w:pStyle w:val="710"/>
        <w:ind w:firstLine="480"/>
        <w:jc w:val="both"/>
        <w:spacing w:beforeAutospacing="0" w:afterAutospacing="0" w:line="0" w:lineRule="atLeast"/>
        <w:rPr>
          <w:rFonts w:ascii="宋体" w:hAnsi="宋体" w:eastAsia="宋体" w:cs="宋体"/>
          <w:color w:val="000000"/>
          <w:highlight w:val="none"/>
        </w:rPr>
      </w:pPr>
      <w:r>
        <w:rPr>
          <w:rFonts w:ascii="宋体" w:hAnsi="宋体" w:eastAsia="宋体" w:cs="宋体"/>
          <w:color w:val="000000"/>
          <w:highlight w:val="none"/>
        </w:rPr>
      </w:r>
      <w:r/>
    </w:p>
    <w:p>
      <w:pPr>
        <w:pStyle w:val="710"/>
        <w:ind w:firstLine="480"/>
        <w:jc w:val="both"/>
        <w:spacing w:beforeAutospacing="0" w:afterAutospacing="0" w:line="0" w:lineRule="atLeast"/>
        <w:rPr>
          <w:rFonts w:ascii="宋体" w:hAnsi="宋体" w:eastAsia="宋体" w:cs="宋体"/>
          <w:color w:val="000000"/>
          <w:highlight w:val="none"/>
        </w:rPr>
      </w:pPr>
      <w:r>
        <w:rPr>
          <w:rFonts w:ascii="宋体" w:hAnsi="宋体" w:eastAsia="宋体" w:cs="宋体"/>
          <w:color w:val="000000"/>
          <w:highlight w:val="none"/>
        </w:rPr>
      </w:r>
      <w:r/>
    </w:p>
    <w:p>
      <w:pPr>
        <w:pStyle w:val="710"/>
        <w:ind w:firstLine="480"/>
        <w:jc w:val="both"/>
        <w:spacing w:beforeAutospacing="0" w:afterAutospacing="0" w:line="0" w:lineRule="atLeast"/>
        <w:rPr>
          <w:rFonts w:ascii="宋体" w:hAnsi="宋体" w:eastAsia="宋体" w:cs="宋体"/>
          <w:color w:val="000000"/>
          <w:highlight w:val="none"/>
        </w:rPr>
      </w:pPr>
      <w:r>
        <w:rPr>
          <w:rFonts w:ascii="宋体" w:hAnsi="宋体" w:eastAsia="宋体" w:cs="宋体"/>
          <w:color w:val="000000"/>
          <w:highlight w:val="none"/>
        </w:rPr>
      </w:r>
      <w:r/>
    </w:p>
    <w:p>
      <w:pPr>
        <w:pStyle w:val="710"/>
        <w:ind w:firstLine="480"/>
        <w:jc w:val="both"/>
        <w:spacing w:beforeAutospacing="0" w:afterAutospacing="0" w:line="0" w:lineRule="atLeast"/>
        <w:rPr>
          <w:rFonts w:ascii="宋体" w:hAnsi="宋体" w:eastAsia="宋体" w:cs="宋体"/>
          <w:color w:val="000000"/>
          <w:highlight w:val="none"/>
        </w:rPr>
      </w:pPr>
      <w:r>
        <w:rPr>
          <w:rFonts w:ascii="宋体" w:hAnsi="宋体" w:eastAsia="宋体" w:cs="宋体"/>
          <w:color w:val="000000"/>
          <w:highlight w:val="none"/>
        </w:rPr>
      </w:r>
      <w:r/>
    </w:p>
    <w:p>
      <w:pPr>
        <w:pStyle w:val="710"/>
        <w:ind w:firstLine="480"/>
        <w:jc w:val="both"/>
        <w:spacing w:beforeAutospacing="0" w:afterAutospacing="0" w:line="0" w:lineRule="atLeast"/>
        <w:rPr>
          <w:rFonts w:ascii="宋体" w:hAnsi="宋体" w:eastAsia="宋体" w:cs="宋体"/>
          <w:color w:val="000000"/>
          <w:highlight w:val="none"/>
        </w:rPr>
      </w:pPr>
      <w:r>
        <w:rPr>
          <w:rFonts w:ascii="宋体" w:hAnsi="宋体" w:eastAsia="宋体" w:cs="宋体"/>
          <w:color w:val="000000"/>
          <w:highlight w:val="none"/>
        </w:rPr>
      </w:r>
      <w:r/>
    </w:p>
    <w:p>
      <w:pPr>
        <w:pStyle w:val="710"/>
        <w:ind w:firstLine="480"/>
        <w:jc w:val="both"/>
        <w:spacing w:beforeAutospacing="0" w:afterAutospacing="0" w:line="0" w:lineRule="atLeast"/>
        <w:rPr>
          <w:rFonts w:ascii="宋体" w:hAnsi="宋体" w:eastAsia="宋体" w:cs="宋体"/>
          <w:color w:val="000000"/>
          <w:highlight w:val="none"/>
        </w:rPr>
      </w:pPr>
      <w:r>
        <w:rPr>
          <w:rFonts w:ascii="宋体" w:hAnsi="宋体" w:eastAsia="宋体" w:cs="宋体"/>
          <w:color w:val="000000"/>
          <w:highlight w:val="none"/>
        </w:rPr>
      </w:r>
      <w:r/>
    </w:p>
    <w:p>
      <w:pPr>
        <w:pStyle w:val="710"/>
        <w:ind w:firstLine="480"/>
        <w:jc w:val="both"/>
        <w:spacing w:beforeAutospacing="0" w:afterAutospacing="0" w:line="0" w:lineRule="atLeast"/>
        <w:rPr>
          <w:rFonts w:ascii="宋体" w:hAnsi="宋体" w:eastAsia="宋体" w:cs="宋体"/>
          <w:color w:val="000000"/>
          <w:highlight w:val="none"/>
        </w:rPr>
      </w:pPr>
      <w:r>
        <w:rPr>
          <w:rFonts w:ascii="宋体" w:hAnsi="宋体" w:eastAsia="宋体" w:cs="宋体"/>
          <w:color w:val="000000"/>
          <w:highlight w:val="none"/>
        </w:rPr>
      </w:r>
      <w:r/>
    </w:p>
    <w:p>
      <w:pPr>
        <w:pStyle w:val="710"/>
        <w:ind w:firstLine="480"/>
        <w:jc w:val="both"/>
        <w:spacing w:beforeAutospacing="0" w:afterAutospacing="0" w:line="0" w:lineRule="atLeast"/>
        <w:rPr>
          <w:rFonts w:ascii="宋体" w:hAnsi="宋体" w:eastAsia="宋体" w:cs="宋体"/>
          <w:color w:val="000000"/>
          <w:highlight w:val="none"/>
        </w:rPr>
      </w:pPr>
      <w:r>
        <w:rPr>
          <w:rFonts w:ascii="宋体" w:hAnsi="宋体" w:eastAsia="宋体" w:cs="宋体"/>
          <w:color w:val="000000"/>
          <w:highlight w:val="none"/>
        </w:rPr>
      </w:r>
      <w:r/>
    </w:p>
    <w:p>
      <w:pPr>
        <w:pStyle w:val="710"/>
        <w:ind w:firstLine="480"/>
        <w:jc w:val="both"/>
        <w:spacing w:beforeAutospacing="0" w:afterAutospacing="0" w:line="0" w:lineRule="atLeast"/>
        <w:rPr>
          <w:rFonts w:ascii="宋体" w:hAnsi="宋体" w:eastAsia="宋体" w:cs="宋体"/>
          <w:color w:val="000000"/>
          <w:highlight w:val="none"/>
        </w:rPr>
      </w:pPr>
      <w:r>
        <w:rPr>
          <w:rFonts w:ascii="宋体" w:hAnsi="宋体" w:eastAsia="宋体" w:cs="宋体"/>
          <w:color w:val="000000"/>
          <w:highlight w:val="none"/>
        </w:rPr>
      </w:r>
      <w:r/>
    </w:p>
    <w:p>
      <w:pPr>
        <w:pStyle w:val="710"/>
        <w:ind w:firstLine="480"/>
        <w:jc w:val="both"/>
        <w:spacing w:beforeAutospacing="0" w:afterAutospacing="0" w:line="0" w:lineRule="atLeast"/>
        <w:rPr>
          <w:rFonts w:ascii="宋体" w:hAnsi="宋体" w:eastAsia="宋体" w:cs="宋体"/>
          <w:color w:val="000000"/>
          <w:highlight w:val="none"/>
        </w:rPr>
      </w:pPr>
      <w:r>
        <w:rPr>
          <w:rFonts w:ascii="宋体" w:hAnsi="宋体" w:eastAsia="宋体" w:cs="宋体"/>
          <w:color w:val="000000"/>
          <w:highlight w:val="none"/>
        </w:rPr>
      </w:r>
      <w:r/>
    </w:p>
    <w:p>
      <w:pPr>
        <w:pStyle w:val="710"/>
        <w:ind w:firstLine="480"/>
        <w:jc w:val="both"/>
        <w:spacing w:beforeAutospacing="0" w:afterAutospacing="0" w:line="0" w:lineRule="atLeast"/>
        <w:rPr>
          <w:rFonts w:ascii="宋体" w:hAnsi="宋体" w:eastAsia="宋体" w:cs="宋体"/>
          <w:color w:val="000000"/>
          <w:highlight w:val="none"/>
        </w:rPr>
      </w:pPr>
      <w:r>
        <w:rPr>
          <w:rFonts w:ascii="宋体" w:hAnsi="宋体" w:eastAsia="宋体" w:cs="宋体"/>
          <w:color w:val="000000"/>
          <w:highlight w:val="none"/>
        </w:rPr>
      </w:r>
      <w:r/>
    </w:p>
    <w:p>
      <w:pPr>
        <w:pStyle w:val="710"/>
        <w:ind w:firstLine="480"/>
        <w:jc w:val="both"/>
        <w:spacing w:beforeAutospacing="0" w:afterAutospacing="0" w:line="0" w:lineRule="atLeast"/>
        <w:rPr>
          <w:rFonts w:ascii="宋体" w:hAnsi="宋体" w:eastAsia="宋体" w:cs="宋体"/>
          <w:color w:val="000000"/>
          <w:highlight w:val="none"/>
        </w:rPr>
      </w:pPr>
      <w:r>
        <w:rPr>
          <w:rFonts w:ascii="宋体" w:hAnsi="宋体" w:eastAsia="宋体" w:cs="宋体"/>
          <w:color w:val="000000"/>
          <w:highlight w:val="none"/>
        </w:rPr>
      </w:r>
      <w:r/>
    </w:p>
    <w:p>
      <w:pPr>
        <w:pStyle w:val="710"/>
        <w:ind w:firstLine="480"/>
        <w:jc w:val="both"/>
        <w:spacing w:beforeAutospacing="0" w:afterAutospacing="0" w:line="0" w:lineRule="atLeast"/>
        <w:rPr>
          <w:rFonts w:ascii="宋体" w:hAnsi="宋体" w:eastAsia="宋体" w:cs="宋体"/>
          <w:color w:val="000000"/>
          <w:highlight w:val="none"/>
        </w:rPr>
      </w:pPr>
      <w:r>
        <w:rPr>
          <w:rFonts w:ascii="宋体" w:hAnsi="宋体" w:eastAsia="宋体" w:cs="宋体"/>
          <w:color w:val="000000"/>
          <w:highlight w:val="none"/>
        </w:rPr>
      </w:r>
      <w:r/>
    </w:p>
    <w:p>
      <w:pPr>
        <w:pStyle w:val="710"/>
        <w:jc w:val="both"/>
        <w:spacing w:beforeAutospacing="0" w:afterAutospacing="0" w:line="0" w:lineRule="atLeast"/>
        <w:rPr>
          <w:highlight w:val="none"/>
        </w:rPr>
      </w:pPr>
      <w:r>
        <w:rPr>
          <w:rFonts w:hint="eastAsia" w:ascii="黑体" w:hAnsi="宋体" w:eastAsia="黑体" w:cs="黑体"/>
          <w:i/>
          <w:color w:val="000000"/>
          <w:sz w:val="32"/>
          <w:szCs w:val="32"/>
          <w:highlight w:val="none"/>
          <w:u w:val="single"/>
        </w:rPr>
        <w:t xml:space="preserve">一、法人或者其他组织的营业执照等证明文件，自然人的身份证明</w:t>
      </w:r>
      <w:r/>
    </w:p>
    <w:p>
      <w:pPr>
        <w:pStyle w:val="710"/>
        <w:ind w:firstLine="480"/>
        <w:jc w:val="both"/>
        <w:spacing w:beforeAutospacing="0" w:afterAutospacing="0" w:line="0" w:lineRule="atLeast"/>
        <w:rPr>
          <w:highlight w:val="none"/>
        </w:rPr>
      </w:pPr>
      <w:r>
        <w:rPr>
          <w:highlight w:val="none"/>
        </w:rPr>
        <w:t xml:space="preserve"> </w:t>
      </w:r>
      <w:r/>
    </w:p>
    <w:p>
      <w:pPr>
        <w:pStyle w:val="710"/>
        <w:jc w:val="both"/>
        <w:spacing w:beforeAutospacing="0" w:afterAutospacing="0"/>
        <w:rPr>
          <w:rFonts w:hint="eastAsia" w:ascii="宋体" w:hAnsi="宋体" w:eastAsia="宋体" w:cs="宋体"/>
          <w:color w:val="000000"/>
          <w:highlight w:val="none"/>
        </w:rPr>
      </w:pPr>
      <w:r>
        <w:rPr>
          <w:rFonts w:hint="eastAsia" w:ascii="黑体" w:hAnsi="宋体" w:eastAsia="黑体" w:cs="黑体"/>
          <w:i/>
          <w:color w:val="000000"/>
          <w:sz w:val="32"/>
          <w:szCs w:val="32"/>
          <w:highlight w:val="none"/>
          <w:u w:val="single"/>
        </w:rPr>
        <w:t xml:space="preserve">二、</w:t>
      </w:r>
      <w:r>
        <w:rPr>
          <w:rFonts w:hint="eastAsia" w:ascii="黑体" w:hAnsi="宋体" w:eastAsia="黑体" w:cs="黑体"/>
          <w:i/>
          <w:color w:val="000000"/>
          <w:sz w:val="32"/>
          <w:szCs w:val="32"/>
          <w:highlight w:val="none"/>
          <w:u w:val="single"/>
          <w:lang w:eastAsia="zh-CN"/>
        </w:rPr>
        <w:t xml:space="preserve">上一年度（2025年度）的财务状况报告</w:t>
      </w:r>
      <w:r>
        <w:rPr>
          <w:rFonts w:hint="eastAsia" w:ascii="宋体" w:hAnsi="宋体" w:eastAsia="宋体" w:cs="宋体"/>
          <w:color w:val="000000"/>
          <w:highlight w:val="none"/>
          <w:lang w:eastAsia="zh-CN"/>
        </w:rPr>
        <w:t xml:space="preserve">（财务报告至少应当包括资产负债表、利润表，距投标截止之日止，成立不足一年的供应商，可不提供财务报告）</w:t>
      </w:r>
      <w:r>
        <w:rPr>
          <w:rFonts w:hint="eastAsia" w:ascii="宋体" w:hAnsi="宋体" w:eastAsia="宋体" w:cs="宋体"/>
          <w:color w:val="000000"/>
          <w:highlight w:val="none"/>
        </w:rPr>
        <w:t xml:space="preserve"> </w:t>
      </w:r>
      <w:r/>
    </w:p>
    <w:p>
      <w:pPr>
        <w:pStyle w:val="710"/>
        <w:jc w:val="both"/>
        <w:spacing w:beforeAutospacing="0" w:afterAutospacing="0"/>
        <w:rPr>
          <w:highlight w:val="none"/>
        </w:rPr>
      </w:pPr>
      <w:r>
        <w:rPr>
          <w:rFonts w:hint="eastAsia" w:ascii="黑体" w:hAnsi="宋体" w:eastAsia="黑体" w:cs="黑体"/>
          <w:i/>
          <w:color w:val="000000"/>
          <w:sz w:val="32"/>
          <w:szCs w:val="32"/>
          <w:highlight w:val="none"/>
          <w:u w:val="single"/>
          <w:lang w:val="en-US" w:eastAsia="zh-CN"/>
        </w:rPr>
        <w:t xml:space="preserve">三</w:t>
      </w:r>
      <w:r>
        <w:rPr>
          <w:rFonts w:hint="eastAsia" w:ascii="黑体" w:hAnsi="宋体" w:eastAsia="黑体" w:cs="黑体"/>
          <w:i/>
          <w:color w:val="000000"/>
          <w:sz w:val="32"/>
          <w:szCs w:val="32"/>
          <w:highlight w:val="none"/>
          <w:u w:val="single"/>
        </w:rPr>
        <w:t xml:space="preserve">、具备履行合同所必需的设备和专业技术能力的书面声明</w:t>
      </w:r>
      <w:r/>
    </w:p>
    <w:p>
      <w:pPr>
        <w:pStyle w:val="710"/>
        <w:ind w:firstLine="492"/>
        <w:jc w:val="both"/>
        <w:spacing w:beforeAutospacing="0" w:afterAutospacing="0" w:line="0" w:lineRule="atLeast"/>
        <w:rPr>
          <w:highlight w:val="none"/>
        </w:rPr>
      </w:pPr>
      <w:r>
        <w:rPr>
          <w:rFonts w:hint="eastAsia" w:ascii="宋体" w:hAnsi="宋体" w:eastAsia="宋体" w:cs="宋体"/>
          <w:color w:val="000000"/>
          <w:highlight w:val="none"/>
        </w:rPr>
        <w:t xml:space="preserve">我单位郑重声明：我单位具备履行本项采购合同所必需的设备和专业技术能力，为履行本项采购合同我公司具备如下主要设备和主要专业技术能力：</w:t>
      </w:r>
      <w:r/>
    </w:p>
    <w:p>
      <w:pPr>
        <w:pStyle w:val="710"/>
        <w:ind w:firstLine="492"/>
        <w:jc w:val="both"/>
        <w:spacing w:beforeAutospacing="0" w:afterAutospacing="0" w:line="0" w:lineRule="atLeast"/>
        <w:rPr>
          <w:highlight w:val="none"/>
        </w:rPr>
      </w:pPr>
      <w:r>
        <w:rPr>
          <w:rFonts w:hint="eastAsia" w:ascii="宋体" w:hAnsi="宋体" w:eastAsia="宋体" w:cs="宋体"/>
          <w:color w:val="000000"/>
          <w:highlight w:val="none"/>
        </w:rPr>
        <w:t xml:space="preserve">主要设备有：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p>
    <w:p>
      <w:pPr>
        <w:pStyle w:val="710"/>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t xml:space="preserve">主要专业技术能力有：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p>
    <w:p>
      <w:pPr>
        <w:pStyle w:val="710"/>
        <w:jc w:val="both"/>
        <w:spacing w:beforeAutospacing="0" w:afterAutospacing="0"/>
        <w:rPr>
          <w:highlight w:val="none"/>
        </w:rPr>
      </w:pPr>
      <w:r>
        <w:rPr>
          <w:rFonts w:hint="eastAsia" w:ascii="黑体" w:hAnsi="宋体" w:eastAsia="黑体" w:cs="黑体"/>
          <w:i/>
          <w:color w:val="000000"/>
          <w:sz w:val="32"/>
          <w:szCs w:val="32"/>
          <w:highlight w:val="none"/>
          <w:u w:val="single"/>
          <w:lang w:val="en-US" w:eastAsia="zh-CN"/>
        </w:rPr>
        <w:t xml:space="preserve">四</w:t>
      </w:r>
      <w:r>
        <w:rPr>
          <w:rFonts w:hint="eastAsia" w:ascii="黑体" w:hAnsi="宋体" w:eastAsia="黑体" w:cs="黑体"/>
          <w:i/>
          <w:color w:val="000000"/>
          <w:sz w:val="32"/>
          <w:szCs w:val="32"/>
          <w:highlight w:val="none"/>
          <w:u w:val="single"/>
        </w:rPr>
        <w:t xml:space="preserve">、依法缴纳税收和社会保障资金的相关材料</w:t>
      </w:r>
      <w:r/>
    </w:p>
    <w:p>
      <w:pPr>
        <w:pStyle w:val="710"/>
        <w:ind w:firstLine="480"/>
        <w:jc w:val="both"/>
        <w:spacing w:beforeAutospacing="0" w:afterAutospacing="0"/>
        <w:rPr>
          <w:highlight w:val="none"/>
        </w:rPr>
      </w:pPr>
      <w:r/>
      <w:bookmarkStart w:id="191" w:name="_Toc120614284"/>
      <w:r>
        <w:rPr>
          <w:rFonts w:hint="eastAsia" w:ascii="宋体" w:hAnsi="宋体" w:eastAsia="宋体" w:cs="宋体"/>
          <w:color w:val="000000"/>
          <w:highlight w:val="none"/>
        </w:rPr>
        <w:t xml:space="preserve">提供提交投标文件截止时间前一年内至少一个月依法缴纳税收及缴纳社会保障资金的证明材料。投标人依法享受缓缴、免缴税收、社会保障资金的提供证明材料。</w:t>
      </w:r>
      <w:bookmarkEnd w:id="191"/>
      <w:r/>
      <w:r/>
    </w:p>
    <w:p>
      <w:pPr>
        <w:pStyle w:val="710"/>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710"/>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710"/>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710"/>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710"/>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710"/>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710"/>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710"/>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710"/>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710"/>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710"/>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710"/>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710"/>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710"/>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710"/>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710"/>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710"/>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710"/>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710"/>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710"/>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710"/>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710"/>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710"/>
        <w:jc w:val="both"/>
        <w:spacing w:beforeAutospacing="0" w:afterAutospacing="0"/>
        <w:rPr>
          <w:highlight w:val="none"/>
        </w:rPr>
      </w:pPr>
      <w:r>
        <w:rPr>
          <w:rFonts w:hint="eastAsia" w:ascii="黑体" w:hAnsi="宋体" w:eastAsia="黑体" w:cs="黑体"/>
          <w:i/>
          <w:color w:val="000000"/>
          <w:sz w:val="32"/>
          <w:szCs w:val="32"/>
          <w:highlight w:val="none"/>
          <w:u w:val="single"/>
        </w:rPr>
        <w:t xml:space="preserve">五、参加政府采购活动前 3 年内在经营活动中没有重大违法记录的书面声明</w:t>
      </w:r>
      <w:r/>
    </w:p>
    <w:p>
      <w:pPr>
        <w:pStyle w:val="710"/>
        <w:jc w:val="both"/>
        <w:spacing w:beforeAutospacing="0" w:afterAutospacing="0" w:line="0" w:lineRule="atLeast"/>
        <w:rPr>
          <w:highlight w:val="none"/>
        </w:rPr>
      </w:pPr>
      <w:r>
        <w:rPr>
          <w:rFonts w:hint="eastAsia" w:ascii="宋体" w:hAnsi="宋体" w:eastAsia="宋体" w:cs="宋体"/>
          <w:b/>
          <w:color w:val="000000"/>
          <w:sz w:val="44"/>
          <w:szCs w:val="44"/>
          <w:highlight w:val="none"/>
        </w:rPr>
        <w:t xml:space="preserve">       声  明</w:t>
      </w:r>
      <w:r/>
    </w:p>
    <w:p>
      <w:pPr>
        <w:pStyle w:val="710"/>
        <w:jc w:val="both"/>
        <w:spacing w:beforeAutospacing="0" w:afterAutospacing="0" w:line="0" w:lineRule="atLeast"/>
        <w:rPr>
          <w:highlight w:val="none"/>
        </w:rPr>
      </w:pPr>
      <w:r>
        <w:rPr>
          <w:rFonts w:hint="eastAsia" w:ascii="宋体" w:hAnsi="宋体" w:eastAsia="宋体" w:cs="宋体"/>
          <w:b/>
          <w:color w:val="000000"/>
          <w:highlight w:val="none"/>
        </w:rPr>
        <w:t xml:space="preserve">    </w:t>
      </w:r>
      <w:r>
        <w:rPr>
          <w:rFonts w:hint="eastAsia" w:ascii="宋体" w:hAnsi="宋体" w:eastAsia="宋体" w:cs="宋体"/>
          <w:color w:val="000000"/>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710"/>
        <w:jc w:val="both"/>
        <w:spacing w:beforeAutospacing="0" w:afterAutospacing="0"/>
        <w:rPr>
          <w:rFonts w:hint="eastAsia" w:ascii="黑体" w:hAnsi="宋体" w:eastAsia="黑体" w:cs="黑体"/>
          <w:i/>
          <w:color w:val="000000"/>
          <w:sz w:val="32"/>
          <w:szCs w:val="32"/>
          <w:highlight w:val="none"/>
          <w:u w:val="single"/>
        </w:rPr>
      </w:pPr>
      <w:r>
        <w:rPr>
          <w:highlight w:val="none"/>
        </w:rPr>
        <w:t xml:space="preserve"> </w:t>
      </w:r>
      <w:r/>
    </w:p>
    <w:p>
      <w:pPr>
        <w:pStyle w:val="710"/>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710"/>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710"/>
        <w:jc w:val="both"/>
        <w:spacing w:beforeAutospacing="0" w:afterAutospacing="0"/>
        <w:rPr>
          <w:highlight w:val="none"/>
        </w:rPr>
      </w:pPr>
      <w:r>
        <w:rPr>
          <w:rFonts w:hint="eastAsia" w:ascii="黑体" w:hAnsi="宋体" w:eastAsia="黑体" w:cs="黑体"/>
          <w:i/>
          <w:color w:val="000000"/>
          <w:sz w:val="32"/>
          <w:szCs w:val="32"/>
          <w:highlight w:val="none"/>
          <w:u w:val="single"/>
        </w:rPr>
        <w:t xml:space="preserve">六、特定资格要求的证明文件</w:t>
      </w:r>
      <w:r/>
    </w:p>
    <w:p>
      <w:pPr>
        <w:pStyle w:val="710"/>
        <w:jc w:val="both"/>
        <w:spacing w:beforeAutospacing="0" w:afterAutospacing="0" w:line="0" w:lineRule="atLeast"/>
        <w:rPr>
          <w:highlight w:val="none"/>
        </w:rPr>
      </w:pPr>
      <w:r>
        <w:rPr>
          <w:rFonts w:hint="eastAsia" w:ascii="宋体" w:hAnsi="宋体" w:eastAsia="宋体" w:cs="宋体"/>
          <w:color w:val="000000"/>
          <w:highlight w:val="none"/>
        </w:rPr>
        <w:t xml:space="preserve">    如果本项目申请人的特定资格要求中要求提供的，必须提供。</w:t>
      </w:r>
      <w:r/>
    </w:p>
    <w:p>
      <w:pPr>
        <w:pStyle w:val="710"/>
        <w:jc w:val="both"/>
        <w:spacing w:beforeAutospacing="0" w:afterAutospacing="0" w:line="0" w:lineRule="atLeast"/>
        <w:rPr>
          <w:highlight w:val="none"/>
        </w:rPr>
      </w:pPr>
      <w:r>
        <w:rPr>
          <w:highlight w:val="none"/>
        </w:rPr>
        <w:t xml:space="preserve"> </w:t>
      </w:r>
      <w:r/>
    </w:p>
    <w:p>
      <w:pPr>
        <w:pStyle w:val="710"/>
        <w:jc w:val="left"/>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710"/>
        <w:jc w:val="left"/>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710"/>
        <w:jc w:val="left"/>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710"/>
        <w:jc w:val="left"/>
        <w:spacing w:beforeAutospacing="0" w:afterAutospacing="0"/>
        <w:rPr>
          <w:highlight w:val="none"/>
        </w:rPr>
      </w:pPr>
      <w:r>
        <w:rPr>
          <w:rFonts w:hint="eastAsia" w:ascii="黑体" w:hAnsi="宋体" w:eastAsia="黑体" w:cs="黑体"/>
          <w:i/>
          <w:color w:val="000000"/>
          <w:sz w:val="32"/>
          <w:szCs w:val="32"/>
          <w:highlight w:val="none"/>
          <w:u w:val="single"/>
        </w:rPr>
        <w:t xml:space="preserve">七、法人授权书</w:t>
      </w:r>
      <w:r/>
    </w:p>
    <w:p>
      <w:pPr>
        <w:pStyle w:val="710"/>
        <w:ind w:firstLine="480"/>
        <w:jc w:val="both"/>
        <w:spacing w:beforeAutospacing="0" w:afterAutospacing="0"/>
        <w:tabs>
          <w:tab w:val="left" w:pos="360" w:leader="none"/>
        </w:tabs>
        <w:rPr>
          <w:rFonts w:ascii="Times New Roman" w:hAnsi="Times New Roman"/>
          <w:color w:val="000000"/>
          <w:highlight w:val="none"/>
        </w:rPr>
      </w:pPr>
      <w:r>
        <w:rPr>
          <w:rFonts w:ascii="Times New Roman" w:hAnsi="Times New Roman"/>
          <w:color w:val="000000"/>
          <w:highlight w:val="none"/>
        </w:rPr>
      </w:r>
      <w:r/>
    </w:p>
    <w:p>
      <w:pPr>
        <w:pStyle w:val="710"/>
        <w:ind w:firstLine="480"/>
        <w:jc w:val="both"/>
        <w:spacing w:beforeAutospacing="0" w:afterAutospacing="0"/>
        <w:tabs>
          <w:tab w:val="left" w:pos="360" w:leader="none"/>
        </w:tabs>
        <w:rPr>
          <w:rFonts w:ascii="Times New Roman" w:hAnsi="Times New Roman"/>
          <w:color w:val="000000"/>
          <w:highlight w:val="none"/>
        </w:rPr>
      </w:pPr>
      <w:r>
        <w:rPr>
          <w:rFonts w:ascii="Times New Roman" w:hAnsi="Times New Roman"/>
          <w:color w:val="000000"/>
          <w:highlight w:val="none"/>
        </w:rPr>
        <w:t xml:space="preserve">本授权书声明：____________（投标人名称）授权________________（被</w:t>
      </w:r>
      <w:r/>
    </w:p>
    <w:p>
      <w:pPr>
        <w:pStyle w:val="710"/>
        <w:jc w:val="both"/>
        <w:spacing w:beforeAutospacing="0" w:afterAutospacing="0"/>
        <w:tabs>
          <w:tab w:val="left" w:pos="360" w:leader="none"/>
        </w:tabs>
        <w:rPr>
          <w:rFonts w:ascii="Times New Roman" w:hAnsi="Times New Roman"/>
          <w:color w:val="000000"/>
          <w:highlight w:val="none"/>
        </w:rPr>
      </w:pPr>
      <w:r>
        <w:rPr>
          <w:rFonts w:ascii="Times New Roman" w:hAnsi="Times New Roman"/>
          <w:color w:val="000000"/>
          <w:highlight w:val="none"/>
        </w:rPr>
      </w:r>
      <w:r/>
    </w:p>
    <w:p>
      <w:pPr>
        <w:pStyle w:val="710"/>
        <w:jc w:val="both"/>
        <w:spacing w:beforeAutospacing="0" w:afterAutospacing="0"/>
        <w:tabs>
          <w:tab w:val="left" w:pos="360" w:leader="none"/>
        </w:tabs>
        <w:rPr>
          <w:rFonts w:ascii="Times New Roman" w:hAnsi="Times New Roman"/>
          <w:color w:val="000000"/>
          <w:highlight w:val="none"/>
        </w:rPr>
      </w:pPr>
      <w:r>
        <w:rPr>
          <w:rFonts w:ascii="Times New Roman" w:hAnsi="Times New Roman"/>
          <w:color w:val="000000"/>
          <w:highlight w:val="none"/>
        </w:rPr>
        <w:t xml:space="preserve">授权人的姓名）为我方就</w:t>
      </w:r>
      <w:r>
        <w:rPr>
          <w:rFonts w:ascii="Segoe UI" w:hAnsi="Segoe UI" w:eastAsia="Segoe UI" w:cs="Segoe UI"/>
          <w:i w:val="0"/>
          <w:iCs w:val="0"/>
          <w:caps w:val="0"/>
          <w:spacing w:val="0"/>
          <w:sz w:val="21"/>
          <w:szCs w:val="21"/>
          <w:shd w:val="clear" w:color="auto" w:fill="ffffff"/>
        </w:rPr>
        <w:t xml:space="preserve">JSZC-320923-ZCGL-G2026-0009</w:t>
      </w:r>
      <w:r>
        <w:rPr>
          <w:rFonts w:hint="eastAsia" w:ascii="Times New Roman" w:hAnsi="Times New Roman" w:eastAsia="宋体"/>
          <w:color w:val="000000"/>
          <w:highlight w:val="none"/>
          <w:lang w:val="en-US" w:eastAsia="zh-CN"/>
        </w:rPr>
        <w:t xml:space="preserve">（项目编号）</w:t>
      </w:r>
      <w:r>
        <w:rPr>
          <w:rFonts w:ascii="Times New Roman" w:hAnsi="Times New Roman"/>
          <w:color w:val="000000"/>
          <w:highlight w:val="none"/>
        </w:rPr>
        <w:t xml:space="preserve">项目采购活动的合</w:t>
      </w:r>
      <w:r/>
    </w:p>
    <w:p>
      <w:pPr>
        <w:pStyle w:val="710"/>
        <w:jc w:val="both"/>
        <w:spacing w:beforeAutospacing="0" w:afterAutospacing="0"/>
        <w:tabs>
          <w:tab w:val="left" w:pos="360" w:leader="none"/>
        </w:tabs>
        <w:rPr>
          <w:rFonts w:ascii="Times New Roman" w:hAnsi="Times New Roman"/>
          <w:color w:val="000000"/>
          <w:highlight w:val="none"/>
        </w:rPr>
      </w:pPr>
      <w:r>
        <w:rPr>
          <w:rFonts w:ascii="Times New Roman" w:hAnsi="Times New Roman"/>
          <w:color w:val="000000"/>
          <w:highlight w:val="none"/>
        </w:rPr>
      </w:r>
      <w:r/>
    </w:p>
    <w:p>
      <w:pPr>
        <w:pStyle w:val="710"/>
        <w:jc w:val="both"/>
        <w:spacing w:beforeAutospacing="0" w:afterAutospacing="0"/>
        <w:tabs>
          <w:tab w:val="left" w:pos="360" w:leader="none"/>
        </w:tabs>
        <w:rPr>
          <w:highlight w:val="none"/>
        </w:rPr>
      </w:pPr>
      <w:r>
        <w:rPr>
          <w:rFonts w:ascii="Times New Roman" w:hAnsi="Times New Roman"/>
          <w:color w:val="000000"/>
          <w:highlight w:val="none"/>
        </w:rPr>
        <w:t xml:space="preserve">法代理人，以本单位名义全权处理一切与该项目采购有关的事务。</w:t>
      </w:r>
      <w:r/>
    </w:p>
    <w:p>
      <w:pPr>
        <w:pStyle w:val="710"/>
        <w:ind w:firstLine="480"/>
        <w:jc w:val="both"/>
        <w:spacing w:beforeAutospacing="0" w:afterAutospacing="0"/>
        <w:tabs>
          <w:tab w:val="left" w:pos="360" w:leader="none"/>
        </w:tabs>
        <w:rPr>
          <w:rFonts w:ascii="Times New Roman" w:hAnsi="Times New Roman"/>
          <w:color w:val="000000"/>
          <w:highlight w:val="none"/>
        </w:rPr>
      </w:pPr>
      <w:r>
        <w:rPr>
          <w:rFonts w:ascii="Times New Roman" w:hAnsi="Times New Roman"/>
          <w:color w:val="000000"/>
          <w:highlight w:val="none"/>
        </w:rPr>
      </w:r>
      <w:r/>
    </w:p>
    <w:p>
      <w:pPr>
        <w:pStyle w:val="710"/>
        <w:ind w:firstLine="480"/>
        <w:jc w:val="both"/>
        <w:spacing w:beforeAutospacing="0" w:afterAutospacing="0"/>
        <w:tabs>
          <w:tab w:val="left" w:pos="360" w:leader="none"/>
        </w:tabs>
        <w:rPr>
          <w:highlight w:val="none"/>
        </w:rPr>
      </w:pPr>
      <w:r>
        <w:rPr>
          <w:rFonts w:ascii="Times New Roman" w:hAnsi="Times New Roman"/>
          <w:color w:val="000000"/>
          <w:highlight w:val="none"/>
        </w:rPr>
        <w:t xml:space="preserve">本授权书于______年____月____日起生效，特此声明。</w:t>
      </w:r>
      <w:r/>
    </w:p>
    <w:p>
      <w:pPr>
        <w:pStyle w:val="710"/>
        <w:jc w:val="both"/>
        <w:spacing w:beforeAutospacing="0" w:afterAutospacing="0"/>
        <w:tabs>
          <w:tab w:val="left" w:pos="360" w:leader="none"/>
        </w:tabs>
        <w:rPr>
          <w:rFonts w:ascii="Times New Roman" w:hAnsi="Times New Roman"/>
          <w:color w:val="000000"/>
          <w:highlight w:val="none"/>
        </w:rPr>
      </w:pPr>
      <w:r>
        <w:rPr>
          <w:rFonts w:ascii="Times New Roman" w:hAnsi="Times New Roman"/>
          <w:color w:val="000000"/>
          <w:highlight w:val="none"/>
        </w:rPr>
        <w:t xml:space="preserve">          </w:t>
      </w:r>
      <w:r/>
    </w:p>
    <w:p>
      <w:pPr>
        <w:pStyle w:val="710"/>
        <w:jc w:val="both"/>
        <w:spacing w:beforeAutospacing="0" w:afterAutospacing="0"/>
        <w:tabs>
          <w:tab w:val="left" w:pos="360" w:leader="none"/>
        </w:tabs>
        <w:rPr>
          <w:highlight w:val="none"/>
        </w:rPr>
      </w:pPr>
      <w:r>
        <w:rPr>
          <w:rFonts w:ascii="Times New Roman" w:hAnsi="Times New Roman"/>
          <w:color w:val="000000"/>
          <w:highlight w:val="none"/>
        </w:rPr>
        <w:t xml:space="preserve">被授权人身份证号码：</w:t>
      </w:r>
      <w:r>
        <w:rPr>
          <w:rFonts w:ascii="Times New Roman" w:hAnsi="Times New Roman"/>
          <w:color w:val="000000"/>
          <w:highlight w:val="none"/>
          <w:u w:val="single"/>
        </w:rPr>
        <w:t xml:space="preserve">                              </w:t>
      </w:r>
      <w:r/>
    </w:p>
    <w:p>
      <w:pPr>
        <w:pStyle w:val="710"/>
        <w:jc w:val="both"/>
        <w:spacing w:beforeAutospacing="0" w:afterAutospacing="0"/>
        <w:tabs>
          <w:tab w:val="left" w:pos="360" w:leader="none"/>
        </w:tabs>
        <w:rPr>
          <w:rFonts w:ascii="Times New Roman" w:hAnsi="Times New Roman"/>
          <w:color w:val="000000"/>
          <w:highlight w:val="none"/>
        </w:rPr>
      </w:pPr>
      <w:r>
        <w:rPr>
          <w:rFonts w:ascii="Times New Roman" w:hAnsi="Times New Roman"/>
          <w:color w:val="000000"/>
          <w:highlight w:val="none"/>
        </w:rPr>
        <w:t xml:space="preserve">          </w:t>
      </w:r>
      <w:r/>
    </w:p>
    <w:p>
      <w:pPr>
        <w:pStyle w:val="710"/>
        <w:jc w:val="both"/>
        <w:spacing w:beforeAutospacing="0" w:afterAutospacing="0"/>
        <w:tabs>
          <w:tab w:val="left" w:pos="360" w:leader="none"/>
        </w:tabs>
        <w:rPr>
          <w:highlight w:val="none"/>
        </w:rPr>
      </w:pPr>
      <w:r>
        <w:rPr>
          <w:rFonts w:ascii="Times New Roman" w:hAnsi="Times New Roman"/>
          <w:color w:val="000000"/>
          <w:highlight w:val="none"/>
        </w:rPr>
        <w:t xml:space="preserve">被授权人联系电话：（手机）</w:t>
      </w:r>
      <w:r>
        <w:rPr>
          <w:rFonts w:ascii="Times New Roman" w:hAnsi="Times New Roman"/>
          <w:color w:val="000000"/>
          <w:highlight w:val="none"/>
          <w:u w:val="single"/>
        </w:rPr>
        <w:t xml:space="preserve">                          </w:t>
      </w:r>
      <w:r/>
    </w:p>
    <w:p>
      <w:pPr>
        <w:pStyle w:val="710"/>
        <w:ind w:firstLine="1200"/>
        <w:jc w:val="both"/>
        <w:spacing w:beforeAutospacing="0" w:afterAutospacing="0"/>
        <w:tabs>
          <w:tab w:val="left" w:pos="360" w:leader="none"/>
        </w:tabs>
        <w:rPr>
          <w:rFonts w:ascii="Times New Roman" w:hAnsi="Times New Roman"/>
          <w:color w:val="000000"/>
          <w:highlight w:val="none"/>
        </w:rPr>
      </w:pPr>
      <w:r>
        <w:rPr>
          <w:rFonts w:ascii="Times New Roman" w:hAnsi="Times New Roman"/>
          <w:color w:val="000000"/>
          <w:highlight w:val="none"/>
        </w:rPr>
      </w:r>
      <w:r/>
    </w:p>
    <w:p>
      <w:pPr>
        <w:pStyle w:val="710"/>
        <w:jc w:val="both"/>
        <w:spacing w:beforeAutospacing="0" w:afterAutospacing="0"/>
        <w:tabs>
          <w:tab w:val="left" w:pos="360" w:leader="none"/>
        </w:tabs>
        <w:rPr>
          <w:highlight w:val="none"/>
        </w:rPr>
      </w:pPr>
      <w:r>
        <w:rPr>
          <w:rFonts w:ascii="Times New Roman" w:hAnsi="Times New Roman"/>
          <w:color w:val="000000"/>
          <w:highlight w:val="none"/>
        </w:rPr>
        <w:t xml:space="preserve">授权单位名称：</w:t>
      </w:r>
      <w:r>
        <w:rPr>
          <w:rFonts w:ascii="Times New Roman" w:hAnsi="Times New Roman"/>
          <w:color w:val="000000"/>
          <w:highlight w:val="none"/>
          <w:u w:val="single"/>
        </w:rPr>
        <w:t xml:space="preserve">（加盖CA电子公章）</w:t>
      </w:r>
      <w:r/>
    </w:p>
    <w:p>
      <w:pPr>
        <w:pStyle w:val="710"/>
        <w:ind w:firstLine="480"/>
        <w:jc w:val="both"/>
        <w:spacing w:beforeAutospacing="0" w:afterAutospacing="0"/>
        <w:tabs>
          <w:tab w:val="left" w:pos="360" w:leader="none"/>
        </w:tabs>
        <w:rPr>
          <w:rFonts w:ascii="Times New Roman" w:hAnsi="Times New Roman"/>
          <w:color w:val="000000"/>
          <w:highlight w:val="none"/>
        </w:rPr>
      </w:pPr>
      <w:r>
        <w:rPr>
          <w:rFonts w:ascii="Times New Roman" w:hAnsi="Times New Roman"/>
          <w:color w:val="000000"/>
          <w:highlight w:val="none"/>
        </w:rPr>
        <w:t xml:space="preserve">      </w:t>
      </w:r>
      <w:r/>
    </w:p>
    <w:p>
      <w:pPr>
        <w:pStyle w:val="710"/>
        <w:jc w:val="both"/>
        <w:spacing w:beforeAutospacing="0" w:afterAutospacing="0"/>
        <w:tabs>
          <w:tab w:val="left" w:pos="360" w:leader="none"/>
        </w:tabs>
        <w:rPr>
          <w:highlight w:val="none"/>
        </w:rPr>
      </w:pPr>
      <w:r>
        <w:rPr>
          <w:rFonts w:ascii="Times New Roman" w:hAnsi="Times New Roman"/>
          <w:color w:val="000000"/>
          <w:highlight w:val="none"/>
        </w:rPr>
        <w:t xml:space="preserve">单位地址：</w:t>
      </w:r>
      <w:r>
        <w:rPr>
          <w:rFonts w:ascii="Times New Roman" w:hAnsi="Times New Roman"/>
          <w:color w:val="000000"/>
          <w:highlight w:val="none"/>
          <w:u w:val="single"/>
        </w:rPr>
        <w:t xml:space="preserve">                                         </w:t>
      </w:r>
      <w:r/>
    </w:p>
    <w:p>
      <w:pPr>
        <w:pStyle w:val="710"/>
        <w:ind w:firstLine="480"/>
        <w:jc w:val="both"/>
        <w:spacing w:beforeAutospacing="0" w:afterAutospacing="0"/>
        <w:tabs>
          <w:tab w:val="left" w:pos="360" w:leader="none"/>
        </w:tabs>
        <w:rPr>
          <w:rFonts w:ascii="Times New Roman" w:hAnsi="Times New Roman"/>
          <w:color w:val="000000"/>
          <w:highlight w:val="none"/>
        </w:rPr>
      </w:pPr>
      <w:r>
        <w:rPr>
          <w:rFonts w:ascii="Times New Roman" w:hAnsi="Times New Roman"/>
          <w:color w:val="000000"/>
          <w:highlight w:val="none"/>
        </w:rPr>
        <w:t xml:space="preserve">      </w:t>
      </w:r>
      <w:r/>
    </w:p>
    <w:p>
      <w:pPr>
        <w:pStyle w:val="710"/>
        <w:jc w:val="both"/>
        <w:spacing w:beforeAutospacing="0" w:afterAutospacing="0"/>
        <w:tabs>
          <w:tab w:val="left" w:pos="360" w:leader="none"/>
        </w:tabs>
        <w:rPr>
          <w:highlight w:val="none"/>
        </w:rPr>
      </w:pPr>
      <w:r>
        <w:rPr>
          <w:rFonts w:ascii="Times New Roman" w:hAnsi="Times New Roman"/>
          <w:color w:val="000000"/>
          <w:highlight w:val="none"/>
        </w:rPr>
        <w:t xml:space="preserve">日期：</w:t>
      </w:r>
      <w:bookmarkStart w:id="192" w:name="_Hlt26671380"/>
      <w:r/>
      <w:bookmarkStart w:id="193" w:name="_格式3__银行出具的资信证明"/>
      <w:r/>
      <w:bookmarkStart w:id="194" w:name="_Hlt26955070"/>
      <w:r>
        <w:rPr>
          <w:rFonts w:ascii="Times New Roman" w:hAnsi="Times New Roman"/>
          <w:color w:val="000000"/>
          <w:highlight w:val="none"/>
          <w:u w:val="single"/>
        </w:rPr>
        <w:t xml:space="preserve">                                         </w:t>
      </w:r>
      <w:r/>
    </w:p>
    <w:p>
      <w:pPr>
        <w:pStyle w:val="710"/>
        <w:ind w:firstLine="420"/>
        <w:jc w:val="both"/>
        <w:spacing w:beforeAutospacing="0" w:afterAutospacing="0"/>
        <w:rPr>
          <w:highlight w:val="none"/>
        </w:rPr>
      </w:pPr>
      <w:r>
        <w:rPr>
          <w:highlight w:val="none"/>
        </w:rPr>
        <w:t xml:space="preserve"> </w:t>
      </w:r>
      <w:r/>
    </w:p>
    <w:p>
      <w:pPr>
        <w:pStyle w:val="710"/>
        <w:jc w:val="both"/>
        <w:spacing w:beforeAutospacing="0" w:afterAutospacing="0"/>
        <w:rPr>
          <w:highlight w:val="none"/>
        </w:rPr>
      </w:pPr>
      <w:r>
        <w:rPr>
          <w:highlight w:val="none"/>
        </w:rPr>
        <w:t xml:space="preserve"> </w:t>
      </w:r>
      <w:r/>
    </w:p>
    <w:p>
      <w:pPr>
        <w:pStyle w:val="710"/>
        <w:jc w:val="both"/>
        <w:spacing w:beforeAutospacing="0" w:afterAutospacing="0" w:line="0" w:lineRule="atLeast"/>
        <w:rPr>
          <w:highlight w:val="none"/>
        </w:rPr>
      </w:pPr>
      <w:r>
        <w:rPr>
          <w:highlight w:val="none"/>
        </w:rPr>
        <w:t xml:space="preserve"> </w:t>
      </w:r>
      <w:r/>
    </w:p>
    <w:p>
      <w:pPr>
        <w:rPr>
          <w:rFonts w:hint="eastAsia" w:ascii="宋体" w:hAnsi="宋体" w:eastAsia="宋体" w:cs="宋体"/>
          <w:b/>
          <w:color w:val="000000"/>
          <w:highlight w:val="none"/>
        </w:rPr>
      </w:pPr>
      <w:r>
        <w:rPr>
          <w:rFonts w:hint="eastAsia" w:ascii="宋体" w:hAnsi="宋体" w:eastAsia="宋体" w:cs="宋体"/>
          <w:b/>
          <w:color w:val="000000"/>
          <w:highlight w:val="none"/>
        </w:rPr>
        <w:br w:type="page" w:clear="all"/>
      </w:r>
      <w:r/>
    </w:p>
    <w:p>
      <w:pPr>
        <w:pStyle w:val="710"/>
        <w:ind w:firstLine="3390"/>
        <w:jc w:val="both"/>
        <w:keepLines/>
        <w:keepNext/>
        <w:spacing w:before="260" w:beforeAutospacing="0" w:after="260" w:afterAutospacing="0" w:line="415" w:lineRule="auto"/>
        <w:rPr>
          <w:rFonts w:ascii="黑体" w:hAnsi="宋体" w:eastAsia="黑体" w:cs="黑体"/>
          <w:b/>
          <w:color w:val="000000"/>
          <w:sz w:val="32"/>
          <w:szCs w:val="32"/>
          <w:highlight w:val="none"/>
        </w:rPr>
      </w:pPr>
      <w:r>
        <w:rPr>
          <w:rFonts w:hint="eastAsia" w:ascii="宋体" w:hAnsi="宋体" w:eastAsia="宋体" w:cs="宋体"/>
          <w:b/>
          <w:color w:val="000000"/>
          <w:highlight w:val="none"/>
        </w:rPr>
        <w:t xml:space="preserve"> </w:t>
      </w:r>
      <w:r>
        <w:rPr>
          <w:rFonts w:hint="eastAsia" w:ascii="黑体" w:hAnsi="宋体" w:eastAsia="黑体" w:cs="黑体"/>
          <w:b/>
          <w:color w:val="000000"/>
          <w:sz w:val="32"/>
          <w:szCs w:val="32"/>
          <w:highlight w:val="none"/>
        </w:rPr>
        <w:t xml:space="preserve">八、投标函</w:t>
      </w:r>
      <w:r/>
    </w:p>
    <w:p>
      <w:pPr>
        <w:pStyle w:val="710"/>
        <w:spacing w:beforeAutospacing="0" w:afterAutospacing="0" w:line="0" w:lineRule="atLeast"/>
        <w:rPr>
          <w:rFonts w:hint="eastAsia" w:eastAsia="宋体"/>
          <w:highlight w:val="none"/>
          <w:lang w:eastAsia="zh-CN"/>
        </w:rPr>
      </w:pPr>
      <w:r>
        <w:rPr>
          <w:rFonts w:hint="eastAsia" w:ascii="宋体" w:hAnsi="宋体" w:eastAsia="宋体" w:cs="宋体"/>
          <w:color w:val="000000"/>
          <w:highlight w:val="none"/>
        </w:rPr>
        <w:t xml:space="preserve">致：</w:t>
      </w:r>
      <w:r>
        <w:rPr>
          <w:rFonts w:hint="eastAsia" w:ascii="宋体" w:hAnsi="宋体" w:eastAsia="宋体" w:cs="宋体"/>
          <w:color w:val="000000"/>
          <w:highlight w:val="none"/>
          <w:lang w:val="en-US" w:eastAsia="zh-CN"/>
        </w:rPr>
        <w:t xml:space="preserve">采购人</w:t>
      </w:r>
      <w:r/>
    </w:p>
    <w:p>
      <w:pPr>
        <w:pStyle w:val="710"/>
        <w:ind w:firstLine="480"/>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10"/>
        <w:ind w:firstLine="480"/>
        <w:spacing w:beforeAutospacing="0" w:afterAutospacing="0" w:line="0" w:lineRule="atLeast"/>
        <w:rPr>
          <w:highlight w:val="none"/>
        </w:rPr>
      </w:pPr>
      <w:r>
        <w:rPr>
          <w:rFonts w:hint="eastAsia" w:ascii="宋体" w:hAnsi="宋体" w:eastAsia="宋体" w:cs="宋体"/>
          <w:color w:val="000000"/>
          <w:highlight w:val="none"/>
        </w:rPr>
        <w:t xml:space="preserve">根据贵方的</w:t>
      </w:r>
      <w:r>
        <w:rPr>
          <w:rFonts w:hint="eastAsia" w:ascii="宋体" w:hAnsi="宋体" w:eastAsia="宋体" w:cs="宋体"/>
          <w:color w:val="000000"/>
          <w:highlight w:val="none"/>
          <w:lang w:val="en-US" w:eastAsia="zh-CN"/>
        </w:rPr>
        <w:t xml:space="preserve"> </w:t>
      </w:r>
      <w:r>
        <w:rPr>
          <w:rFonts w:ascii="Segoe UI" w:hAnsi="Segoe UI" w:eastAsia="Segoe UI" w:cs="Segoe UI"/>
          <w:i w:val="0"/>
          <w:iCs w:val="0"/>
          <w:caps w:val="0"/>
          <w:spacing w:val="0"/>
          <w:sz w:val="21"/>
          <w:szCs w:val="21"/>
          <w:shd w:val="clear" w:color="auto" w:fill="ffffff"/>
        </w:rPr>
        <w:t xml:space="preserve">JSZC-320923-ZCGL-G2026-0009</w:t>
      </w:r>
      <w:r>
        <w:rPr>
          <w:rFonts w:hint="eastAsia" w:ascii="Times New Roman" w:hAnsi="Times New Roman" w:eastAsia="宋体"/>
          <w:color w:val="000000"/>
          <w:highlight w:val="none"/>
          <w:lang w:val="en-US" w:eastAsia="zh-CN"/>
        </w:rPr>
        <w:t xml:space="preserve">（项目编号）</w:t>
      </w:r>
      <w:r>
        <w:rPr>
          <w:rFonts w:hint="eastAsia" w:ascii="宋体" w:hAnsi="宋体" w:eastAsia="宋体" w:cs="宋体"/>
          <w:color w:val="000000"/>
          <w:highlight w:val="none"/>
        </w:rPr>
        <w:t xml:space="preserve">招标文件，正式授权下述签字人______(姓名)代表我方______________（投标人的名称），全权处理本次项目投标的有关事宜。</w:t>
      </w:r>
      <w:r/>
    </w:p>
    <w:p>
      <w:pPr>
        <w:pStyle w:val="710"/>
        <w:ind w:firstLine="480"/>
        <w:spacing w:beforeAutospacing="0" w:afterAutospacing="0" w:line="0" w:lineRule="atLeast"/>
        <w:rPr>
          <w:highlight w:val="none"/>
        </w:rPr>
      </w:pPr>
      <w:r>
        <w:rPr>
          <w:rFonts w:hint="eastAsia" w:ascii="宋体" w:hAnsi="宋体" w:eastAsia="宋体" w:cs="宋体"/>
          <w:color w:val="000000"/>
          <w:highlight w:val="none"/>
        </w:rPr>
        <w:t xml:space="preserve">据此函，签字人兹宣布同意如下：</w:t>
      </w:r>
      <w:r/>
    </w:p>
    <w:p>
      <w:pPr>
        <w:pStyle w:val="710"/>
        <w:ind w:firstLine="480"/>
        <w:spacing w:beforeAutospacing="0" w:afterAutospacing="0" w:line="0" w:lineRule="atLeast"/>
        <w:rPr>
          <w:highlight w:val="none"/>
        </w:rPr>
      </w:pPr>
      <w:r>
        <w:rPr>
          <w:rFonts w:hint="eastAsia" w:ascii="宋体" w:hAnsi="宋体" w:eastAsia="宋体" w:cs="宋体"/>
          <w:color w:val="000000"/>
          <w:highlight w:val="none"/>
        </w:rPr>
        <w:t xml:space="preserve">1.按招标文件规定的各项要求，向买方提供所需服务（包含与服务相关的货物）。</w:t>
      </w:r>
      <w:r/>
    </w:p>
    <w:p>
      <w:pPr>
        <w:pStyle w:val="710"/>
        <w:ind w:firstLine="480"/>
        <w:spacing w:beforeAutospacing="0" w:afterAutospacing="0" w:line="0" w:lineRule="atLeast"/>
        <w:rPr>
          <w:highlight w:val="none"/>
        </w:rPr>
      </w:pPr>
      <w:r>
        <w:rPr>
          <w:rFonts w:hint="eastAsia" w:ascii="宋体" w:hAnsi="宋体" w:eastAsia="宋体" w:cs="宋体"/>
          <w:color w:val="000000"/>
          <w:highlight w:val="none"/>
        </w:rPr>
        <w:t xml:space="preserve">2.我们完全理解贵方不一定将合同授予最低报价的投标人。</w:t>
      </w:r>
      <w:r/>
    </w:p>
    <w:p>
      <w:pPr>
        <w:pStyle w:val="710"/>
        <w:ind w:firstLine="480"/>
        <w:spacing w:beforeAutospacing="0" w:afterAutospacing="0" w:line="0" w:lineRule="atLeast"/>
        <w:rPr>
          <w:highlight w:val="none"/>
        </w:rPr>
      </w:pPr>
      <w:r>
        <w:rPr>
          <w:rFonts w:hint="eastAsia" w:ascii="宋体" w:hAnsi="宋体" w:eastAsia="宋体" w:cs="宋体"/>
          <w:color w:val="000000"/>
          <w:highlight w:val="none"/>
        </w:rPr>
        <w:t xml:space="preserve">3.我们已详细审核全部招标文件及其有效补充文件，我们知道必须放弃提出含糊不清或误解问题的权利。</w:t>
      </w:r>
      <w:r/>
    </w:p>
    <w:p>
      <w:pPr>
        <w:pStyle w:val="710"/>
        <w:ind w:firstLine="480"/>
        <w:spacing w:beforeAutospacing="0" w:afterAutospacing="0" w:line="0" w:lineRule="atLeast"/>
        <w:rPr>
          <w:highlight w:val="none"/>
        </w:rPr>
      </w:pPr>
      <w:r>
        <w:rPr>
          <w:rFonts w:hint="eastAsia" w:ascii="宋体" w:hAnsi="宋体" w:eastAsia="宋体" w:cs="宋体"/>
          <w:color w:val="000000"/>
          <w:highlight w:val="none"/>
        </w:rPr>
        <w:t xml:space="preserve">4.我们同意从规定的开标日期起遵循本投标文件，并在规定的投标有效期期满之前均具有约束力。</w:t>
      </w:r>
      <w:r/>
    </w:p>
    <w:p>
      <w:pPr>
        <w:pStyle w:val="710"/>
        <w:ind w:firstLine="480"/>
        <w:spacing w:beforeAutospacing="0" w:afterAutospacing="0" w:line="0" w:lineRule="atLeast"/>
        <w:rPr>
          <w:highlight w:val="none"/>
        </w:rPr>
      </w:pPr>
      <w:r>
        <w:rPr>
          <w:rFonts w:hint="eastAsia" w:ascii="宋体" w:hAnsi="宋体" w:eastAsia="宋体" w:cs="宋体"/>
          <w:color w:val="000000"/>
          <w:highlight w:val="none"/>
        </w:rPr>
        <w:t xml:space="preserve">5.同意向贵方提供贵方可能另外要求的与投标有关的任何证据或资料，并保证我方已提供和将要提供的文件是真实的、准确的。</w:t>
      </w:r>
      <w:r/>
    </w:p>
    <w:p>
      <w:pPr>
        <w:pStyle w:val="710"/>
        <w:ind w:firstLine="480"/>
        <w:spacing w:beforeAutospacing="0" w:afterAutospacing="0" w:line="0" w:lineRule="atLeast"/>
        <w:rPr>
          <w:highlight w:val="none"/>
        </w:rPr>
      </w:pPr>
      <w:r>
        <w:rPr>
          <w:rFonts w:hint="eastAsia" w:ascii="宋体" w:hAnsi="宋体" w:eastAsia="宋体" w:cs="宋体"/>
          <w:color w:val="000000"/>
          <w:highlight w:val="none"/>
        </w:rPr>
        <w:t xml:space="preserve">6.一旦我方中标,我方将根据招标文件的规定，严格履行合同的责任和义务,并保证在招标文件规定的时间完成项目，交付买方验收、使用。</w:t>
      </w:r>
      <w:r/>
    </w:p>
    <w:p>
      <w:pPr>
        <w:pStyle w:val="710"/>
        <w:ind w:firstLine="480"/>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10"/>
        <w:ind w:firstLine="480"/>
        <w:spacing w:beforeAutospacing="0" w:afterAutospacing="0" w:line="0" w:lineRule="atLeast"/>
        <w:rPr>
          <w:highlight w:val="none"/>
        </w:rPr>
      </w:pPr>
      <w:r>
        <w:rPr>
          <w:rFonts w:hint="eastAsia" w:ascii="宋体" w:hAnsi="宋体" w:eastAsia="宋体" w:cs="宋体"/>
          <w:color w:val="000000"/>
          <w:highlight w:val="none"/>
        </w:rPr>
        <w:t xml:space="preserve">7.与本投标有关的正式通讯地址为：</w:t>
      </w:r>
      <w:r/>
    </w:p>
    <w:p>
      <w:pPr>
        <w:pStyle w:val="710"/>
        <w:ind w:left="420" w:firstLine="480"/>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10"/>
        <w:ind w:left="420" w:firstLine="480"/>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10"/>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地  址：</w:t>
      </w:r>
      <w:r/>
    </w:p>
    <w:p>
      <w:pPr>
        <w:pStyle w:val="710"/>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邮 </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编：</w:t>
      </w:r>
      <w:r/>
    </w:p>
    <w:p>
      <w:pPr>
        <w:pStyle w:val="710"/>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电 </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话：</w:t>
      </w:r>
      <w:r/>
    </w:p>
    <w:p>
      <w:pPr>
        <w:pStyle w:val="710"/>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传 </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真：</w:t>
      </w:r>
      <w:r/>
    </w:p>
    <w:p>
      <w:pPr>
        <w:pStyle w:val="710"/>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投标人开户行：</w:t>
      </w:r>
      <w:r/>
    </w:p>
    <w:p>
      <w:pPr>
        <w:pStyle w:val="710"/>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账  号： </w:t>
      </w:r>
      <w:r/>
    </w:p>
    <w:p>
      <w:pPr>
        <w:pStyle w:val="710"/>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日  期：________年____月____日</w:t>
      </w:r>
      <w:r/>
    </w:p>
    <w:p>
      <w:pPr>
        <w:pStyle w:val="710"/>
        <w:ind w:firstLine="240"/>
        <w:jc w:val="center"/>
        <w:spacing w:beforeAutospacing="0" w:afterAutospacing="0" w:line="0" w:lineRule="atLeast"/>
        <w:rPr>
          <w:highlight w:val="none"/>
        </w:rPr>
      </w:pPr>
      <w:r>
        <w:rPr>
          <w:highlight w:val="none"/>
        </w:rPr>
        <w:t xml:space="preserve"> </w:t>
      </w:r>
      <w:r/>
    </w:p>
    <w:p>
      <w:pPr>
        <w:pStyle w:val="710"/>
        <w:ind w:firstLine="240"/>
        <w:jc w:val="center"/>
        <w:spacing w:beforeAutospacing="0" w:afterAutospacing="0" w:line="0" w:lineRule="atLeast"/>
        <w:rPr>
          <w:highlight w:val="none"/>
        </w:rPr>
      </w:pPr>
      <w:r>
        <w:rPr>
          <w:highlight w:val="none"/>
        </w:rPr>
        <w:t xml:space="preserve"> </w:t>
      </w:r>
      <w:r/>
    </w:p>
    <w:p>
      <w:pPr>
        <w:pStyle w:val="710"/>
        <w:ind w:firstLine="240"/>
        <w:jc w:val="center"/>
        <w:spacing w:beforeAutospacing="0" w:afterAutospacing="0" w:line="0" w:lineRule="atLeast"/>
        <w:rPr>
          <w:highlight w:val="none"/>
        </w:rPr>
      </w:pPr>
      <w:r>
        <w:rPr>
          <w:highlight w:val="none"/>
        </w:rPr>
        <w:t xml:space="preserve"> </w:t>
      </w:r>
      <w:r/>
    </w:p>
    <w:p>
      <w:pPr>
        <w:pStyle w:val="710"/>
        <w:ind w:firstLine="240"/>
        <w:jc w:val="center"/>
        <w:spacing w:beforeAutospacing="0" w:afterAutospacing="0" w:line="0" w:lineRule="atLeast"/>
        <w:rPr>
          <w:highlight w:val="none"/>
        </w:rPr>
      </w:pPr>
      <w:r>
        <w:rPr>
          <w:highlight w:val="none"/>
        </w:rPr>
        <w:t xml:space="preserve"> </w:t>
      </w:r>
      <w:r/>
    </w:p>
    <w:p>
      <w:pPr>
        <w:pStyle w:val="710"/>
        <w:ind w:firstLine="240"/>
        <w:jc w:val="center"/>
        <w:spacing w:beforeAutospacing="0" w:afterAutospacing="0" w:line="0" w:lineRule="atLeast"/>
        <w:rPr>
          <w:highlight w:val="none"/>
        </w:rPr>
      </w:pPr>
      <w:r>
        <w:rPr>
          <w:highlight w:val="none"/>
        </w:rPr>
        <w:t xml:space="preserve"> </w:t>
      </w:r>
      <w:r/>
    </w:p>
    <w:p>
      <w:pPr>
        <w:pStyle w:val="710"/>
        <w:ind w:firstLine="240"/>
        <w:jc w:val="center"/>
        <w:spacing w:beforeAutospacing="0" w:afterAutospacing="0" w:line="0" w:lineRule="atLeast"/>
        <w:rPr>
          <w:highlight w:val="none"/>
        </w:rPr>
      </w:pPr>
      <w:r>
        <w:rPr>
          <w:highlight w:val="none"/>
        </w:rPr>
      </w:r>
      <w:r/>
    </w:p>
    <w:p>
      <w:pPr>
        <w:pStyle w:val="710"/>
        <w:ind w:firstLine="240"/>
        <w:jc w:val="center"/>
        <w:spacing w:beforeAutospacing="0" w:afterAutospacing="0" w:line="0" w:lineRule="atLeast"/>
        <w:rPr>
          <w:highlight w:val="none"/>
        </w:rPr>
      </w:pPr>
      <w:r>
        <w:rPr>
          <w:highlight w:val="none"/>
        </w:rPr>
      </w:r>
      <w:r/>
    </w:p>
    <w:p>
      <w:pPr>
        <w:pStyle w:val="710"/>
        <w:ind w:firstLine="240"/>
        <w:jc w:val="center"/>
        <w:spacing w:beforeAutospacing="0" w:afterAutospacing="0" w:line="0" w:lineRule="atLeast"/>
        <w:rPr>
          <w:highlight w:val="none"/>
        </w:rPr>
      </w:pPr>
      <w:r>
        <w:rPr>
          <w:highlight w:val="none"/>
        </w:rPr>
      </w:r>
      <w:r/>
    </w:p>
    <w:p>
      <w:pPr>
        <w:pStyle w:val="710"/>
        <w:ind w:firstLine="240"/>
        <w:jc w:val="center"/>
        <w:spacing w:beforeAutospacing="0" w:afterAutospacing="0" w:line="0" w:lineRule="atLeast"/>
        <w:rPr>
          <w:highlight w:val="none"/>
        </w:rPr>
      </w:pPr>
      <w:r>
        <w:rPr>
          <w:highlight w:val="none"/>
        </w:rPr>
      </w:r>
      <w:r/>
    </w:p>
    <w:p>
      <w:pPr>
        <w:pStyle w:val="710"/>
        <w:ind w:firstLine="240"/>
        <w:jc w:val="center"/>
        <w:spacing w:beforeAutospacing="0" w:afterAutospacing="0" w:line="0" w:lineRule="atLeast"/>
        <w:rPr>
          <w:highlight w:val="none"/>
        </w:rPr>
      </w:pPr>
      <w:r>
        <w:rPr>
          <w:highlight w:val="none"/>
        </w:rPr>
      </w:r>
      <w:r/>
    </w:p>
    <w:p>
      <w:pPr>
        <w:pStyle w:val="710"/>
        <w:ind w:firstLine="240"/>
        <w:jc w:val="center"/>
        <w:spacing w:beforeAutospacing="0" w:afterAutospacing="0" w:line="0" w:lineRule="atLeast"/>
        <w:rPr>
          <w:highlight w:val="none"/>
        </w:rPr>
      </w:pPr>
      <w:r>
        <w:rPr>
          <w:highlight w:val="none"/>
        </w:rPr>
      </w:r>
      <w:r/>
    </w:p>
    <w:p>
      <w:pPr>
        <w:pStyle w:val="710"/>
        <w:ind w:firstLine="240"/>
        <w:jc w:val="center"/>
        <w:spacing w:beforeAutospacing="0" w:afterAutospacing="0" w:line="0" w:lineRule="atLeast"/>
        <w:rPr>
          <w:highlight w:val="none"/>
        </w:rPr>
      </w:pPr>
      <w:r>
        <w:rPr>
          <w:highlight w:val="none"/>
        </w:rPr>
      </w:r>
      <w:r/>
    </w:p>
    <w:p>
      <w:pPr>
        <w:pStyle w:val="710"/>
        <w:ind w:firstLine="240"/>
        <w:jc w:val="center"/>
        <w:spacing w:beforeAutospacing="0" w:afterAutospacing="0" w:line="0" w:lineRule="atLeast"/>
        <w:rPr>
          <w:highlight w:val="none"/>
        </w:rPr>
      </w:pPr>
      <w:r>
        <w:rPr>
          <w:highlight w:val="none"/>
        </w:rPr>
      </w:r>
      <w:r/>
    </w:p>
    <w:p>
      <w:pPr>
        <w:pStyle w:val="710"/>
        <w:ind w:firstLine="240"/>
        <w:jc w:val="center"/>
        <w:spacing w:beforeAutospacing="0" w:afterAutospacing="0" w:line="0" w:lineRule="atLeast"/>
        <w:rPr>
          <w:highlight w:val="none"/>
        </w:rPr>
      </w:pPr>
      <w:r>
        <w:rPr>
          <w:highlight w:val="none"/>
        </w:rPr>
      </w:r>
      <w:r/>
    </w:p>
    <w:p>
      <w:pPr>
        <w:pStyle w:val="710"/>
        <w:ind w:firstLine="240"/>
        <w:jc w:val="both"/>
        <w:spacing w:beforeAutospacing="0" w:afterAutospacing="0" w:line="0" w:lineRule="atLeast"/>
        <w:rPr>
          <w:highlight w:val="none"/>
        </w:rPr>
      </w:pPr>
      <w:r>
        <w:rPr>
          <w:highlight w:val="none"/>
        </w:rPr>
        <w:t xml:space="preserve"> </w:t>
      </w:r>
      <w:r/>
    </w:p>
    <w:p>
      <w:pPr>
        <w:ind w:firstLine="2249"/>
        <w:rPr>
          <w:color w:val="auto"/>
          <w:highlight w:val="none"/>
        </w:rPr>
      </w:pPr>
      <w:r>
        <w:rPr>
          <w:rFonts w:hint="eastAsia" w:ascii="黑体" w:hAnsi="宋体" w:eastAsia="黑体" w:cs="黑体"/>
          <w:b/>
          <w:color w:val="auto"/>
          <w:sz w:val="32"/>
          <w:szCs w:val="32"/>
          <w:highlight w:val="none"/>
        </w:rPr>
        <w:t xml:space="preserve">九、</w:t>
      </w:r>
      <w:r>
        <w:rPr>
          <w:rFonts w:hint="eastAsia" w:ascii="黑体" w:hAnsi="宋体" w:eastAsia="黑体" w:cs="黑体"/>
          <w:b/>
          <w:color w:val="auto"/>
          <w:sz w:val="32"/>
          <w:szCs w:val="32"/>
          <w:highlight w:val="none"/>
          <w:lang w:val="en-US" w:eastAsia="zh-CN"/>
        </w:rPr>
        <w:t xml:space="preserve">小微</w:t>
      </w:r>
      <w:r>
        <w:rPr>
          <w:rFonts w:hint="eastAsia" w:ascii="黑体" w:hAnsi="宋体" w:eastAsia="黑体" w:cs="黑体"/>
          <w:b/>
          <w:color w:val="auto"/>
          <w:sz w:val="32"/>
          <w:szCs w:val="32"/>
          <w:highlight w:val="none"/>
        </w:rPr>
        <w:t xml:space="preserve">企业声明函（</w:t>
      </w:r>
      <w:r>
        <w:rPr>
          <w:rFonts w:hint="eastAsia" w:ascii="黑体" w:hAnsi="宋体" w:eastAsia="黑体" w:cs="黑体"/>
          <w:b/>
          <w:color w:val="auto"/>
          <w:sz w:val="32"/>
          <w:szCs w:val="32"/>
          <w:highlight w:val="none"/>
          <w:lang w:eastAsia="zh-CN"/>
        </w:rPr>
        <w:t xml:space="preserve">如有</w:t>
      </w:r>
      <w:r>
        <w:rPr>
          <w:rFonts w:hint="eastAsia" w:ascii="黑体" w:hAnsi="宋体" w:eastAsia="黑体" w:cs="黑体"/>
          <w:b/>
          <w:color w:val="auto"/>
          <w:sz w:val="32"/>
          <w:szCs w:val="32"/>
          <w:highlight w:val="none"/>
        </w:rPr>
        <w:t xml:space="preserve">）</w:t>
      </w:r>
      <w:r/>
    </w:p>
    <w:p>
      <w:pPr>
        <w:ind w:firstLine="480"/>
        <w:jc w:val="both"/>
        <w:spacing w:line="500" w:lineRule="exact"/>
        <w:rPr>
          <w:rFonts w:hint="eastAsia"/>
          <w:color w:val="auto"/>
          <w:sz w:val="24"/>
          <w:highlight w:val="none"/>
        </w:rPr>
      </w:pPr>
      <w:r>
        <w:rPr>
          <w:rFonts w:hint="eastAsia"/>
          <w:color w:val="auto"/>
          <w:sz w:val="24"/>
          <w:highlight w:val="none"/>
        </w:rPr>
        <w:t xml:space="preserve">本公司（联合体）郑重声明，根据《政府采购促进中小企业发展管理办法》（财库﹝2020﹞46 号）的规定，本公司（联合体）参加</w:t>
      </w:r>
      <w:r>
        <w:rPr>
          <w:rFonts w:hint="eastAsia"/>
          <w:color w:val="ff0000"/>
          <w:sz w:val="24"/>
          <w:highlight w:val="none"/>
          <w:lang w:eastAsia="zh-CN"/>
        </w:rPr>
        <w:t xml:space="preserve">江苏执策建设管理有限公司</w:t>
      </w:r>
      <w:r>
        <w:rPr>
          <w:rFonts w:hint="eastAsia"/>
          <w:color w:val="auto"/>
          <w:sz w:val="24"/>
          <w:highlight w:val="none"/>
        </w:rPr>
        <w:t xml:space="preserve">组织的</w:t>
      </w:r>
      <w:r>
        <w:rPr>
          <w:rFonts w:hint="eastAsia"/>
          <w:i/>
          <w:iCs/>
          <w:color w:val="auto"/>
          <w:sz w:val="24"/>
          <w:szCs w:val="24"/>
          <w:highlight w:val="none"/>
          <w:u w:val="single"/>
        </w:rPr>
        <w:t xml:space="preserve">（单位名称）</w:t>
      </w:r>
      <w:r>
        <w:rPr>
          <w:rFonts w:hint="eastAsia"/>
          <w:color w:val="auto"/>
          <w:sz w:val="24"/>
          <w:szCs w:val="20"/>
          <w:highlight w:val="none"/>
        </w:rPr>
        <w:t xml:space="preserve">，</w:t>
      </w:r>
      <w:r>
        <w:rPr>
          <w:rFonts w:hint="eastAsia"/>
          <w:color w:val="auto"/>
          <w:sz w:val="24"/>
          <w:highlight w:val="none"/>
        </w:rPr>
        <w:t xml:space="preserve">采购编号为</w:t>
      </w:r>
      <w:r>
        <w:rPr>
          <w:rFonts w:hint="eastAsia"/>
          <w:color w:val="auto"/>
          <w:sz w:val="24"/>
          <w:highlight w:val="none"/>
          <w:u w:val="single"/>
          <w:lang w:val="en-US" w:eastAsia="zh-CN"/>
        </w:rPr>
        <w:t xml:space="preserve">     </w:t>
      </w:r>
      <w:r>
        <w:rPr>
          <w:rFonts w:hint="eastAsia"/>
          <w:color w:val="auto"/>
          <w:sz w:val="24"/>
          <w:highlight w:val="none"/>
          <w:lang w:val="en-US" w:eastAsia="zh-CN"/>
        </w:rPr>
        <w:t xml:space="preserve">的</w:t>
      </w:r>
      <w:r>
        <w:rPr>
          <w:rFonts w:hint="eastAsia"/>
          <w:i/>
          <w:iCs/>
          <w:color w:val="auto"/>
          <w:sz w:val="24"/>
          <w:highlight w:val="none"/>
          <w:u w:val="single"/>
        </w:rPr>
        <w:t xml:space="preserve">（项目名称）</w:t>
      </w:r>
      <w:r>
        <w:rPr>
          <w:rFonts w:hint="eastAsia"/>
          <w:color w:val="auto"/>
          <w:sz w:val="24"/>
          <w:highlight w:val="none"/>
        </w:rPr>
        <w:t xml:space="preserve">的采购活动，服务全部由符合政策要求的中小企业承接。相关企业（含联合体中的中小企业、签订分包意向协议的中小企业）的具体情况如下：</w:t>
      </w:r>
      <w:r/>
    </w:p>
    <w:p>
      <w:pPr>
        <w:numPr>
          <w:ilvl w:val="0"/>
          <w:numId w:val="5"/>
        </w:numPr>
        <w:ind w:firstLine="480"/>
        <w:jc w:val="both"/>
        <w:spacing w:line="500" w:lineRule="exact"/>
        <w:rPr>
          <w:rFonts w:hint="eastAsia"/>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 ，属于</w:t>
      </w:r>
      <w:r>
        <w:rPr>
          <w:rFonts w:hint="eastAsia"/>
          <w:i/>
          <w:iCs/>
          <w:color w:val="auto"/>
          <w:sz w:val="24"/>
          <w:highlight w:val="none"/>
          <w:u w:val="single"/>
        </w:rPr>
        <w:t xml:space="preserve">（</w:t>
      </w:r>
      <w:r>
        <w:rPr>
          <w:rFonts w:hint="eastAsia" w:eastAsia="宋体"/>
          <w:i/>
          <w:iCs/>
          <w:color w:val="auto"/>
          <w:sz w:val="24"/>
          <w:highlight w:val="none"/>
          <w:u w:val="single"/>
          <w:lang w:eastAsia="zh-CN"/>
        </w:rPr>
        <w:t xml:space="preserve">其他未列明</w:t>
      </w:r>
      <w:r>
        <w:rPr>
          <w:rFonts w:hint="eastAsia"/>
          <w:i/>
          <w:iCs/>
          <w:color w:val="auto"/>
          <w:sz w:val="24"/>
          <w:highlight w:val="none"/>
          <w:u w:val="single"/>
        </w:rPr>
        <w:t xml:space="preserve">行业）</w:t>
      </w:r>
      <w:r>
        <w:rPr>
          <w:rFonts w:hint="eastAsia"/>
          <w:color w:val="auto"/>
          <w:sz w:val="24"/>
          <w:highlight w:val="none"/>
        </w:rPr>
        <w:t xml:space="preserve">；承建（承接）企业为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lang w:val="en-US" w:eastAsia="zh-CN"/>
        </w:rPr>
        <w:t xml:space="preserve">    </w:t>
      </w:r>
      <w:r>
        <w:rPr>
          <w:rFonts w:hint="eastAsia"/>
          <w:color w:val="auto"/>
          <w:sz w:val="24"/>
          <w:highlight w:val="none"/>
        </w:rPr>
        <w:t xml:space="preserve">人，营业收入为</w:t>
      </w:r>
      <w:r>
        <w:rPr>
          <w:rFonts w:hint="eastAsia"/>
          <w:color w:val="auto"/>
          <w:sz w:val="24"/>
          <w:highlight w:val="none"/>
          <w:u w:val="single"/>
          <w:lang w:val="en-US" w:eastAsia="zh-CN"/>
        </w:rPr>
        <w:t xml:space="preserve">    </w:t>
      </w:r>
      <w:r>
        <w:rPr>
          <w:rFonts w:hint="eastAsia"/>
          <w:color w:val="auto"/>
          <w:sz w:val="24"/>
          <w:highlight w:val="none"/>
        </w:rPr>
        <w:t xml:space="preserve">万元，资产总额为</w:t>
      </w:r>
      <w:r>
        <w:rPr>
          <w:rFonts w:hint="eastAsia"/>
          <w:color w:val="auto"/>
          <w:sz w:val="24"/>
          <w:highlight w:val="none"/>
          <w:u w:val="single"/>
          <w:lang w:val="en-US" w:eastAsia="zh-CN"/>
        </w:rPr>
        <w:t xml:space="preserve">    </w:t>
      </w:r>
      <w:r>
        <w:rPr>
          <w:rFonts w:hint="eastAsia"/>
          <w:color w:val="auto"/>
          <w:sz w:val="24"/>
          <w:highlight w:val="none"/>
        </w:rPr>
        <w:t xml:space="preserve">万元，属于（</w:t>
      </w:r>
      <w:r>
        <w:rPr>
          <w:rFonts w:hint="eastAsia"/>
          <w:i/>
          <w:iCs/>
          <w:color w:val="auto"/>
          <w:sz w:val="24"/>
          <w:highlight w:val="none"/>
          <w:u w:val="single"/>
        </w:rPr>
        <w:t xml:space="preserve">小型企业、微型企业</w:t>
      </w:r>
      <w:r>
        <w:rPr>
          <w:rFonts w:hint="eastAsia"/>
          <w:color w:val="auto"/>
          <w:sz w:val="24"/>
          <w:highlight w:val="none"/>
        </w:rPr>
        <w:t xml:space="preserve">）；</w:t>
      </w:r>
      <w:r/>
    </w:p>
    <w:p>
      <w:pPr>
        <w:numPr>
          <w:ilvl w:val="0"/>
          <w:numId w:val="0"/>
        </w:numPr>
        <w:ind w:firstLine="480"/>
        <w:jc w:val="both"/>
        <w:spacing w:line="500" w:lineRule="exact"/>
        <w:rPr>
          <w:rFonts w:hint="eastAsia"/>
          <w:color w:val="auto"/>
          <w:sz w:val="24"/>
          <w:highlight w:val="none"/>
        </w:rPr>
      </w:pPr>
      <w:r>
        <w:rPr>
          <w:rFonts w:hint="eastAsia" w:eastAsia="宋体"/>
          <w:color w:val="auto"/>
          <w:sz w:val="24"/>
          <w:highlight w:val="none"/>
          <w:lang w:val="en-US" w:eastAsia="zh-CN"/>
        </w:rPr>
        <w:t xml:space="preserve">2、</w:t>
      </w:r>
      <w:r>
        <w:rPr>
          <w:rFonts w:hint="eastAsia"/>
          <w:color w:val="auto"/>
          <w:sz w:val="24"/>
          <w:highlight w:val="none"/>
        </w:rPr>
        <w:t xml:space="preserve">……</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以上企业，不属于大企业的分支机构，不存在控股股东为大企业的情形，也不存在与大企业的负责人为同一人的情形。</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本企业对上述声明内容的真实性负责。如有虚假，将依法承担相应责任。</w:t>
      </w:r>
      <w:r/>
    </w:p>
    <w:p>
      <w:pPr>
        <w:pStyle w:val="710"/>
        <w:ind w:right="720"/>
        <w:jc w:val="both"/>
        <w:spacing w:beforeAutospacing="0" w:afterAutospacing="0" w:line="0" w:lineRule="atLeast"/>
        <w:rPr>
          <w:color w:val="auto"/>
          <w:highlight w:val="none"/>
        </w:rPr>
      </w:pPr>
      <w:r>
        <w:rPr>
          <w:color w:val="auto"/>
          <w:highlight w:val="none"/>
        </w:rPr>
        <w:t xml:space="preserve"> </w:t>
      </w:r>
      <w:r/>
    </w:p>
    <w:p>
      <w:pPr>
        <w:pStyle w:val="710"/>
        <w:ind w:right="180" w:firstLine="360"/>
        <w:jc w:val="right"/>
        <w:spacing w:beforeAutospacing="0" w:afterAutospacing="0" w:line="0" w:lineRule="atLeast"/>
        <w:rPr>
          <w:color w:val="auto"/>
          <w:highlight w:val="none"/>
        </w:rPr>
      </w:pPr>
      <w:r>
        <w:rPr>
          <w:rFonts w:hint="eastAsia" w:ascii="宋体" w:hAnsi="宋体" w:eastAsia="宋体" w:cs="宋体"/>
          <w:color w:val="auto"/>
          <w:highlight w:val="none"/>
        </w:rPr>
        <w:t xml:space="preserve">企业名称（加盖CA电子公章）：</w:t>
      </w:r>
      <w:r/>
    </w:p>
    <w:p>
      <w:pPr>
        <w:pStyle w:val="710"/>
        <w:ind w:right="480" w:firstLine="540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日  期：</w:t>
      </w:r>
      <w:r/>
    </w:p>
    <w:p>
      <w:pPr>
        <w:pStyle w:val="710"/>
        <w:ind w:firstLine="240"/>
        <w:jc w:val="both"/>
        <w:spacing w:beforeAutospacing="0" w:afterAutospacing="0" w:line="0" w:lineRule="atLeast"/>
        <w:rPr>
          <w:color w:val="auto"/>
          <w:highlight w:val="none"/>
        </w:rPr>
      </w:pPr>
      <w:r>
        <w:rPr>
          <w:color w:val="auto"/>
          <w:highlight w:val="none"/>
        </w:rPr>
        <w:t xml:space="preserve"> </w:t>
      </w:r>
      <w:r/>
    </w:p>
    <w:p>
      <w:pPr>
        <w:pStyle w:val="710"/>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备注1：从业人员、营业收入、资产总额填报上一年度数据，无上一年度数据的新成立企业可不填报。</w:t>
      </w:r>
      <w:r/>
    </w:p>
    <w:p>
      <w:pPr>
        <w:pStyle w:val="710"/>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备注2：供应商如不提供此声明函，价格将不做相应扣除</w:t>
      </w:r>
      <w:r>
        <w:rPr>
          <w:rFonts w:hint="eastAsia" w:ascii="宋体" w:hAnsi="宋体" w:eastAsia="宋体" w:cs="宋体"/>
          <w:color w:val="auto"/>
          <w:highlight w:val="none"/>
          <w:lang w:eastAsia="zh-CN"/>
        </w:rPr>
        <w:t xml:space="preserve">（如项目全面面向中小企业，则资格审查不通过）</w:t>
      </w:r>
      <w:r>
        <w:rPr>
          <w:rFonts w:hint="eastAsia" w:ascii="宋体" w:hAnsi="宋体" w:eastAsia="宋体" w:cs="宋体"/>
          <w:color w:val="auto"/>
          <w:highlight w:val="none"/>
        </w:rPr>
        <w:t xml:space="preserve">。</w:t>
      </w:r>
      <w:r/>
    </w:p>
    <w:p>
      <w:pPr>
        <w:pStyle w:val="710"/>
        <w:jc w:val="center"/>
        <w:spacing w:beforeAutospacing="0" w:afterAutospacing="0" w:line="0" w:lineRule="atLeast"/>
        <w:rPr>
          <w:highlight w:val="none"/>
        </w:rPr>
      </w:pPr>
      <w:r>
        <w:rPr>
          <w:rFonts w:hint="eastAsia" w:ascii="黑体" w:hAnsi="宋体" w:eastAsia="黑体" w:cs="黑体"/>
          <w:b/>
          <w:color w:val="auto"/>
          <w:sz w:val="32"/>
          <w:szCs w:val="32"/>
          <w:highlight w:val="none"/>
        </w:rPr>
        <w:br w:type="page" w:clear="all"/>
      </w:r>
      <w:r>
        <w:rPr>
          <w:rFonts w:hint="eastAsia" w:ascii="黑体" w:hAnsi="宋体" w:eastAsia="黑体" w:cs="黑体"/>
          <w:b/>
          <w:color w:val="000000"/>
          <w:sz w:val="32"/>
          <w:szCs w:val="32"/>
          <w:highlight w:val="none"/>
        </w:rPr>
        <w:t xml:space="preserve"> 十、残疾人福利性单位声明函</w:t>
      </w:r>
      <w:r/>
    </w:p>
    <w:p>
      <w:pPr>
        <w:pStyle w:val="710"/>
        <w:ind w:firstLine="480"/>
        <w:jc w:val="both"/>
        <w:spacing w:beforeAutospacing="0" w:afterAutospacing="0" w:line="0" w:lineRule="atLeast"/>
        <w:rPr>
          <w:highlight w:val="none"/>
        </w:rPr>
      </w:pPr>
      <w:r>
        <w:rPr>
          <w:rFonts w:hint="eastAsia" w:ascii="宋体" w:hAnsi="宋体" w:eastAsia="宋体" w:cs="宋体"/>
          <w:color w:val="000000"/>
          <w:highlight w:val="none"/>
        </w:rPr>
        <w:t xml:space="preserve">本单位郑重声明，根据《财政部 民政部 中国残疾人联合会关于促进残疾人就业政府采购政策的通知》（财库</w:t>
      </w:r>
      <w:r>
        <w:rPr>
          <w:rFonts w:hint="eastAsia" w:ascii="宋体" w:hAnsi="宋体" w:eastAsia="宋体" w:cs="宋体"/>
          <w:color w:val="000000"/>
          <w:highlight w:val="none"/>
          <w:lang w:eastAsia="zh-CN"/>
        </w:rPr>
        <w:t xml:space="preserve">〔2017〕141号</w:t>
      </w:r>
      <w:r>
        <w:rPr>
          <w:rFonts w:hint="eastAsia" w:ascii="宋体" w:hAnsi="宋体" w:eastAsia="宋体" w:cs="宋体"/>
          <w:color w:val="000000"/>
          <w:highlight w:val="none"/>
        </w:rPr>
        <w:t xml:space="preserve">）的规定，本单位为符合条件的残疾人福利性单位，且本单位参加______单位的采购文件编号为_</w:t>
      </w:r>
      <w:r>
        <w:rPr>
          <w:rFonts w:ascii="Segoe UI" w:hAnsi="Segoe UI" w:eastAsia="Segoe UI" w:cs="Segoe UI"/>
          <w:i w:val="0"/>
          <w:iCs w:val="0"/>
          <w:caps w:val="0"/>
          <w:spacing w:val="0"/>
          <w:sz w:val="21"/>
          <w:szCs w:val="21"/>
          <w:u w:val="single"/>
          <w:shd w:val="clear" w:color="auto" w:fill="ffffff"/>
        </w:rPr>
        <w:t xml:space="preserve">JSZC-320923-ZCGL-G2026-0009</w:t>
      </w:r>
      <w:r>
        <w:rPr>
          <w:rFonts w:hint="eastAsia" w:ascii="宋体" w:hAnsi="宋体" w:eastAsia="宋体" w:cs="宋体"/>
          <w:color w:val="000000"/>
          <w:highlight w:val="none"/>
          <w:u w:val="single"/>
        </w:rPr>
        <w:t xml:space="preserve">__</w:t>
      </w:r>
      <w:r>
        <w:rPr>
          <w:rFonts w:hint="eastAsia" w:ascii="宋体" w:hAnsi="宋体" w:eastAsia="宋体" w:cs="宋体"/>
          <w:color w:val="000000"/>
          <w:highlight w:val="none"/>
        </w:rPr>
        <w:t xml:space="preserve">的</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项目采购活动由本单位提供服务。</w:t>
      </w:r>
      <w:r/>
    </w:p>
    <w:p>
      <w:pPr>
        <w:pStyle w:val="710"/>
        <w:ind w:firstLine="480"/>
        <w:jc w:val="both"/>
        <w:spacing w:beforeAutospacing="0" w:afterAutospacing="0" w:line="0" w:lineRule="atLeast"/>
        <w:rPr>
          <w:highlight w:val="none"/>
        </w:rPr>
      </w:pPr>
      <w:r>
        <w:rPr>
          <w:rFonts w:hint="eastAsia" w:ascii="宋体" w:hAnsi="宋体" w:eastAsia="宋体" w:cs="宋体"/>
          <w:color w:val="000000"/>
          <w:highlight w:val="none"/>
        </w:rPr>
        <w:t xml:space="preserve">本单位对上述声明的真实性负责。如有虚假，将依法承担相应责任。</w:t>
      </w:r>
      <w:r/>
    </w:p>
    <w:p>
      <w:pPr>
        <w:pStyle w:val="710"/>
        <w:ind w:firstLine="480"/>
        <w:jc w:val="both"/>
        <w:spacing w:beforeAutospacing="0" w:afterAutospacing="0" w:line="0" w:lineRule="atLeast"/>
        <w:rPr>
          <w:highlight w:val="none"/>
        </w:rPr>
      </w:pPr>
      <w:r>
        <w:rPr>
          <w:highlight w:val="none"/>
        </w:rPr>
        <w:t xml:space="preserve"> </w:t>
      </w:r>
      <w:r/>
    </w:p>
    <w:p>
      <w:pPr>
        <w:pStyle w:val="710"/>
        <w:ind w:firstLine="480"/>
        <w:jc w:val="both"/>
        <w:spacing w:beforeAutospacing="0" w:afterAutospacing="0" w:line="0" w:lineRule="atLeast"/>
        <w:rPr>
          <w:rFonts w:hint="eastAsia" w:eastAsia="宋体"/>
          <w:highlight w:val="none"/>
          <w:lang w:eastAsia="zh-CN"/>
        </w:rPr>
      </w:pPr>
      <w:r>
        <w:rPr>
          <w:rFonts w:hint="eastAsia" w:ascii="宋体" w:hAnsi="宋体" w:eastAsia="宋体" w:cs="宋体"/>
          <w:color w:val="000000"/>
          <w:highlight w:val="none"/>
        </w:rPr>
        <w:t xml:space="preserve">备注：1、供应商如不提供此声明函，价格将不做相应扣除</w:t>
      </w:r>
      <w:r>
        <w:rPr>
          <w:rFonts w:hint="eastAsia" w:ascii="宋体" w:hAnsi="宋体" w:eastAsia="宋体" w:cs="宋体"/>
          <w:color w:val="000000"/>
          <w:highlight w:val="none"/>
          <w:lang w:eastAsia="zh-CN"/>
        </w:rPr>
        <w:t xml:space="preserve">（如项目全面面向中小企业，则资格审查不通过）。</w:t>
      </w:r>
      <w:r/>
    </w:p>
    <w:p>
      <w:pPr>
        <w:pStyle w:val="710"/>
        <w:ind w:firstLine="480"/>
        <w:jc w:val="both"/>
        <w:spacing w:beforeAutospacing="0" w:afterAutospacing="0" w:line="0" w:lineRule="atLeast"/>
        <w:rPr>
          <w:highlight w:val="none"/>
        </w:rPr>
      </w:pPr>
      <w:r>
        <w:rPr>
          <w:rFonts w:hint="eastAsia" w:ascii="宋体" w:hAnsi="宋体" w:eastAsia="宋体" w:cs="宋体"/>
          <w:color w:val="000000"/>
          <w:highlight w:val="none"/>
        </w:rPr>
        <w:t xml:space="preserve">2、中标人为残疾人福利单位的，此声明函将随中标结果同时公告，接受社会监督</w:t>
      </w:r>
      <w:r/>
    </w:p>
    <w:p>
      <w:pPr>
        <w:pStyle w:val="710"/>
        <w:ind w:firstLine="624"/>
        <w:jc w:val="both"/>
        <w:spacing w:beforeAutospacing="0" w:afterAutospacing="0" w:line="0" w:lineRule="atLeast"/>
        <w:rPr>
          <w:highlight w:val="none"/>
        </w:rPr>
      </w:pPr>
      <w:r>
        <w:rPr>
          <w:highlight w:val="none"/>
        </w:rPr>
        <w:t xml:space="preserve"> </w:t>
      </w:r>
      <w:r/>
    </w:p>
    <w:p>
      <w:pPr>
        <w:pStyle w:val="710"/>
        <w:ind w:right="1560" w:firstLine="624"/>
        <w:jc w:val="center"/>
        <w:spacing w:beforeAutospacing="0" w:afterAutospacing="0" w:line="0" w:lineRule="atLeast"/>
        <w:tabs>
          <w:tab w:val="left" w:pos="4864" w:leader="none"/>
        </w:tabs>
        <w:rPr>
          <w:highlight w:val="none"/>
        </w:rPr>
      </w:pPr>
      <w:r>
        <w:rPr>
          <w:rFonts w:ascii="仿宋_GB2312" w:eastAsia="仿宋_GB2312" w:cs="仿宋_GB2312"/>
          <w:color w:val="000000"/>
          <w:sz w:val="30"/>
          <w:szCs w:val="30"/>
          <w:highlight w:val="none"/>
        </w:rPr>
        <w:t xml:space="preserve">             </w:t>
      </w:r>
      <w:r>
        <w:rPr>
          <w:rFonts w:hint="eastAsia" w:ascii="宋体" w:hAnsi="宋体" w:eastAsia="宋体" w:cs="宋体"/>
          <w:color w:val="000000"/>
          <w:highlight w:val="none"/>
        </w:rPr>
        <w:t xml:space="preserve">       供应商全称（加盖CA电子公章）：</w:t>
      </w:r>
      <w:r/>
    </w:p>
    <w:p>
      <w:pPr>
        <w:pStyle w:val="710"/>
        <w:ind w:right="1560" w:firstLine="480"/>
        <w:jc w:val="center"/>
        <w:spacing w:beforeAutospacing="0" w:afterAutospacing="0" w:line="0" w:lineRule="atLeast"/>
        <w:tabs>
          <w:tab w:val="left" w:pos="4864" w:leader="none"/>
        </w:tabs>
        <w:rPr>
          <w:highlight w:val="none"/>
        </w:rPr>
      </w:pPr>
      <w:r>
        <w:rPr>
          <w:rFonts w:hint="eastAsia" w:ascii="宋体" w:hAnsi="宋体" w:eastAsia="宋体" w:cs="宋体"/>
          <w:color w:val="000000"/>
          <w:highlight w:val="none"/>
        </w:rPr>
        <w:t xml:space="preserve">        日  期：</w:t>
      </w:r>
      <w:r/>
    </w:p>
    <w:p>
      <w:pPr>
        <w:pStyle w:val="710"/>
        <w:jc w:val="center"/>
        <w:spacing w:beforeAutospacing="0" w:afterAutospacing="0" w:line="0" w:lineRule="atLeast"/>
        <w:rPr>
          <w:highlight w:val="none"/>
        </w:rPr>
      </w:pPr>
      <w:r>
        <w:rPr>
          <w:highlight w:val="none"/>
        </w:rPr>
        <w:t xml:space="preserve"> </w:t>
      </w:r>
      <w:r/>
    </w:p>
    <w:p>
      <w:pPr>
        <w:pStyle w:val="710"/>
        <w:jc w:val="center"/>
        <w:spacing w:beforeAutospacing="0" w:afterAutospacing="0" w:line="0" w:lineRule="atLeast"/>
        <w:rPr>
          <w:highlight w:val="none"/>
        </w:rPr>
      </w:pPr>
      <w:r>
        <w:rPr>
          <w:highlight w:val="none"/>
        </w:rPr>
        <w:t xml:space="preserve"> </w:t>
      </w:r>
      <w:r/>
    </w:p>
    <w:p>
      <w:pPr>
        <w:pStyle w:val="710"/>
        <w:jc w:val="center"/>
        <w:spacing w:beforeAutospacing="0" w:afterAutospacing="0" w:line="0" w:lineRule="atLeast"/>
        <w:rPr>
          <w:highlight w:val="none"/>
        </w:rPr>
      </w:pPr>
      <w:r>
        <w:rPr>
          <w:highlight w:val="none"/>
        </w:rPr>
        <w:t xml:space="preserve"> </w:t>
      </w:r>
      <w:r/>
    </w:p>
    <w:p>
      <w:pPr>
        <w:pStyle w:val="710"/>
        <w:jc w:val="center"/>
        <w:spacing w:beforeAutospacing="0" w:afterAutospacing="0" w:line="0" w:lineRule="atLeast"/>
        <w:rPr>
          <w:highlight w:val="none"/>
        </w:rPr>
      </w:pPr>
      <w:r>
        <w:rPr>
          <w:highlight w:val="none"/>
        </w:rPr>
        <w:t xml:space="preserve"> </w:t>
      </w:r>
      <w:r/>
    </w:p>
    <w:p>
      <w:pPr>
        <w:pStyle w:val="710"/>
        <w:jc w:val="center"/>
        <w:spacing w:beforeAutospacing="0" w:afterAutospacing="0" w:line="0" w:lineRule="atLeast"/>
        <w:rPr>
          <w:highlight w:val="none"/>
        </w:rPr>
      </w:pPr>
      <w:r>
        <w:rPr>
          <w:highlight w:val="none"/>
        </w:rPr>
        <w:t xml:space="preserve"> </w:t>
      </w:r>
      <w:r/>
    </w:p>
    <w:p>
      <w:pPr>
        <w:pStyle w:val="710"/>
        <w:jc w:val="center"/>
        <w:spacing w:beforeAutospacing="0" w:afterAutospacing="0" w:line="0" w:lineRule="atLeast"/>
        <w:rPr>
          <w:highlight w:val="none"/>
        </w:rPr>
      </w:pPr>
      <w:r>
        <w:rPr>
          <w:highlight w:val="none"/>
        </w:rPr>
        <w:t xml:space="preserve"> </w:t>
      </w:r>
      <w:r/>
    </w:p>
    <w:p>
      <w:pPr>
        <w:pStyle w:val="710"/>
        <w:jc w:val="center"/>
        <w:spacing w:beforeAutospacing="0" w:afterAutospacing="0" w:line="0" w:lineRule="atLeast"/>
        <w:rPr>
          <w:highlight w:val="none"/>
        </w:rPr>
      </w:pPr>
      <w:r>
        <w:rPr>
          <w:highlight w:val="none"/>
        </w:rPr>
        <w:t xml:space="preserve"> </w:t>
      </w:r>
      <w:r/>
    </w:p>
    <w:p>
      <w:pPr>
        <w:pStyle w:val="710"/>
        <w:jc w:val="center"/>
        <w:spacing w:beforeAutospacing="0" w:afterAutospacing="0" w:line="0" w:lineRule="atLeast"/>
        <w:rPr>
          <w:highlight w:val="none"/>
        </w:rPr>
      </w:pPr>
      <w:r>
        <w:rPr>
          <w:highlight w:val="none"/>
        </w:rPr>
        <w:t xml:space="preserve"> </w:t>
      </w:r>
      <w:r/>
    </w:p>
    <w:p>
      <w:pPr>
        <w:pStyle w:val="710"/>
        <w:jc w:val="center"/>
        <w:spacing w:beforeAutospacing="0" w:afterAutospacing="0" w:line="0" w:lineRule="atLeast"/>
        <w:rPr>
          <w:highlight w:val="none"/>
        </w:rPr>
      </w:pPr>
      <w:r>
        <w:rPr>
          <w:highlight w:val="none"/>
        </w:rPr>
      </w:r>
      <w:r/>
    </w:p>
    <w:p>
      <w:pPr>
        <w:pStyle w:val="710"/>
        <w:jc w:val="center"/>
        <w:spacing w:beforeAutospacing="0" w:afterAutospacing="0" w:line="0" w:lineRule="atLeast"/>
        <w:rPr>
          <w:highlight w:val="none"/>
        </w:rPr>
      </w:pPr>
      <w:r>
        <w:rPr>
          <w:highlight w:val="none"/>
        </w:rPr>
      </w:r>
      <w:r/>
    </w:p>
    <w:p>
      <w:pPr>
        <w:pStyle w:val="710"/>
        <w:jc w:val="center"/>
        <w:spacing w:beforeAutospacing="0" w:afterAutospacing="0" w:line="0" w:lineRule="atLeast"/>
        <w:rPr>
          <w:highlight w:val="none"/>
        </w:rPr>
      </w:pPr>
      <w:r>
        <w:rPr>
          <w:highlight w:val="none"/>
        </w:rPr>
      </w:r>
      <w:r/>
    </w:p>
    <w:p>
      <w:pPr>
        <w:pStyle w:val="710"/>
        <w:jc w:val="center"/>
        <w:spacing w:beforeAutospacing="0" w:afterAutospacing="0" w:line="0" w:lineRule="atLeast"/>
        <w:rPr>
          <w:highlight w:val="none"/>
        </w:rPr>
      </w:pPr>
      <w:r>
        <w:rPr>
          <w:highlight w:val="none"/>
        </w:rPr>
      </w:r>
      <w:r/>
    </w:p>
    <w:p>
      <w:pPr>
        <w:pStyle w:val="710"/>
        <w:jc w:val="center"/>
        <w:spacing w:beforeAutospacing="0" w:afterAutospacing="0" w:line="0" w:lineRule="atLeast"/>
        <w:rPr>
          <w:highlight w:val="none"/>
        </w:rPr>
      </w:pPr>
      <w:r>
        <w:rPr>
          <w:highlight w:val="none"/>
        </w:rPr>
      </w:r>
      <w:r/>
    </w:p>
    <w:p>
      <w:pPr>
        <w:pStyle w:val="710"/>
        <w:jc w:val="center"/>
        <w:spacing w:beforeAutospacing="0" w:afterAutospacing="0" w:line="0" w:lineRule="atLeast"/>
        <w:rPr>
          <w:highlight w:val="none"/>
        </w:rPr>
      </w:pPr>
      <w:r>
        <w:rPr>
          <w:highlight w:val="none"/>
        </w:rPr>
      </w:r>
      <w:r/>
    </w:p>
    <w:p>
      <w:pPr>
        <w:pStyle w:val="710"/>
        <w:jc w:val="center"/>
        <w:spacing w:beforeAutospacing="0" w:afterAutospacing="0" w:line="0" w:lineRule="atLeast"/>
        <w:rPr>
          <w:highlight w:val="none"/>
        </w:rPr>
      </w:pPr>
      <w:r>
        <w:rPr>
          <w:highlight w:val="none"/>
        </w:rPr>
      </w:r>
      <w:r/>
    </w:p>
    <w:p>
      <w:pPr>
        <w:pStyle w:val="710"/>
        <w:jc w:val="center"/>
        <w:spacing w:beforeAutospacing="0" w:afterAutospacing="0" w:line="0" w:lineRule="atLeast"/>
        <w:rPr>
          <w:highlight w:val="none"/>
        </w:rPr>
      </w:pPr>
      <w:r>
        <w:rPr>
          <w:highlight w:val="none"/>
        </w:rPr>
      </w:r>
      <w:r/>
    </w:p>
    <w:p>
      <w:pPr>
        <w:pStyle w:val="710"/>
        <w:jc w:val="center"/>
        <w:spacing w:beforeAutospacing="0" w:afterAutospacing="0" w:line="0" w:lineRule="atLeast"/>
        <w:rPr>
          <w:highlight w:val="none"/>
        </w:rPr>
      </w:pPr>
      <w:r>
        <w:rPr>
          <w:highlight w:val="none"/>
        </w:rPr>
      </w:r>
      <w:r/>
    </w:p>
    <w:p>
      <w:pPr>
        <w:pStyle w:val="710"/>
        <w:jc w:val="center"/>
        <w:spacing w:beforeAutospacing="0" w:afterAutospacing="0" w:line="0" w:lineRule="atLeast"/>
        <w:rPr>
          <w:highlight w:val="none"/>
        </w:rPr>
      </w:pPr>
      <w:r>
        <w:rPr>
          <w:highlight w:val="none"/>
        </w:rPr>
      </w:r>
      <w:r/>
    </w:p>
    <w:p>
      <w:pPr>
        <w:pStyle w:val="710"/>
        <w:jc w:val="center"/>
        <w:spacing w:beforeAutospacing="0" w:afterAutospacing="0" w:line="0" w:lineRule="atLeast"/>
        <w:rPr>
          <w:highlight w:val="none"/>
        </w:rPr>
      </w:pPr>
      <w:r>
        <w:rPr>
          <w:highlight w:val="none"/>
        </w:rPr>
      </w:r>
      <w:r/>
    </w:p>
    <w:p>
      <w:pPr>
        <w:pStyle w:val="710"/>
        <w:jc w:val="center"/>
        <w:spacing w:beforeAutospacing="0" w:afterAutospacing="0" w:line="0" w:lineRule="atLeast"/>
        <w:rPr>
          <w:highlight w:val="none"/>
        </w:rPr>
      </w:pPr>
      <w:r>
        <w:rPr>
          <w:highlight w:val="none"/>
        </w:rPr>
      </w:r>
      <w:r/>
    </w:p>
    <w:p>
      <w:pPr>
        <w:pStyle w:val="710"/>
        <w:jc w:val="center"/>
        <w:spacing w:beforeAutospacing="0" w:afterAutospacing="0" w:line="0" w:lineRule="atLeast"/>
        <w:rPr>
          <w:highlight w:val="none"/>
        </w:rPr>
      </w:pPr>
      <w:r>
        <w:rPr>
          <w:highlight w:val="none"/>
        </w:rPr>
      </w:r>
      <w:r/>
    </w:p>
    <w:p>
      <w:pPr>
        <w:pStyle w:val="710"/>
        <w:jc w:val="center"/>
        <w:spacing w:beforeAutospacing="0" w:afterAutospacing="0" w:line="0" w:lineRule="atLeast"/>
        <w:rPr>
          <w:highlight w:val="none"/>
        </w:rPr>
      </w:pPr>
      <w:r>
        <w:rPr>
          <w:highlight w:val="none"/>
        </w:rPr>
      </w:r>
      <w:r/>
    </w:p>
    <w:p>
      <w:pPr>
        <w:pStyle w:val="710"/>
        <w:jc w:val="center"/>
        <w:spacing w:beforeAutospacing="0" w:afterAutospacing="0" w:line="0" w:lineRule="atLeast"/>
        <w:rPr>
          <w:highlight w:val="none"/>
        </w:rPr>
      </w:pPr>
      <w:r>
        <w:rPr>
          <w:highlight w:val="none"/>
        </w:rPr>
      </w:r>
      <w:r/>
    </w:p>
    <w:p>
      <w:pPr>
        <w:pStyle w:val="710"/>
        <w:jc w:val="center"/>
        <w:spacing w:beforeAutospacing="0" w:afterAutospacing="0" w:line="0" w:lineRule="atLeast"/>
        <w:rPr>
          <w:highlight w:val="none"/>
        </w:rPr>
      </w:pPr>
      <w:r>
        <w:rPr>
          <w:highlight w:val="none"/>
        </w:rPr>
      </w:r>
      <w:r/>
    </w:p>
    <w:p>
      <w:pPr>
        <w:pStyle w:val="710"/>
        <w:jc w:val="center"/>
        <w:spacing w:beforeAutospacing="0" w:afterAutospacing="0" w:line="0" w:lineRule="atLeast"/>
        <w:rPr>
          <w:highlight w:val="none"/>
        </w:rPr>
      </w:pPr>
      <w:r>
        <w:rPr>
          <w:highlight w:val="none"/>
        </w:rPr>
      </w:r>
      <w:r/>
    </w:p>
    <w:p>
      <w:pPr>
        <w:pStyle w:val="710"/>
        <w:jc w:val="center"/>
        <w:spacing w:beforeAutospacing="0" w:afterAutospacing="0" w:line="0" w:lineRule="atLeast"/>
        <w:rPr>
          <w:highlight w:val="none"/>
        </w:rPr>
      </w:pPr>
      <w:r>
        <w:rPr>
          <w:highlight w:val="none"/>
        </w:rPr>
      </w:r>
      <w:r/>
    </w:p>
    <w:p>
      <w:pPr>
        <w:pStyle w:val="710"/>
        <w:jc w:val="center"/>
        <w:spacing w:beforeAutospacing="0" w:afterAutospacing="0" w:line="0" w:lineRule="atLeast"/>
        <w:rPr>
          <w:highlight w:val="none"/>
        </w:rPr>
      </w:pPr>
      <w:r>
        <w:rPr>
          <w:highlight w:val="none"/>
        </w:rPr>
      </w:r>
      <w:r/>
    </w:p>
    <w:p>
      <w:pPr>
        <w:pStyle w:val="710"/>
        <w:jc w:val="center"/>
        <w:spacing w:beforeAutospacing="0" w:afterAutospacing="0" w:line="0" w:lineRule="atLeast"/>
        <w:rPr>
          <w:highlight w:val="none"/>
        </w:rPr>
      </w:pPr>
      <w:r>
        <w:rPr>
          <w:highlight w:val="none"/>
        </w:rPr>
      </w:r>
      <w:r/>
    </w:p>
    <w:p>
      <w:pPr>
        <w:pStyle w:val="710"/>
        <w:jc w:val="center"/>
        <w:spacing w:beforeAutospacing="0" w:afterAutospacing="0" w:line="0" w:lineRule="atLeast"/>
        <w:rPr>
          <w:highlight w:val="none"/>
        </w:rPr>
      </w:pPr>
      <w:r>
        <w:rPr>
          <w:highlight w:val="none"/>
        </w:rPr>
        <w:t xml:space="preserve"> </w:t>
      </w:r>
      <w:r/>
    </w:p>
    <w:p>
      <w:pPr>
        <w:pStyle w:val="710"/>
        <w:jc w:val="center"/>
        <w:spacing w:beforeAutospacing="0" w:afterAutospacing="0" w:line="0" w:lineRule="atLeast"/>
        <w:rPr>
          <w:highlight w:val="none"/>
        </w:rPr>
      </w:pPr>
      <w:r>
        <w:rPr>
          <w:highlight w:val="none"/>
        </w:rPr>
        <w:t xml:space="preserve"> </w:t>
      </w:r>
      <w:r/>
    </w:p>
    <w:p>
      <w:pPr>
        <w:pStyle w:val="710"/>
        <w:jc w:val="center"/>
        <w:spacing w:beforeAutospacing="0" w:afterAutospacing="0" w:line="0" w:lineRule="atLeast"/>
        <w:rPr>
          <w:highlight w:val="none"/>
        </w:rPr>
      </w:pPr>
      <w:r>
        <w:rPr>
          <w:highlight w:val="none"/>
        </w:rPr>
        <w:t xml:space="preserve"> </w:t>
      </w:r>
      <w:r/>
    </w:p>
    <w:p>
      <w:pPr>
        <w:pStyle w:val="710"/>
        <w:jc w:val="center"/>
        <w:spacing w:beforeAutospacing="0" w:afterAutospacing="0" w:line="0" w:lineRule="atLeast"/>
        <w:rPr>
          <w:highlight w:val="none"/>
        </w:rPr>
      </w:pPr>
      <w:r>
        <w:rPr>
          <w:highlight w:val="none"/>
        </w:rPr>
        <w:t xml:space="preserve"> </w:t>
      </w:r>
      <w:r/>
    </w:p>
    <w:p>
      <w:pPr>
        <w:pStyle w:val="710"/>
        <w:jc w:val="center"/>
        <w:spacing w:beforeAutospacing="0" w:afterAutospacing="0"/>
        <w:rPr>
          <w:highlight w:val="none"/>
        </w:rPr>
      </w:pPr>
      <w:r>
        <w:rPr>
          <w:rFonts w:hint="eastAsia" w:ascii="黑体" w:hAnsi="宋体" w:eastAsia="黑体" w:cs="黑体"/>
          <w:b/>
          <w:color w:val="000000"/>
          <w:sz w:val="32"/>
          <w:szCs w:val="32"/>
          <w:highlight w:val="none"/>
        </w:rPr>
        <w:t xml:space="preserve">十</w:t>
      </w:r>
      <w:r>
        <w:rPr>
          <w:rFonts w:hint="eastAsia" w:ascii="黑体" w:hAnsi="宋体" w:eastAsia="黑体" w:cs="黑体"/>
          <w:b/>
          <w:color w:val="000000"/>
          <w:sz w:val="32"/>
          <w:szCs w:val="32"/>
          <w:highlight w:val="none"/>
          <w:lang w:val="en-US" w:eastAsia="zh-CN"/>
        </w:rPr>
        <w:t xml:space="preserve">一</w:t>
      </w:r>
      <w:r>
        <w:rPr>
          <w:rFonts w:hint="eastAsia" w:ascii="黑体" w:hAnsi="宋体" w:eastAsia="黑体" w:cs="黑体"/>
          <w:b/>
          <w:color w:val="000000"/>
          <w:sz w:val="32"/>
          <w:szCs w:val="32"/>
          <w:highlight w:val="none"/>
        </w:rPr>
        <w:t xml:space="preserve">、技术要求响应及偏离表</w:t>
      </w:r>
      <w:r/>
    </w:p>
    <w:tbl>
      <w:tblPr>
        <w:tblStyle w:val="689"/>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10"/>
              <w:jc w:val="center"/>
              <w:spacing w:beforeAutospacing="0" w:afterAutospacing="0"/>
              <w:rPr>
                <w:highlight w:val="none"/>
              </w:rPr>
            </w:pPr>
            <w:r>
              <w:rPr>
                <w:rFonts w:hint="eastAsia" w:ascii="宋体" w:hAnsi="宋体" w:eastAsia="宋体" w:cs="宋体"/>
                <w:color w:val="000000"/>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10"/>
              <w:jc w:val="center"/>
              <w:spacing w:beforeAutospacing="0" w:afterAutospacing="0"/>
              <w:rPr>
                <w:highlight w:val="none"/>
              </w:rPr>
            </w:pPr>
            <w:r>
              <w:rPr>
                <w:rFonts w:hint="eastAsia" w:ascii="宋体" w:hAnsi="宋体" w:eastAsia="宋体" w:cs="宋体"/>
                <w:color w:val="000000"/>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0"/>
              <w:jc w:val="center"/>
              <w:spacing w:beforeAutospacing="0" w:afterAutospacing="0"/>
              <w:rPr>
                <w:highlight w:val="none"/>
              </w:rPr>
            </w:pPr>
            <w:r>
              <w:rPr>
                <w:rFonts w:hint="eastAsia" w:ascii="宋体" w:hAnsi="宋体" w:eastAsia="宋体" w:cs="宋体"/>
                <w:color w:val="000000"/>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0"/>
              <w:jc w:val="center"/>
              <w:spacing w:beforeAutospacing="0" w:afterAutospacing="0"/>
              <w:rPr>
                <w:highlight w:val="none"/>
              </w:rPr>
            </w:pPr>
            <w:r>
              <w:rPr>
                <w:rFonts w:hint="eastAsia" w:ascii="宋体" w:hAnsi="宋体" w:eastAsia="宋体" w:cs="宋体"/>
                <w:color w:val="000000"/>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0"/>
              <w:jc w:val="center"/>
              <w:spacing w:beforeAutospacing="0" w:afterAutospacing="0"/>
              <w:rPr>
                <w:highlight w:val="none"/>
              </w:rPr>
            </w:pPr>
            <w:r>
              <w:rPr>
                <w:rFonts w:hint="eastAsia" w:ascii="宋体" w:hAnsi="宋体" w:eastAsia="宋体" w:cs="宋体"/>
                <w:color w:val="000000"/>
                <w:highlight w:val="none"/>
              </w:rPr>
              <w:t xml:space="preserve">证明</w:t>
            </w:r>
            <w:r/>
          </w:p>
          <w:p>
            <w:pPr>
              <w:pStyle w:val="710"/>
              <w:jc w:val="center"/>
              <w:spacing w:beforeAutospacing="0" w:afterAutospacing="0"/>
              <w:rPr>
                <w:highlight w:val="none"/>
              </w:rPr>
            </w:pPr>
            <w:r>
              <w:rPr>
                <w:rFonts w:hint="eastAsia" w:ascii="宋体" w:hAnsi="宋体" w:eastAsia="宋体" w:cs="宋体"/>
                <w:color w:val="000000"/>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1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1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0"/>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1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1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0"/>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1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1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0"/>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1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1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0"/>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1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1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0"/>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1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1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0"/>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1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1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0"/>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1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10"/>
              <w:jc w:val="center"/>
              <w:spacing w:beforeAutospacing="0" w:afterAutospacing="0"/>
              <w:rPr>
                <w:highlight w:val="none"/>
              </w:rPr>
            </w:pPr>
            <w:r>
              <w:rPr>
                <w:rFonts w:hint="eastAsia" w:ascii="宋体" w:hAnsi="宋体" w:eastAsia="宋体" w:cs="宋体"/>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0"/>
              <w:jc w:val="center"/>
              <w:spacing w:beforeAutospacing="0" w:afterAutospacing="0"/>
              <w:rPr>
                <w:highlight w:val="none"/>
              </w:rPr>
            </w:pPr>
            <w:r>
              <w:rPr>
                <w:highlight w:val="none"/>
              </w:rPr>
              <w:t xml:space="preserve"> </w:t>
            </w:r>
            <w:r/>
          </w:p>
        </w:tc>
      </w:tr>
    </w:tbl>
    <w:p>
      <w:pPr>
        <w:pStyle w:val="710"/>
        <w:jc w:val="both"/>
        <w:spacing w:beforeAutospacing="0" w:afterAutospacing="0"/>
        <w:rPr>
          <w:highlight w:val="none"/>
        </w:rPr>
      </w:pPr>
      <w:r>
        <w:rPr>
          <w:rFonts w:hint="eastAsia" w:ascii="宋体" w:hAnsi="宋体" w:eastAsia="宋体" w:cs="宋体"/>
          <w:color w:val="000000"/>
          <w:highlight w:val="none"/>
        </w:rPr>
        <w:t xml:space="preserve">注： 行数不够，可自行添加。</w:t>
      </w:r>
      <w:r/>
    </w:p>
    <w:p>
      <w:pPr>
        <w:pStyle w:val="710"/>
        <w:jc w:val="center"/>
        <w:spacing w:beforeAutospacing="0" w:afterAutospacing="0"/>
        <w:rPr>
          <w:highlight w:val="none"/>
        </w:rPr>
      </w:pPr>
      <w:r>
        <w:rPr>
          <w:highlight w:val="none"/>
        </w:rPr>
        <w:t xml:space="preserve"> </w:t>
      </w:r>
      <w:r/>
    </w:p>
    <w:p>
      <w:pPr>
        <w:pStyle w:val="710"/>
        <w:jc w:val="center"/>
        <w:spacing w:beforeAutospacing="0" w:afterAutospacing="0"/>
        <w:rPr>
          <w:highlight w:val="none"/>
        </w:rPr>
      </w:pPr>
      <w:r>
        <w:rPr>
          <w:highlight w:val="none"/>
        </w:rPr>
        <w:t xml:space="preserve"> </w:t>
      </w:r>
      <w:r/>
    </w:p>
    <w:p>
      <w:pPr>
        <w:pStyle w:val="710"/>
        <w:jc w:val="center"/>
        <w:spacing w:beforeAutospacing="0" w:afterAutospacing="0"/>
        <w:rPr>
          <w:highlight w:val="none"/>
        </w:rPr>
      </w:pPr>
      <w:r>
        <w:rPr>
          <w:highlight w:val="none"/>
        </w:rPr>
        <w:t xml:space="preserve"> </w:t>
      </w:r>
      <w:r/>
    </w:p>
    <w:p>
      <w:pPr>
        <w:pStyle w:val="710"/>
        <w:jc w:val="center"/>
        <w:spacing w:beforeAutospacing="0" w:afterAutospacing="0"/>
        <w:rPr>
          <w:highlight w:val="none"/>
        </w:rPr>
      </w:pPr>
      <w:r>
        <w:rPr>
          <w:highlight w:val="none"/>
        </w:rPr>
        <w:t xml:space="preserve"> </w:t>
      </w:r>
      <w:r/>
    </w:p>
    <w:p>
      <w:pPr>
        <w:pStyle w:val="710"/>
        <w:jc w:val="both"/>
        <w:spacing w:beforeAutospacing="0" w:afterAutospacing="0"/>
        <w:rPr>
          <w:highlight w:val="none"/>
        </w:rPr>
      </w:pPr>
      <w:r>
        <w:rPr>
          <w:highlight w:val="none"/>
        </w:rPr>
        <w:t xml:space="preserve"> </w:t>
      </w:r>
      <w:r/>
    </w:p>
    <w:p>
      <w:pPr>
        <w:pStyle w:val="710"/>
        <w:jc w:val="both"/>
        <w:spacing w:beforeAutospacing="0" w:afterAutospacing="0"/>
        <w:rPr>
          <w:highlight w:val="none"/>
        </w:rPr>
      </w:pPr>
      <w:r>
        <w:rPr>
          <w:highlight w:val="none"/>
        </w:rPr>
        <w:t xml:space="preserve"> </w:t>
      </w:r>
      <w:r/>
    </w:p>
    <w:p>
      <w:pPr>
        <w:pStyle w:val="710"/>
        <w:jc w:val="both"/>
        <w:spacing w:beforeAutospacing="0" w:afterAutospacing="0"/>
        <w:rPr>
          <w:highlight w:val="none"/>
        </w:rPr>
      </w:pPr>
      <w:r>
        <w:rPr>
          <w:highlight w:val="none"/>
        </w:rPr>
        <w:t xml:space="preserve"> </w:t>
      </w:r>
      <w:r/>
    </w:p>
    <w:p>
      <w:pPr>
        <w:pStyle w:val="710"/>
        <w:jc w:val="both"/>
        <w:spacing w:beforeAutospacing="0" w:afterAutospacing="0"/>
        <w:rPr>
          <w:highlight w:val="none"/>
        </w:rPr>
      </w:pPr>
      <w:r>
        <w:rPr>
          <w:highlight w:val="none"/>
        </w:rPr>
        <w:t xml:space="preserve"> </w:t>
      </w:r>
      <w:r/>
    </w:p>
    <w:p>
      <w:pPr>
        <w:pStyle w:val="710"/>
        <w:jc w:val="both"/>
        <w:spacing w:beforeAutospacing="0" w:afterAutospacing="0"/>
        <w:rPr>
          <w:highlight w:val="none"/>
        </w:rPr>
      </w:pPr>
      <w:r>
        <w:rPr>
          <w:highlight w:val="none"/>
        </w:rPr>
      </w:r>
      <w:r/>
    </w:p>
    <w:p>
      <w:pPr>
        <w:pStyle w:val="710"/>
        <w:jc w:val="both"/>
        <w:spacing w:beforeAutospacing="0" w:afterAutospacing="0"/>
        <w:rPr>
          <w:highlight w:val="none"/>
        </w:rPr>
      </w:pPr>
      <w:r>
        <w:rPr>
          <w:highlight w:val="none"/>
        </w:rPr>
      </w:r>
      <w:r/>
    </w:p>
    <w:p>
      <w:pPr>
        <w:pStyle w:val="710"/>
        <w:jc w:val="both"/>
        <w:spacing w:beforeAutospacing="0" w:afterAutospacing="0"/>
        <w:rPr>
          <w:highlight w:val="none"/>
        </w:rPr>
      </w:pPr>
      <w:r>
        <w:rPr>
          <w:highlight w:val="none"/>
        </w:rPr>
      </w:r>
      <w:r/>
    </w:p>
    <w:p>
      <w:pPr>
        <w:pStyle w:val="710"/>
        <w:jc w:val="both"/>
        <w:spacing w:beforeAutospacing="0" w:afterAutospacing="0"/>
        <w:rPr>
          <w:highlight w:val="none"/>
        </w:rPr>
      </w:pPr>
      <w:r>
        <w:rPr>
          <w:highlight w:val="none"/>
        </w:rPr>
      </w:r>
      <w:r/>
    </w:p>
    <w:p>
      <w:pPr>
        <w:pStyle w:val="710"/>
        <w:jc w:val="both"/>
        <w:spacing w:beforeAutospacing="0" w:afterAutospacing="0"/>
        <w:rPr>
          <w:highlight w:val="none"/>
        </w:rPr>
      </w:pPr>
      <w:r>
        <w:rPr>
          <w:highlight w:val="none"/>
        </w:rPr>
      </w:r>
      <w:r/>
    </w:p>
    <w:p>
      <w:pPr>
        <w:pStyle w:val="710"/>
        <w:jc w:val="both"/>
        <w:spacing w:beforeAutospacing="0" w:afterAutospacing="0"/>
        <w:rPr>
          <w:highlight w:val="none"/>
        </w:rPr>
      </w:pPr>
      <w:r>
        <w:rPr>
          <w:highlight w:val="none"/>
        </w:rPr>
      </w:r>
      <w:r/>
    </w:p>
    <w:p>
      <w:pPr>
        <w:pStyle w:val="710"/>
        <w:jc w:val="both"/>
        <w:spacing w:beforeAutospacing="0" w:afterAutospacing="0"/>
        <w:rPr>
          <w:highlight w:val="none"/>
        </w:rPr>
      </w:pPr>
      <w:r>
        <w:rPr>
          <w:highlight w:val="none"/>
        </w:rPr>
      </w:r>
      <w:r/>
    </w:p>
    <w:p>
      <w:pPr>
        <w:pStyle w:val="710"/>
        <w:jc w:val="both"/>
        <w:spacing w:beforeAutospacing="0" w:afterAutospacing="0"/>
        <w:rPr>
          <w:highlight w:val="none"/>
        </w:rPr>
      </w:pPr>
      <w:r>
        <w:rPr>
          <w:highlight w:val="none"/>
        </w:rPr>
      </w:r>
      <w:r/>
    </w:p>
    <w:p>
      <w:pPr>
        <w:pStyle w:val="710"/>
        <w:jc w:val="both"/>
        <w:spacing w:beforeAutospacing="0" w:afterAutospacing="0"/>
        <w:rPr>
          <w:highlight w:val="none"/>
        </w:rPr>
      </w:pPr>
      <w:r>
        <w:rPr>
          <w:highlight w:val="none"/>
        </w:rPr>
      </w:r>
      <w:r/>
    </w:p>
    <w:p>
      <w:pPr>
        <w:pStyle w:val="710"/>
        <w:jc w:val="both"/>
        <w:spacing w:beforeAutospacing="0" w:afterAutospacing="0"/>
        <w:rPr>
          <w:highlight w:val="none"/>
        </w:rPr>
      </w:pPr>
      <w:r>
        <w:rPr>
          <w:highlight w:val="none"/>
        </w:rPr>
      </w:r>
      <w:r/>
    </w:p>
    <w:p>
      <w:pPr>
        <w:pStyle w:val="710"/>
        <w:jc w:val="both"/>
        <w:spacing w:beforeAutospacing="0" w:afterAutospacing="0"/>
        <w:rPr>
          <w:highlight w:val="none"/>
        </w:rPr>
      </w:pPr>
      <w:r>
        <w:rPr>
          <w:highlight w:val="none"/>
        </w:rPr>
      </w:r>
      <w:r/>
    </w:p>
    <w:p>
      <w:pPr>
        <w:pStyle w:val="710"/>
        <w:jc w:val="both"/>
        <w:spacing w:beforeAutospacing="0" w:afterAutospacing="0"/>
        <w:rPr>
          <w:highlight w:val="none"/>
        </w:rPr>
      </w:pPr>
      <w:r>
        <w:rPr>
          <w:highlight w:val="none"/>
        </w:rPr>
      </w:r>
      <w:r/>
    </w:p>
    <w:p>
      <w:pPr>
        <w:pStyle w:val="710"/>
        <w:jc w:val="both"/>
        <w:spacing w:beforeAutospacing="0" w:afterAutospacing="0"/>
        <w:rPr>
          <w:highlight w:val="none"/>
        </w:rPr>
      </w:pPr>
      <w:r>
        <w:rPr>
          <w:highlight w:val="none"/>
        </w:rPr>
      </w:r>
      <w:r/>
    </w:p>
    <w:p>
      <w:pPr>
        <w:pStyle w:val="710"/>
        <w:jc w:val="both"/>
        <w:spacing w:beforeAutospacing="0" w:afterAutospacing="0"/>
        <w:rPr>
          <w:highlight w:val="none"/>
        </w:rPr>
      </w:pPr>
      <w:r>
        <w:rPr>
          <w:highlight w:val="none"/>
        </w:rPr>
        <w:t xml:space="preserve"> </w:t>
      </w:r>
      <w:r/>
    </w:p>
    <w:p>
      <w:pPr>
        <w:pStyle w:val="710"/>
        <w:jc w:val="both"/>
        <w:spacing w:beforeAutospacing="0" w:afterAutospacing="0"/>
        <w:rPr>
          <w:highlight w:val="none"/>
        </w:rPr>
      </w:pPr>
      <w:r>
        <w:rPr>
          <w:highlight w:val="none"/>
        </w:rPr>
        <w:t xml:space="preserve"> </w:t>
      </w:r>
      <w:r/>
    </w:p>
    <w:p>
      <w:pPr>
        <w:pStyle w:val="710"/>
        <w:jc w:val="both"/>
        <w:spacing w:beforeAutospacing="0" w:afterAutospacing="0"/>
        <w:rPr>
          <w:highlight w:val="none"/>
        </w:rPr>
      </w:pPr>
      <w:r>
        <w:rPr>
          <w:highlight w:val="none"/>
        </w:rPr>
        <w:t xml:space="preserve"> </w:t>
      </w:r>
      <w:r/>
    </w:p>
    <w:p>
      <w:pPr>
        <w:pStyle w:val="710"/>
        <w:jc w:val="center"/>
        <w:spacing w:beforeAutospacing="0" w:afterAutospacing="0"/>
        <w:rPr>
          <w:highlight w:val="none"/>
        </w:rPr>
      </w:pPr>
      <w:r/>
      <w:bookmarkStart w:id="195" w:name="_Hlt26955054"/>
      <w:r>
        <w:rPr>
          <w:rFonts w:hint="eastAsia" w:ascii="黑体" w:hAnsi="宋体" w:eastAsia="黑体" w:cs="黑体"/>
          <w:b/>
          <w:color w:val="000000"/>
          <w:sz w:val="32"/>
          <w:szCs w:val="32"/>
          <w:highlight w:val="none"/>
        </w:rPr>
        <w:t xml:space="preserve">十</w:t>
      </w:r>
      <w:r>
        <w:rPr>
          <w:rFonts w:hint="eastAsia" w:ascii="黑体" w:hAnsi="宋体" w:eastAsia="黑体" w:cs="黑体"/>
          <w:b/>
          <w:color w:val="000000"/>
          <w:sz w:val="32"/>
          <w:szCs w:val="32"/>
          <w:highlight w:val="none"/>
          <w:lang w:val="en-US" w:eastAsia="zh-CN"/>
        </w:rPr>
        <w:t xml:space="preserve">二</w:t>
      </w:r>
      <w:r>
        <w:rPr>
          <w:rFonts w:hint="eastAsia" w:ascii="黑体" w:hAnsi="宋体" w:eastAsia="黑体" w:cs="黑体"/>
          <w:b/>
          <w:color w:val="000000"/>
          <w:sz w:val="32"/>
          <w:szCs w:val="32"/>
          <w:highlight w:val="none"/>
        </w:rPr>
        <w:t xml:space="preserve">、商务要求响应及偏离表</w:t>
      </w:r>
      <w:r/>
    </w:p>
    <w:tbl>
      <w:tblPr>
        <w:tblStyle w:val="689"/>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661"/>
        <w:gridCol w:w="2469"/>
        <w:gridCol w:w="2645"/>
        <w:gridCol w:w="1244"/>
        <w:gridCol w:w="15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10"/>
              <w:jc w:val="center"/>
              <w:spacing w:beforeAutospacing="0" w:afterAutospacing="0"/>
              <w:rPr>
                <w:highlight w:val="none"/>
              </w:rPr>
            </w:pPr>
            <w:r/>
            <w:bookmarkStart w:id="196" w:name="_Hlt26955064"/>
            <w:r/>
            <w:bookmarkStart w:id="197" w:name="_Hlt26671343"/>
            <w:r/>
            <w:bookmarkStart w:id="198" w:name="_Hlt24879081"/>
            <w:r/>
            <w:bookmarkStart w:id="199" w:name="_Hlt26609391"/>
            <w:r/>
            <w:bookmarkStart w:id="200" w:name="_Hlt26782999"/>
            <w:r/>
            <w:bookmarkStart w:id="201" w:name="_Hlt26671372"/>
            <w:r/>
            <w:bookmarkStart w:id="202" w:name="_Hlt26955056"/>
            <w:r/>
            <w:bookmarkStart w:id="203" w:name="_Hlt26580838"/>
            <w:r>
              <w:rPr>
                <w:rFonts w:hint="eastAsia" w:ascii="宋体" w:hAnsi="宋体" w:eastAsia="宋体" w:cs="宋体"/>
                <w:color w:val="000000"/>
                <w:highlight w:val="none"/>
              </w:rPr>
              <w:t xml:space="preserve">序号</w:t>
            </w:r>
            <w:bookmarkEnd w:id="196"/>
            <w:r/>
            <w:bookmarkEnd w:id="197"/>
            <w:r/>
            <w:bookmarkEnd w:id="198"/>
            <w:r/>
            <w:bookmarkEnd w:id="199"/>
            <w:r/>
            <w:bookmarkEnd w:id="200"/>
            <w:r/>
            <w:bookmarkEnd w:id="201"/>
            <w:r/>
            <w:bookmarkEnd w:id="202"/>
            <w:r/>
            <w:bookmarkEnd w:id="203"/>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10"/>
              <w:jc w:val="center"/>
              <w:spacing w:beforeAutospacing="0" w:afterAutospacing="0"/>
              <w:rPr>
                <w:highlight w:val="none"/>
              </w:rPr>
            </w:pPr>
            <w:r>
              <w:rPr>
                <w:rFonts w:hint="eastAsia" w:ascii="宋体" w:hAnsi="宋体" w:eastAsia="宋体" w:cs="宋体"/>
                <w:color w:val="000000"/>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10"/>
              <w:jc w:val="center"/>
              <w:spacing w:beforeAutospacing="0" w:afterAutospacing="0"/>
              <w:rPr>
                <w:highlight w:val="none"/>
              </w:rPr>
            </w:pPr>
            <w:r>
              <w:rPr>
                <w:rFonts w:hint="eastAsia" w:ascii="宋体" w:hAnsi="宋体" w:eastAsia="宋体" w:cs="宋体"/>
                <w:color w:val="000000"/>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10"/>
              <w:jc w:val="center"/>
              <w:spacing w:beforeAutospacing="0" w:afterAutospacing="0"/>
              <w:rPr>
                <w:highlight w:val="none"/>
              </w:rPr>
            </w:pPr>
            <w:r>
              <w:rPr>
                <w:rFonts w:hint="eastAsia" w:ascii="宋体" w:hAnsi="宋体" w:eastAsia="宋体" w:cs="宋体"/>
                <w:color w:val="000000"/>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10"/>
              <w:jc w:val="center"/>
              <w:spacing w:beforeAutospacing="0" w:afterAutospacing="0"/>
              <w:rPr>
                <w:highlight w:val="none"/>
              </w:rPr>
            </w:pPr>
            <w:r>
              <w:rPr>
                <w:rFonts w:hint="eastAsia" w:ascii="宋体" w:hAnsi="宋体" w:eastAsia="宋体" w:cs="宋体"/>
                <w:color w:val="000000"/>
                <w:highlight w:val="none"/>
              </w:rPr>
              <w:t xml:space="preserve">证明</w:t>
            </w:r>
            <w:r/>
          </w:p>
          <w:p>
            <w:pPr>
              <w:pStyle w:val="710"/>
              <w:jc w:val="center"/>
              <w:spacing w:beforeAutospacing="0" w:afterAutospacing="0"/>
              <w:rPr>
                <w:highlight w:val="none"/>
              </w:rPr>
            </w:pPr>
            <w:r>
              <w:rPr>
                <w:rFonts w:hint="eastAsia" w:ascii="宋体" w:hAnsi="宋体" w:eastAsia="宋体" w:cs="宋体"/>
                <w:color w:val="000000"/>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1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1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1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1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10"/>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1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1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1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1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10"/>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1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1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1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1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10"/>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1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1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1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1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10"/>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1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1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1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1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10"/>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1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1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1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1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10"/>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1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1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1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1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10"/>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1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1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1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1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10"/>
              <w:jc w:val="center"/>
              <w:spacing w:beforeAutospacing="0" w:afterAutospacing="0"/>
              <w:rPr>
                <w:highlight w:val="none"/>
              </w:rPr>
            </w:pPr>
            <w:r>
              <w:rPr>
                <w:highlight w:val="none"/>
              </w:rPr>
              <w:t xml:space="preserve"> </w:t>
            </w:r>
            <w:r/>
          </w:p>
        </w:tc>
      </w:tr>
    </w:tbl>
    <w:p>
      <w:pPr>
        <w:pStyle w:val="710"/>
        <w:jc w:val="both"/>
        <w:spacing w:beforeAutospacing="0" w:afterAutospacing="0"/>
        <w:rPr>
          <w:highlight w:val="none"/>
        </w:rPr>
      </w:pPr>
      <w:r>
        <w:rPr>
          <w:rFonts w:hint="eastAsia" w:ascii="宋体" w:hAnsi="宋体" w:eastAsia="宋体" w:cs="宋体"/>
          <w:color w:val="000000"/>
          <w:highlight w:val="none"/>
        </w:rPr>
        <w:t xml:space="preserve">注： 行数不够，可自行添加。</w:t>
      </w:r>
      <w:r/>
    </w:p>
    <w:p>
      <w:pPr>
        <w:pStyle w:val="710"/>
        <w:jc w:val="both"/>
        <w:spacing w:beforeAutospacing="0" w:afterAutospacing="0" w:line="480" w:lineRule="auto"/>
        <w:rPr>
          <w:highlight w:val="none"/>
        </w:rPr>
      </w:pPr>
      <w:r>
        <w:rPr>
          <w:highlight w:val="none"/>
        </w:rPr>
        <w:t xml:space="preserve"> </w:t>
      </w:r>
      <w:r/>
    </w:p>
    <w:p>
      <w:pPr>
        <w:pStyle w:val="710"/>
        <w:jc w:val="both"/>
        <w:spacing w:beforeAutospacing="0" w:afterAutospacing="0" w:line="480" w:lineRule="auto"/>
        <w:rPr>
          <w:highlight w:val="none"/>
        </w:rPr>
      </w:pPr>
      <w:r>
        <w:rPr>
          <w:highlight w:val="none"/>
        </w:rPr>
        <w:t xml:space="preserve"> </w:t>
      </w:r>
      <w:r/>
    </w:p>
    <w:p>
      <w:pPr>
        <w:pStyle w:val="710"/>
        <w:jc w:val="center"/>
        <w:spacing w:beforeAutospacing="0" w:afterAutospacing="0"/>
        <w:rPr>
          <w:highlight w:val="none"/>
        </w:rPr>
      </w:pPr>
      <w:r/>
      <w:bookmarkStart w:id="204" w:name="_Toc462564146"/>
      <w:r/>
      <w:bookmarkStart w:id="205" w:name="_格式2__法定代表人授权书"/>
      <w:r/>
      <w:bookmarkStart w:id="206" w:name="_Hlt26955066"/>
      <w:r/>
      <w:bookmarkStart w:id="207" w:name="_Hlt26609389"/>
      <w:r/>
      <w:bookmarkStart w:id="208" w:name="_Hlt26671374"/>
      <w:r>
        <w:rPr>
          <w:highlight w:val="none"/>
        </w:rPr>
        <w:t xml:space="preserve"> </w:t>
      </w:r>
      <w:r/>
    </w:p>
    <w:p>
      <w:pPr>
        <w:pStyle w:val="710"/>
        <w:jc w:val="both"/>
        <w:spacing w:beforeAutospacing="0" w:afterAutospacing="0"/>
        <w:rPr>
          <w:highlight w:val="none"/>
        </w:rPr>
      </w:pPr>
      <w:r>
        <w:rPr>
          <w:highlight w:val="none"/>
        </w:rPr>
        <w:t xml:space="preserve"> </w:t>
      </w:r>
      <w:r/>
    </w:p>
    <w:p>
      <w:pPr>
        <w:pStyle w:val="710"/>
        <w:jc w:val="both"/>
        <w:spacing w:beforeAutospacing="0" w:afterAutospacing="0"/>
        <w:rPr>
          <w:highlight w:val="none"/>
        </w:rPr>
      </w:pPr>
      <w:r>
        <w:rPr>
          <w:highlight w:val="none"/>
        </w:rPr>
        <w:t xml:space="preserve"> </w:t>
      </w:r>
      <w:r/>
    </w:p>
    <w:p>
      <w:pPr>
        <w:pStyle w:val="710"/>
        <w:jc w:val="both"/>
        <w:spacing w:beforeAutospacing="0" w:afterAutospacing="0"/>
        <w:rPr>
          <w:highlight w:val="none"/>
        </w:rPr>
      </w:pPr>
      <w:r>
        <w:rPr>
          <w:highlight w:val="none"/>
        </w:rPr>
      </w:r>
      <w:r/>
    </w:p>
    <w:p>
      <w:pPr>
        <w:pStyle w:val="710"/>
        <w:jc w:val="both"/>
        <w:spacing w:beforeAutospacing="0" w:afterAutospacing="0"/>
        <w:rPr>
          <w:highlight w:val="none"/>
        </w:rPr>
      </w:pPr>
      <w:r>
        <w:rPr>
          <w:highlight w:val="none"/>
        </w:rPr>
      </w:r>
      <w:r/>
    </w:p>
    <w:p>
      <w:pPr>
        <w:pStyle w:val="710"/>
        <w:jc w:val="both"/>
        <w:spacing w:beforeAutospacing="0" w:afterAutospacing="0"/>
        <w:rPr>
          <w:highlight w:val="none"/>
        </w:rPr>
      </w:pPr>
      <w:r>
        <w:rPr>
          <w:highlight w:val="none"/>
        </w:rPr>
      </w:r>
      <w:r/>
    </w:p>
    <w:p>
      <w:pPr>
        <w:pStyle w:val="710"/>
        <w:jc w:val="both"/>
        <w:spacing w:beforeAutospacing="0" w:afterAutospacing="0"/>
        <w:rPr>
          <w:highlight w:val="none"/>
        </w:rPr>
      </w:pPr>
      <w:r>
        <w:rPr>
          <w:highlight w:val="none"/>
        </w:rPr>
      </w:r>
      <w:r/>
    </w:p>
    <w:p>
      <w:pPr>
        <w:pStyle w:val="710"/>
        <w:jc w:val="both"/>
        <w:spacing w:beforeAutospacing="0" w:afterAutospacing="0"/>
        <w:rPr>
          <w:highlight w:val="none"/>
        </w:rPr>
      </w:pPr>
      <w:r>
        <w:rPr>
          <w:highlight w:val="none"/>
        </w:rPr>
      </w:r>
      <w:r/>
    </w:p>
    <w:p>
      <w:pPr>
        <w:pStyle w:val="710"/>
        <w:jc w:val="both"/>
        <w:spacing w:beforeAutospacing="0" w:afterAutospacing="0"/>
        <w:rPr>
          <w:highlight w:val="none"/>
        </w:rPr>
      </w:pPr>
      <w:r>
        <w:rPr>
          <w:highlight w:val="none"/>
        </w:rPr>
      </w:r>
      <w:r/>
    </w:p>
    <w:p>
      <w:pPr>
        <w:pStyle w:val="710"/>
        <w:jc w:val="both"/>
        <w:spacing w:beforeAutospacing="0" w:afterAutospacing="0"/>
        <w:rPr>
          <w:highlight w:val="none"/>
        </w:rPr>
      </w:pPr>
      <w:r>
        <w:rPr>
          <w:highlight w:val="none"/>
        </w:rPr>
      </w:r>
      <w:r/>
    </w:p>
    <w:p>
      <w:pPr>
        <w:pStyle w:val="710"/>
        <w:jc w:val="both"/>
        <w:spacing w:beforeAutospacing="0" w:afterAutospacing="0"/>
        <w:rPr>
          <w:highlight w:val="none"/>
        </w:rPr>
      </w:pPr>
      <w:r>
        <w:rPr>
          <w:highlight w:val="none"/>
        </w:rPr>
      </w:r>
      <w:r/>
    </w:p>
    <w:p>
      <w:pPr>
        <w:pStyle w:val="710"/>
        <w:jc w:val="both"/>
        <w:spacing w:beforeAutospacing="0" w:afterAutospacing="0"/>
        <w:rPr>
          <w:highlight w:val="none"/>
        </w:rPr>
      </w:pPr>
      <w:r>
        <w:rPr>
          <w:highlight w:val="none"/>
        </w:rPr>
      </w:r>
      <w:r/>
    </w:p>
    <w:p>
      <w:pPr>
        <w:pStyle w:val="710"/>
        <w:jc w:val="both"/>
        <w:spacing w:beforeAutospacing="0" w:afterAutospacing="0"/>
        <w:rPr>
          <w:highlight w:val="none"/>
        </w:rPr>
      </w:pPr>
      <w:r>
        <w:rPr>
          <w:highlight w:val="none"/>
        </w:rPr>
      </w:r>
      <w:r/>
    </w:p>
    <w:p>
      <w:pPr>
        <w:pStyle w:val="710"/>
        <w:jc w:val="both"/>
        <w:spacing w:beforeAutospacing="0" w:afterAutospacing="0"/>
        <w:rPr>
          <w:highlight w:val="none"/>
        </w:rPr>
      </w:pPr>
      <w:r>
        <w:rPr>
          <w:highlight w:val="none"/>
        </w:rPr>
      </w:r>
      <w:r/>
    </w:p>
    <w:p>
      <w:pPr>
        <w:pStyle w:val="710"/>
        <w:jc w:val="both"/>
        <w:spacing w:beforeAutospacing="0" w:afterAutospacing="0"/>
        <w:rPr>
          <w:highlight w:val="none"/>
        </w:rPr>
      </w:pPr>
      <w:r>
        <w:rPr>
          <w:highlight w:val="none"/>
        </w:rPr>
      </w:r>
      <w:r/>
    </w:p>
    <w:p>
      <w:pPr>
        <w:pStyle w:val="710"/>
        <w:jc w:val="both"/>
        <w:spacing w:beforeAutospacing="0" w:afterAutospacing="0"/>
        <w:rPr>
          <w:highlight w:val="none"/>
        </w:rPr>
      </w:pPr>
      <w:r>
        <w:rPr>
          <w:highlight w:val="none"/>
        </w:rPr>
      </w:r>
      <w:r/>
    </w:p>
    <w:p>
      <w:pPr>
        <w:pStyle w:val="710"/>
        <w:jc w:val="both"/>
        <w:spacing w:beforeAutospacing="0" w:afterAutospacing="0"/>
        <w:rPr>
          <w:highlight w:val="none"/>
        </w:rPr>
      </w:pPr>
      <w:r>
        <w:rPr>
          <w:highlight w:val="none"/>
        </w:rPr>
      </w:r>
      <w:r/>
    </w:p>
    <w:p>
      <w:pPr>
        <w:pStyle w:val="710"/>
        <w:jc w:val="both"/>
        <w:spacing w:beforeAutospacing="0" w:afterAutospacing="0"/>
        <w:rPr>
          <w:highlight w:val="none"/>
        </w:rPr>
      </w:pPr>
      <w:r>
        <w:rPr>
          <w:highlight w:val="none"/>
        </w:rPr>
      </w:r>
      <w:r/>
    </w:p>
    <w:p>
      <w:pPr>
        <w:pStyle w:val="710"/>
        <w:jc w:val="center"/>
        <w:spacing w:beforeAutospacing="0" w:afterAutospacing="0"/>
        <w:rPr>
          <w:rFonts w:hint="eastAsia" w:ascii="黑体" w:hAnsi="宋体" w:eastAsia="黑体" w:cs="黑体"/>
          <w:b/>
          <w:i/>
          <w:color w:val="auto"/>
          <w:sz w:val="32"/>
          <w:szCs w:val="32"/>
          <w:highlight w:val="none"/>
          <w:u w:val="single"/>
        </w:rPr>
      </w:pPr>
      <w:r>
        <w:rPr>
          <w:rFonts w:hint="eastAsia" w:ascii="黑体" w:hAnsi="宋体" w:eastAsia="黑体" w:cs="黑体"/>
          <w:b/>
          <w:i/>
          <w:color w:val="auto"/>
          <w:sz w:val="32"/>
          <w:szCs w:val="32"/>
          <w:highlight w:val="none"/>
          <w:u w:val="single"/>
        </w:rPr>
      </w:r>
      <w:r/>
    </w:p>
    <w:p>
      <w:pPr>
        <w:pStyle w:val="710"/>
        <w:jc w:val="center"/>
        <w:spacing w:beforeAutospacing="0" w:afterAutospacing="0"/>
        <w:rPr>
          <w:rFonts w:hint="eastAsia" w:ascii="黑体" w:hAnsi="宋体" w:eastAsia="黑体" w:cs="黑体"/>
          <w:b/>
          <w:i/>
          <w:color w:val="auto"/>
          <w:sz w:val="32"/>
          <w:szCs w:val="32"/>
          <w:highlight w:val="none"/>
          <w:u w:val="single"/>
        </w:rPr>
      </w:pPr>
      <w:r>
        <w:rPr>
          <w:rFonts w:hint="eastAsia" w:ascii="黑体" w:hAnsi="宋体" w:eastAsia="黑体" w:cs="黑体"/>
          <w:b/>
          <w:i/>
          <w:color w:val="auto"/>
          <w:sz w:val="32"/>
          <w:szCs w:val="32"/>
          <w:highlight w:val="none"/>
          <w:u w:val="single"/>
        </w:rPr>
      </w:r>
      <w:r/>
    </w:p>
    <w:p>
      <w:pPr>
        <w:pStyle w:val="710"/>
        <w:jc w:val="center"/>
        <w:spacing w:beforeAutospacing="0" w:afterAutospacing="0"/>
        <w:rPr>
          <w:color w:val="auto"/>
          <w:highlight w:val="none"/>
        </w:rPr>
      </w:pPr>
      <w:r>
        <w:rPr>
          <w:rFonts w:hint="eastAsia" w:ascii="黑体" w:hAnsi="宋体" w:eastAsia="黑体" w:cs="黑体"/>
          <w:b/>
          <w:i/>
          <w:color w:val="auto"/>
          <w:sz w:val="32"/>
          <w:szCs w:val="32"/>
          <w:highlight w:val="none"/>
          <w:u w:val="single"/>
        </w:rPr>
        <w:t xml:space="preserve">十</w:t>
      </w:r>
      <w:r>
        <w:rPr>
          <w:rFonts w:hint="eastAsia" w:ascii="黑体" w:hAnsi="宋体" w:eastAsia="黑体" w:cs="黑体"/>
          <w:b/>
          <w:i/>
          <w:color w:val="auto"/>
          <w:sz w:val="32"/>
          <w:szCs w:val="32"/>
          <w:highlight w:val="none"/>
          <w:u w:val="single"/>
          <w:lang w:val="en-US" w:eastAsia="zh-CN"/>
        </w:rPr>
        <w:t xml:space="preserve">三</w:t>
      </w:r>
      <w:r>
        <w:rPr>
          <w:rFonts w:hint="eastAsia" w:ascii="黑体" w:hAnsi="宋体" w:eastAsia="黑体" w:cs="黑体"/>
          <w:b/>
          <w:i/>
          <w:color w:val="auto"/>
          <w:sz w:val="32"/>
          <w:szCs w:val="32"/>
          <w:highlight w:val="none"/>
          <w:u w:val="single"/>
        </w:rPr>
        <w:t xml:space="preserve">、开标一览表</w:t>
      </w:r>
      <w:r/>
    </w:p>
    <w:p>
      <w:pPr>
        <w:pStyle w:val="710"/>
        <w:ind w:firstLine="480"/>
        <w:jc w:val="both"/>
        <w:spacing w:beforeAutospacing="0" w:afterAutospacing="0"/>
        <w:rPr>
          <w:color w:val="auto"/>
          <w:highlight w:val="none"/>
        </w:rPr>
      </w:pPr>
      <w:r>
        <w:rPr>
          <w:rFonts w:hint="eastAsia" w:ascii="宋体" w:hAnsi="宋体" w:eastAsia="宋体" w:cs="宋体"/>
          <w:color w:val="auto"/>
          <w:highlight w:val="none"/>
        </w:rPr>
        <w:t xml:space="preserve">投标人全称（加盖CA电子签章）：</w:t>
      </w:r>
      <w:r/>
    </w:p>
    <w:p>
      <w:pPr>
        <w:pStyle w:val="710"/>
        <w:ind w:firstLine="480"/>
        <w:jc w:val="both"/>
        <w:keepLines w:val="0"/>
        <w:keepNext w:val="0"/>
        <w:pageBreakBefore w:val="0"/>
        <w:spacing w:beforeAutospacing="0" w:afterAutospacing="0" w:line="360" w:lineRule="auto"/>
        <w:widowControl w:val="off"/>
        <w:rPr>
          <w:color w:val="auto"/>
          <w:highlight w:val="none"/>
          <w:u w:val="none"/>
        </w:rPr>
      </w:pPr>
      <w:r>
        <w:rPr>
          <w:rFonts w:hint="eastAsia" w:ascii="宋体" w:hAnsi="宋体" w:eastAsia="宋体" w:cs="宋体"/>
          <w:color w:val="auto"/>
          <w:highlight w:val="none"/>
        </w:rPr>
        <w:t xml:space="preserve">项目名称：</w:t>
      </w:r>
      <w:r>
        <w:rPr>
          <w:rFonts w:hint="eastAsia" w:ascii="宋体" w:hAnsi="宋体" w:eastAsia="宋体" w:cs="宋体"/>
          <w:color w:val="auto"/>
          <w:sz w:val="24"/>
          <w:szCs w:val="24"/>
          <w:highlight w:val="none"/>
          <w:u w:val="none"/>
          <w:lang w:val="en-US" w:eastAsia="zh-CN"/>
        </w:rPr>
        <w:t xml:space="preserve">阜宁</w:t>
      </w:r>
      <w:r>
        <w:rPr>
          <w:rFonts w:hint="eastAsia" w:ascii="宋体" w:hAnsi="宋体" w:eastAsia="宋体" w:cs="宋体"/>
          <w:color w:val="auto"/>
          <w:sz w:val="24"/>
          <w:szCs w:val="24"/>
          <w:highlight w:val="none"/>
          <w:u w:val="none"/>
        </w:rPr>
        <w:t xml:space="preserve">县市场监督管理局202</w:t>
      </w:r>
      <w:r>
        <w:rPr>
          <w:rFonts w:hint="eastAsia" w:ascii="宋体" w:hAnsi="宋体" w:eastAsia="宋体" w:cs="宋体"/>
          <w:color w:val="auto"/>
          <w:sz w:val="24"/>
          <w:szCs w:val="24"/>
          <w:highlight w:val="none"/>
          <w:u w:val="none"/>
          <w:lang w:val="en-US" w:eastAsia="zh-CN"/>
        </w:rPr>
        <w:t xml:space="preserve">6</w:t>
      </w:r>
      <w:r>
        <w:rPr>
          <w:rFonts w:hint="eastAsia" w:ascii="宋体" w:hAnsi="宋体" w:eastAsia="宋体" w:cs="宋体"/>
          <w:color w:val="auto"/>
          <w:sz w:val="24"/>
          <w:szCs w:val="24"/>
          <w:highlight w:val="none"/>
          <w:u w:val="none"/>
        </w:rPr>
        <w:t xml:space="preserve">-202</w:t>
      </w:r>
      <w:r>
        <w:rPr>
          <w:rFonts w:hint="eastAsia" w:ascii="宋体" w:hAnsi="宋体" w:eastAsia="宋体" w:cs="宋体"/>
          <w:color w:val="auto"/>
          <w:sz w:val="24"/>
          <w:szCs w:val="24"/>
          <w:highlight w:val="none"/>
          <w:u w:val="none"/>
          <w:lang w:val="en-US" w:eastAsia="zh-CN"/>
        </w:rPr>
        <w:t xml:space="preserve">7</w:t>
      </w:r>
      <w:r>
        <w:rPr>
          <w:rFonts w:hint="eastAsia" w:ascii="宋体" w:hAnsi="宋体" w:eastAsia="宋体" w:cs="宋体"/>
          <w:color w:val="auto"/>
          <w:sz w:val="24"/>
          <w:szCs w:val="24"/>
          <w:highlight w:val="none"/>
          <w:u w:val="none"/>
        </w:rPr>
        <w:t xml:space="preserve">年度农贸（农批）市场快检运维服务项目</w:t>
      </w:r>
      <w:r/>
    </w:p>
    <w:p>
      <w:pPr>
        <w:pStyle w:val="710"/>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项目</w:t>
      </w:r>
      <w:r>
        <w:rPr>
          <w:rFonts w:hint="eastAsia" w:ascii="宋体" w:hAnsi="宋体" w:eastAsia="宋体" w:cs="宋体"/>
          <w:color w:val="auto"/>
          <w:highlight w:val="none"/>
        </w:rPr>
        <w:t xml:space="preserve">编号：</w:t>
      </w:r>
      <w:r>
        <w:rPr>
          <w:rFonts w:ascii="Segoe UI" w:hAnsi="Segoe UI" w:eastAsia="Segoe UI" w:cs="Segoe UI"/>
          <w:i w:val="0"/>
          <w:iCs w:val="0"/>
          <w:caps w:val="0"/>
          <w:spacing w:val="0"/>
          <w:sz w:val="21"/>
          <w:szCs w:val="21"/>
          <w:shd w:val="clear" w:color="auto" w:fill="ffffff"/>
        </w:rPr>
        <w:t xml:space="preserve">JSZC-320923-ZCGL-G2026-0009</w:t>
      </w:r>
      <w:r/>
    </w:p>
    <w:tbl>
      <w:tblPr>
        <w:tblStyle w:val="689"/>
        <w:tblW w:w="8206"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710"/>
              <w:jc w:val="center"/>
              <w:spacing w:beforeAutospacing="0" w:afterAutospacing="0"/>
              <w:rPr>
                <w:color w:val="auto"/>
                <w:highlight w:val="none"/>
              </w:rPr>
            </w:pPr>
            <w:r>
              <w:rPr>
                <w:rFonts w:hint="eastAsia" w:ascii="宋体" w:hAnsi="宋体" w:eastAsia="宋体" w:cs="宋体"/>
                <w:color w:val="auto"/>
                <w:highlight w:val="none"/>
              </w:rPr>
              <w:t xml:space="preserve">投标总报价</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710"/>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大写：</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710"/>
              <w:spacing w:beforeAutospacing="0" w:afterAutospacing="0" w:line="0" w:lineRule="atLeast"/>
              <w:rPr>
                <w:color w:val="auto"/>
                <w:highlight w:val="none"/>
              </w:rPr>
            </w:pPr>
            <w:r>
              <w:rPr>
                <w:rFonts w:hint="eastAsia" w:ascii="宋体" w:hAnsi="宋体" w:eastAsia="宋体" w:cs="宋体"/>
                <w:color w:val="auto"/>
                <w:highlight w:val="none"/>
              </w:rPr>
              <w:t xml:space="preserve">小写：                       （人民币：元）</w:t>
            </w:r>
            <w:r/>
          </w:p>
        </w:tc>
      </w:tr>
    </w:tbl>
    <w:p>
      <w:pPr>
        <w:pStyle w:val="710"/>
        <w:jc w:val="both"/>
        <w:spacing w:beforeAutospacing="0" w:afterAutospacing="0"/>
        <w:rPr>
          <w:color w:val="auto"/>
          <w:highlight w:val="none"/>
        </w:rPr>
      </w:pPr>
      <w:r>
        <w:rPr>
          <w:color w:val="auto"/>
          <w:highlight w:val="none"/>
        </w:rPr>
        <w:t xml:space="preserve"> </w:t>
      </w:r>
      <w:r/>
    </w:p>
    <w:p>
      <w:pPr>
        <w:pStyle w:val="710"/>
        <w:ind w:firstLine="480"/>
        <w:jc w:val="both"/>
        <w:spacing w:beforeAutospacing="0" w:afterAutospacing="0"/>
        <w:rPr>
          <w:color w:val="auto"/>
          <w:highlight w:val="none"/>
        </w:rPr>
      </w:pPr>
      <w:r>
        <w:rPr>
          <w:rFonts w:hint="eastAsia" w:ascii="宋体" w:hAnsi="宋体" w:eastAsia="宋体" w:cs="宋体"/>
          <w:color w:val="auto"/>
          <w:highlight w:val="none"/>
        </w:rPr>
        <w:t xml:space="preserve">                                              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p>
    <w:p>
      <w:pPr>
        <w:pStyle w:val="710"/>
        <w:ind w:firstLine="480"/>
        <w:jc w:val="both"/>
        <w:spacing w:beforeAutospacing="0" w:afterAutospacing="0"/>
        <w:rPr>
          <w:highlight w:val="none"/>
        </w:rPr>
      </w:pPr>
      <w:r>
        <w:rPr>
          <w:highlight w:val="none"/>
        </w:rPr>
        <w:t xml:space="preserve"> </w:t>
      </w:r>
      <w:r/>
    </w:p>
    <w:p>
      <w:pPr>
        <w:pStyle w:val="710"/>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jc w:val="center"/>
        <w:spacing w:before="50" w:after="50"/>
        <w:widowControl/>
        <w:rPr>
          <w:highlight w:val="none"/>
        </w:rPr>
      </w:pPr>
      <w:r>
        <w:rPr>
          <w:highlight w:val="none"/>
        </w:rPr>
      </w:r>
      <w:r/>
    </w:p>
    <w:p>
      <w:pPr>
        <w:jc w:val="center"/>
        <w:spacing w:before="50" w:after="50"/>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jc w:val="center"/>
        <w:spacing w:before="50" w:after="50"/>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jc w:val="center"/>
        <w:spacing w:before="50" w:after="50"/>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jc w:val="center"/>
        <w:spacing w:before="50" w:after="50"/>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jc w:val="center"/>
        <w:spacing w:before="50" w:after="50"/>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jc w:val="center"/>
        <w:spacing w:before="50" w:after="50"/>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jc w:val="center"/>
        <w:spacing w:before="50" w:after="50"/>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jc w:val="center"/>
        <w:spacing w:before="50" w:after="50"/>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jc w:val="center"/>
        <w:spacing w:before="50" w:after="50"/>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jc w:val="center"/>
        <w:spacing w:before="50" w:after="50"/>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jc w:val="center"/>
        <w:spacing w:before="50" w:after="50"/>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jc w:val="center"/>
        <w:spacing w:before="50" w:after="50"/>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jc w:val="center"/>
        <w:spacing w:before="50" w:after="50"/>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jc w:val="center"/>
        <w:spacing w:before="50" w:after="50"/>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jc w:val="center"/>
        <w:spacing w:before="50" w:after="50"/>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jc w:val="center"/>
        <w:spacing w:before="50" w:after="50"/>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jc w:val="center"/>
        <w:spacing w:before="50" w:after="50"/>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jc w:val="center"/>
        <w:spacing w:before="50" w:after="50"/>
        <w:widowControl/>
        <w:rPr>
          <w:rFonts w:ascii="宋体" w:hAnsi="宋体" w:eastAsia="宋体" w:cs="宋体"/>
          <w:b/>
          <w:bCs/>
          <w:sz w:val="24"/>
          <w:highlight w:val="none"/>
        </w:rPr>
      </w:pPr>
      <w:r>
        <w:rPr>
          <w:rFonts w:hint="eastAsia" w:ascii="宋体" w:hAnsi="宋体" w:eastAsia="宋体" w:cs="宋体"/>
          <w:b/>
          <w:bCs/>
          <w:color w:val="000000"/>
          <w:sz w:val="32"/>
          <w:szCs w:val="32"/>
          <w:highlight w:val="none"/>
          <w:lang w:val="en-US" w:eastAsia="zh-CN"/>
        </w:rPr>
        <w:t xml:space="preserve">十四、</w:t>
      </w:r>
      <w:r>
        <w:rPr>
          <w:rFonts w:hint="eastAsia" w:ascii="宋体" w:hAnsi="宋体" w:eastAsia="宋体" w:cs="宋体"/>
          <w:b/>
          <w:bCs/>
          <w:color w:val="000000"/>
          <w:sz w:val="32"/>
          <w:szCs w:val="32"/>
          <w:highlight w:val="none"/>
        </w:rPr>
        <w:t xml:space="preserve">技术方案、服务承诺、培训承诺等</w:t>
      </w:r>
      <w:r/>
    </w:p>
    <w:p>
      <w:pPr>
        <w:pStyle w:val="710"/>
        <w:jc w:val="both"/>
        <w:spacing w:beforeAutospacing="0" w:afterAutospacing="0"/>
        <w:tabs>
          <w:tab w:val="left" w:pos="2160" w:leader="none"/>
        </w:tabs>
        <w:rPr>
          <w:highlight w:val="none"/>
        </w:rPr>
      </w:pPr>
      <w:r>
        <w:rPr>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ind w:firstLine="1600"/>
        <w:spacing w:line="499" w:lineRule="atLeast"/>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ind w:firstLine="1600"/>
        <w:spacing w:line="499" w:lineRule="atLeast"/>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ind w:firstLine="1600"/>
        <w:spacing w:line="499" w:lineRule="atLeast"/>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ind w:firstLine="1600"/>
        <w:spacing w:line="499" w:lineRule="atLeast"/>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ind w:firstLine="1600"/>
        <w:spacing w:line="499" w:lineRule="atLeast"/>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ind w:firstLine="1600"/>
        <w:spacing w:line="499" w:lineRule="atLeast"/>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ind w:firstLine="1600"/>
        <w:spacing w:line="499" w:lineRule="atLeast"/>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ind w:firstLine="1600"/>
        <w:spacing w:line="499" w:lineRule="atLeast"/>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ind w:firstLine="1600"/>
        <w:spacing w:line="499" w:lineRule="atLeast"/>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ind w:firstLine="1600"/>
        <w:spacing w:line="499" w:lineRule="atLeast"/>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ind w:firstLine="1600"/>
        <w:spacing w:line="499" w:lineRule="atLeast"/>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ind w:firstLine="1600"/>
        <w:spacing w:line="499" w:lineRule="atLeast"/>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ind w:firstLine="1600"/>
        <w:spacing w:line="499" w:lineRule="atLeast"/>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ind w:firstLine="1600"/>
        <w:spacing w:line="499" w:lineRule="atLeast"/>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ind w:firstLine="1600"/>
        <w:spacing w:line="499" w:lineRule="atLeast"/>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ind w:firstLine="1600"/>
        <w:spacing w:line="499" w:lineRule="atLeast"/>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ind w:firstLine="1600"/>
        <w:spacing w:line="499" w:lineRule="atLeast"/>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ind w:firstLine="1600"/>
        <w:spacing w:line="499" w:lineRule="atLeast"/>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br w:type="page" w:clear="all"/>
      </w:r>
      <w:r/>
    </w:p>
    <w:p>
      <w:pPr>
        <w:ind w:firstLine="1600"/>
        <w:spacing w:line="499" w:lineRule="atLeast"/>
        <w:widowControl/>
        <w:rPr>
          <w:rFonts w:ascii="宋体" w:hAnsi="宋体" w:eastAsia="宋体" w:cs="宋体"/>
          <w:b/>
          <w:bCs/>
          <w:sz w:val="24"/>
          <w:highlight w:val="none"/>
        </w:rPr>
      </w:pPr>
      <w:r>
        <w:rPr>
          <w:rFonts w:hint="eastAsia" w:ascii="宋体" w:hAnsi="宋体" w:eastAsia="宋体" w:cs="宋体"/>
          <w:b/>
          <w:bCs/>
          <w:color w:val="000000"/>
          <w:sz w:val="32"/>
          <w:szCs w:val="32"/>
          <w:highlight w:val="none"/>
        </w:rPr>
        <w:t xml:space="preserve">十</w:t>
      </w:r>
      <w:r>
        <w:rPr>
          <w:rFonts w:hint="eastAsia" w:ascii="宋体" w:hAnsi="宋体" w:eastAsia="宋体" w:cs="宋体"/>
          <w:b/>
          <w:bCs/>
          <w:color w:val="000000"/>
          <w:sz w:val="32"/>
          <w:szCs w:val="32"/>
          <w:highlight w:val="none"/>
          <w:lang w:val="en-US" w:eastAsia="zh-CN"/>
        </w:rPr>
        <w:t xml:space="preserve">五</w:t>
      </w:r>
      <w:r>
        <w:rPr>
          <w:rFonts w:hint="eastAsia" w:ascii="宋体" w:hAnsi="宋体" w:eastAsia="宋体" w:cs="宋体"/>
          <w:b/>
          <w:bCs/>
          <w:color w:val="000000"/>
          <w:sz w:val="32"/>
          <w:szCs w:val="32"/>
          <w:highlight w:val="none"/>
        </w:rPr>
        <w:t xml:space="preserve">、盐城市政府采购事前信用承诺书</w:t>
      </w:r>
      <w:r/>
    </w:p>
    <w:p>
      <w:pPr>
        <w:ind w:firstLine="640"/>
        <w:jc w:val="left"/>
        <w:spacing w:line="499" w:lineRule="atLeast"/>
        <w:widowControl/>
        <w:rPr>
          <w:rFonts w:ascii="宋体" w:hAnsi="宋体" w:eastAsia="宋体" w:cs="宋体"/>
          <w:sz w:val="24"/>
          <w:highlight w:val="none"/>
        </w:rPr>
      </w:pPr>
      <w:r>
        <w:rPr>
          <w:rFonts w:hint="eastAsia" w:ascii="宋体" w:hAnsi="宋体" w:eastAsia="宋体" w:cs="宋体"/>
          <w:color w:val="000000"/>
          <w:sz w:val="32"/>
          <w:szCs w:val="32"/>
          <w:highlight w:val="none"/>
        </w:rPr>
        <w:t xml:space="preserve"> </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000000"/>
          <w:sz w:val="24"/>
          <w:highlight w:val="none"/>
          <w:lang w:eastAsia="zh-CN"/>
        </w:rPr>
        <w:t xml:space="preserve">虚假成分</w:t>
      </w:r>
      <w:r>
        <w:rPr>
          <w:rFonts w:hint="eastAsia" w:ascii="宋体" w:hAnsi="宋体" w:eastAsia="宋体" w:cs="宋体"/>
          <w:color w:val="000000"/>
          <w:sz w:val="24"/>
          <w:highlight w:val="none"/>
        </w:rPr>
        <w:t xml:space="preserve">，并对所提供资料的真实性负责；</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（四）严格遵守即时信息公示规定，及时</w:t>
      </w:r>
      <w:r>
        <w:rPr>
          <w:rFonts w:hint="eastAsia" w:ascii="宋体" w:hAnsi="宋体" w:eastAsia="宋体" w:cs="宋体"/>
          <w:color w:val="000000"/>
          <w:sz w:val="24"/>
          <w:highlight w:val="none"/>
          <w:lang w:eastAsia="zh-CN"/>
        </w:rPr>
        <w:t xml:space="preserve">维护和更新</w:t>
      </w:r>
      <w:r>
        <w:rPr>
          <w:rFonts w:hint="eastAsia" w:ascii="宋体" w:hAnsi="宋体" w:eastAsia="宋体" w:cs="宋体"/>
          <w:color w:val="000000"/>
          <w:sz w:val="24"/>
          <w:highlight w:val="none"/>
        </w:rPr>
        <w:t xml:space="preserve">盐城市政府采购网中与本单位相关的信息；</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（六）自觉接受政府、行业组织、社会公众、新闻舆论的监督；</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（八）本人已认真阅读了上述承诺，并向本单位员工作了宣传教育。</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法定代表人</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签名</w:t>
      </w:r>
      <w:r>
        <w:rPr>
          <w:rFonts w:hint="eastAsia" w:ascii="宋体" w:hAnsi="宋体" w:eastAsia="宋体" w:cs="宋体"/>
          <w:color w:val="000000"/>
          <w:sz w:val="24"/>
          <w:highlight w:val="none"/>
          <w:lang w:eastAsia="zh-CN"/>
        </w:rPr>
        <w:t xml:space="preserve">或</w:t>
      </w:r>
      <w:r>
        <w:rPr>
          <w:rFonts w:hint="eastAsia" w:ascii="宋体" w:hAnsi="宋体" w:eastAsia="宋体" w:cs="宋体"/>
          <w:color w:val="000000"/>
          <w:sz w:val="24"/>
          <w:highlight w:val="none"/>
        </w:rPr>
        <w:t xml:space="preserve">盖章）：</w:t>
      </w:r>
      <w:r/>
    </w:p>
    <w:p>
      <w:pPr>
        <w:jc w:val="center"/>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单位名称（盖章）：</w:t>
      </w:r>
      <w:r/>
    </w:p>
    <w:p>
      <w:pPr>
        <w:jc w:val="center"/>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日</w:t>
      </w:r>
      <w:bookmarkEnd w:id="31"/>
      <w:r/>
      <w:bookmarkEnd w:id="46"/>
      <w:r/>
      <w:bookmarkEnd w:id="91"/>
      <w:r/>
      <w:bookmarkEnd w:id="92"/>
      <w:r/>
      <w:bookmarkEnd w:id="93"/>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13"/>
      <w:r/>
      <w:bookmarkEnd w:id="114"/>
      <w:r/>
      <w:bookmarkEnd w:id="115"/>
      <w:r/>
      <w:bookmarkEnd w:id="120"/>
      <w:r/>
      <w:bookmarkEnd w:id="121"/>
      <w:r/>
      <w:bookmarkEnd w:id="128"/>
      <w:r/>
      <w:bookmarkEnd w:id="178"/>
      <w:r/>
      <w:bookmarkEnd w:id="179"/>
      <w:r/>
      <w:bookmarkEnd w:id="189"/>
      <w:r/>
      <w:bookmarkEnd w:id="190"/>
      <w:r/>
      <w:bookmarkEnd w:id="192"/>
      <w:r/>
      <w:bookmarkEnd w:id="193"/>
      <w:r/>
      <w:bookmarkEnd w:id="194"/>
      <w:r/>
      <w:bookmarkEnd w:id="195"/>
      <w:r/>
      <w:bookmarkEnd w:id="204"/>
      <w:r/>
      <w:bookmarkEnd w:id="205"/>
      <w:r/>
      <w:bookmarkEnd w:id="206"/>
      <w:r/>
      <w:bookmarkEnd w:id="207"/>
      <w:r/>
      <w:bookmarkEnd w:id="208"/>
      <w:r/>
      <w:r/>
    </w:p>
    <w:p>
      <w:pPr>
        <w:pStyle w:val="710"/>
        <w:jc w:val="center"/>
        <w:spacing w:beforeAutospacing="0" w:afterAutospacing="0"/>
        <w:rPr>
          <w:highlight w:val="none"/>
        </w:rPr>
      </w:pPr>
      <w:r>
        <w:rPr>
          <w:highlight w:val="none"/>
        </w:rPr>
      </w:r>
      <w:r/>
    </w:p>
    <w:p>
      <w:pPr>
        <w:rPr>
          <w:highlight w:val="none"/>
        </w:rPr>
      </w:pPr>
      <w:r>
        <w:rPr>
          <w:highlight w:val="none"/>
        </w:rPr>
      </w:r>
      <w:r/>
    </w:p>
    <w:p>
      <w:pPr>
        <w:pStyle w:val="710"/>
        <w:jc w:val="both"/>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10"/>
        <w:jc w:val="center"/>
        <w:spacing w:beforeAutospacing="0" w:afterAutospacing="0"/>
        <w:rPr>
          <w:rFonts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质疑函范本</w:t>
      </w:r>
      <w:r/>
    </w:p>
    <w:p>
      <w:pPr>
        <w:pStyle w:val="710"/>
        <w:jc w:val="both"/>
        <w:spacing w:before="290"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一、质疑供应商基本信息</w:t>
      </w:r>
      <w:r/>
    </w:p>
    <w:p>
      <w:pPr>
        <w:pStyle w:val="710"/>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质疑供应商：</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710"/>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地址：</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710"/>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710"/>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联系人：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710"/>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p>
    <w:p>
      <w:pPr>
        <w:pStyle w:val="710"/>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授权代表：</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710"/>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710"/>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地址：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710"/>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p>
    <w:p>
      <w:pPr>
        <w:pStyle w:val="710"/>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二、质疑项目基本情况</w:t>
      </w:r>
      <w:r/>
    </w:p>
    <w:p>
      <w:pPr>
        <w:pStyle w:val="710"/>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质疑项目的名称：</w:t>
      </w:r>
      <w:r>
        <w:rPr>
          <w:rFonts w:hint="eastAsia" w:ascii="宋体" w:hAnsi="宋体" w:eastAsia="宋体" w:cs="宋体"/>
          <w:color w:val="000000"/>
          <w:highlight w:val="none"/>
          <w:u w:val="single"/>
        </w:rPr>
        <w:t xml:space="preserve">                            </w:t>
      </w:r>
      <w:r/>
    </w:p>
    <w:p>
      <w:pPr>
        <w:pStyle w:val="710"/>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质疑项目的编号：</w:t>
      </w:r>
      <w:r>
        <w:rPr>
          <w:rFonts w:hint="eastAsia" w:ascii="宋体" w:hAnsi="宋体" w:eastAsia="宋体" w:cs="宋体"/>
          <w:color w:val="000000"/>
          <w:highlight w:val="none"/>
          <w:u w:val="single"/>
        </w:rPr>
        <w:t xml:space="preserve">                          </w:t>
      </w:r>
      <w:r/>
    </w:p>
    <w:p>
      <w:pPr>
        <w:pStyle w:val="710"/>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包号：</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710"/>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采购人名称：</w:t>
      </w:r>
      <w:r>
        <w:rPr>
          <w:rFonts w:hint="eastAsia" w:ascii="宋体" w:hAnsi="宋体" w:eastAsia="宋体" w:cs="宋体"/>
          <w:color w:val="000000"/>
          <w:highlight w:val="none"/>
          <w:u w:val="single"/>
        </w:rPr>
        <w:t xml:space="preserve">                            </w:t>
      </w:r>
      <w:r/>
    </w:p>
    <w:p>
      <w:pPr>
        <w:pStyle w:val="710"/>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采购文件获取日期：</w:t>
      </w:r>
      <w:r>
        <w:rPr>
          <w:rFonts w:hint="eastAsia" w:ascii="宋体" w:hAnsi="宋体" w:eastAsia="宋体" w:cs="宋体"/>
          <w:color w:val="000000"/>
          <w:highlight w:val="none"/>
          <w:u w:val="single"/>
        </w:rPr>
        <w:t xml:space="preserve">                             </w:t>
      </w:r>
      <w:r/>
    </w:p>
    <w:p>
      <w:pPr>
        <w:pStyle w:val="710"/>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三、质疑事项具体内容</w:t>
      </w:r>
      <w:r/>
    </w:p>
    <w:p>
      <w:pPr>
        <w:pStyle w:val="710"/>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质疑事项1：</w:t>
      </w:r>
      <w:r>
        <w:rPr>
          <w:rFonts w:hint="eastAsia" w:ascii="宋体" w:hAnsi="宋体" w:eastAsia="宋体" w:cs="宋体"/>
          <w:color w:val="000000"/>
          <w:highlight w:val="none"/>
          <w:u w:val="single"/>
        </w:rPr>
        <w:t xml:space="preserve">                             </w:t>
      </w:r>
      <w:r/>
    </w:p>
    <w:p>
      <w:pPr>
        <w:pStyle w:val="710"/>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事实依据：</w:t>
      </w:r>
      <w:r>
        <w:rPr>
          <w:rFonts w:hint="eastAsia" w:ascii="宋体" w:hAnsi="宋体" w:eastAsia="宋体" w:cs="宋体"/>
          <w:color w:val="000000"/>
          <w:highlight w:val="none"/>
          <w:u w:val="single"/>
        </w:rPr>
        <w:t xml:space="preserve">                                                   </w:t>
      </w:r>
      <w:r/>
    </w:p>
    <w:p>
      <w:pPr>
        <w:pStyle w:val="710"/>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法律依据：</w:t>
      </w:r>
      <w:r>
        <w:rPr>
          <w:rFonts w:hint="eastAsia" w:ascii="宋体" w:hAnsi="宋体" w:eastAsia="宋体" w:cs="宋体"/>
          <w:color w:val="000000"/>
          <w:highlight w:val="none"/>
          <w:u w:val="single"/>
        </w:rPr>
        <w:t xml:space="preserve">                                                    </w:t>
      </w:r>
      <w:r/>
    </w:p>
    <w:p>
      <w:pPr>
        <w:pStyle w:val="710"/>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质疑事项2</w:t>
      </w:r>
      <w:r/>
    </w:p>
    <w:p>
      <w:pPr>
        <w:pStyle w:val="710"/>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w:t>
      </w:r>
      <w:r/>
    </w:p>
    <w:p>
      <w:pPr>
        <w:pStyle w:val="710"/>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四、与质疑事项相关的质疑请求</w:t>
      </w:r>
      <w:r/>
    </w:p>
    <w:p>
      <w:pPr>
        <w:pStyle w:val="710"/>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请求：</w:t>
      </w:r>
      <w:r>
        <w:rPr>
          <w:rFonts w:hint="eastAsia" w:ascii="宋体" w:hAnsi="宋体" w:eastAsia="宋体" w:cs="宋体"/>
          <w:color w:val="000000"/>
          <w:highlight w:val="none"/>
          <w:u w:val="single"/>
        </w:rPr>
        <w:t xml:space="preserve">                                                          </w:t>
      </w:r>
      <w:r/>
    </w:p>
    <w:p>
      <w:pPr>
        <w:pStyle w:val="710"/>
        <w:jc w:val="both"/>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签字(签章)：                 公章：               日期：    </w:t>
      </w:r>
      <w:r/>
    </w:p>
    <w:p>
      <w:pPr>
        <w:pStyle w:val="710"/>
        <w:jc w:val="both"/>
        <w:spacing w:beforeAutospacing="0" w:afterAutospacing="0" w:line="0" w:lineRule="atLeast"/>
        <w:rPr>
          <w:rFonts w:ascii="宋体" w:hAnsi="宋体" w:eastAsia="宋体" w:cs="宋体"/>
          <w:highlight w:val="none"/>
        </w:rPr>
      </w:pPr>
      <w:r>
        <w:rPr>
          <w:rFonts w:hint="eastAsia" w:ascii="宋体" w:hAnsi="宋体" w:eastAsia="宋体" w:cs="宋体"/>
          <w:b/>
          <w:color w:val="000000"/>
          <w:highlight w:val="none"/>
        </w:rPr>
        <w:t xml:space="preserve">质疑函制作说明：</w:t>
      </w:r>
      <w:r/>
    </w:p>
    <w:p>
      <w:pPr>
        <w:pStyle w:val="710"/>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1.供应商提出质疑时，应提交质疑函和必要的证明材料。</w:t>
      </w:r>
      <w:r/>
    </w:p>
    <w:p>
      <w:pPr>
        <w:pStyle w:val="710"/>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710"/>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3.质疑供应商若对项目的某一分包进行质疑，质疑函中应列明具体分包号。</w:t>
      </w:r>
      <w:r/>
    </w:p>
    <w:p>
      <w:pPr>
        <w:pStyle w:val="710"/>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4.质疑函的质疑事项应具体、明确，并有必要的事实依据和法律依据。</w:t>
      </w:r>
      <w:r/>
    </w:p>
    <w:p>
      <w:pPr>
        <w:pStyle w:val="710"/>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5.质疑函的质疑请求应与质疑事项相关。</w:t>
      </w:r>
      <w:r/>
    </w:p>
    <w:p>
      <w:pPr>
        <w:pStyle w:val="710"/>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6.质疑供应商为自然人的，质疑函应由本人签字；质疑供应商为法人或者其他组织的，质疑函应由法定代表人、主要负责人，或者其授权代表签字或者盖章，并加盖公章。</w:t>
      </w:r>
      <w:r/>
    </w:p>
    <w:p>
      <w:pPr>
        <w:pStyle w:val="710"/>
        <w:ind w:firstLine="420"/>
        <w:jc w:val="both"/>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p>
      <w:pPr>
        <w:rPr>
          <w:highlight w:val="none"/>
        </w:rPr>
      </w:pPr>
      <w:r>
        <w:rPr>
          <w:highlight w:val="none"/>
        </w:rPr>
      </w:r>
      <w:r/>
    </w:p>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仿宋_GB2312">
    <w:panose1 w:val="02010609060101010101"/>
  </w:font>
  <w:font w:name="黑体">
    <w:panose1 w:val="02010609060101010101"/>
  </w:font>
  <w:font w:name="Symbol">
    <w:panose1 w:val="05050102010706020507"/>
  </w:font>
  <w:font w:name="Wingdings">
    <w:panose1 w:val="05000000000000000000"/>
  </w:font>
  <w:font w:name="Courier New">
    <w:panose1 w:val="02070309020205020404"/>
  </w:font>
  <w:font w:name="Calibri">
    <w:panose1 w:val="020F0502020204030204"/>
  </w:font>
  <w:font w:name="楷体_GB2312">
    <w:panose1 w:val="02010609060101010101"/>
  </w:font>
  <w:font w:name="等线">
    <w:panose1 w:val="02010600030101010101"/>
  </w:font>
  <w:font w:name="仿宋">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ascii="Calibri" w:hAnsi="Calibri" w:eastAsia="宋体" w:cs="Times New Roman"/>
        <w:sz w:val="18"/>
        <w:szCs w:val="24"/>
        <w:lang w:val="en-US" w:eastAsia="zh-CN" w:bidi="ar-SA"/>
      </w:rPr>
    </w:pPr>
    <w:r>
      <w:rPr>
        <w:rFonts w:ascii="Calibri" w:hAnsi="Calibri" w:eastAsia="宋体" w:cs="Times New Roman"/>
        <w:sz w:val="18"/>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jc w:val="left"/>
                            <w:widowControl w:val="off"/>
                            <w:tabs>
                              <w:tab w:val="center" w:pos="4153" w:leader="none"/>
                              <w:tab w:val="right" w:pos="8306" w:leader="none"/>
                            </w:tabs>
                            <w:rPr>
                              <w:rFonts w:ascii="Calibri" w:hAnsi="Calibri" w:eastAsia="宋体" w:cs="Times New Roman"/>
                              <w:sz w:val="18"/>
                              <w:szCs w:val="24"/>
                              <w:lang w:val="en-US" w:eastAsia="zh-CN" w:bidi="ar-SA"/>
                            </w:rPr>
                          </w:pPr>
                          <w:r>
                            <w:rPr>
                              <w:rFonts w:ascii="Calibri" w:hAnsi="Calibri" w:eastAsia="宋体" w:cs="Times New Roman"/>
                              <w:sz w:val="18"/>
                              <w:szCs w:val="24"/>
                              <w:lang w:val="en-US" w:eastAsia="zh-CN" w:bidi="ar-SA"/>
                            </w:rPr>
                            <w:fldChar w:fldCharType="begin"/>
                          </w:r>
                          <w:r>
                            <w:rPr>
                              <w:rFonts w:ascii="Calibri" w:hAnsi="Calibri" w:eastAsia="宋体" w:cs="Times New Roman"/>
                              <w:sz w:val="18"/>
                              <w:szCs w:val="24"/>
                              <w:lang w:val="en-US" w:eastAsia="zh-CN" w:bidi="ar-SA"/>
                            </w:rPr>
                            <w:instrText xml:space="preserve"> PAGE  \* MERGEFORMAT </w:instrText>
                          </w:r>
                          <w:r>
                            <w:rPr>
                              <w:rFonts w:ascii="Calibri" w:hAnsi="Calibri" w:eastAsia="宋体" w:cs="Times New Roman"/>
                              <w:sz w:val="18"/>
                              <w:szCs w:val="24"/>
                              <w:lang w:val="en-US" w:eastAsia="zh-CN" w:bidi="ar-SA"/>
                            </w:rPr>
                            <w:fldChar w:fldCharType="separate"/>
                          </w:r>
                          <w:r>
                            <w:rPr>
                              <w:rFonts w:ascii="Calibri" w:hAnsi="Calibri" w:eastAsia="宋体" w:cs="Times New Roman"/>
                              <w:sz w:val="18"/>
                              <w:szCs w:val="24"/>
                              <w:lang w:val="en-US" w:eastAsia="zh-CN" w:bidi="ar-SA"/>
                            </w:rPr>
                            <w:t xml:space="preserve">1</w:t>
                          </w:r>
                          <w:r>
                            <w:rPr>
                              <w:rFonts w:ascii="Calibri" w:hAnsi="Calibri" w:eastAsia="宋体" w:cs="Times New Roman"/>
                              <w:sz w:val="18"/>
                              <w:szCs w:val="24"/>
                              <w:lang w:val="en-US" w:eastAsia="zh-CN" w:bidi="ar-SA"/>
                            </w:rP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left"/>
                      <w:widowControl w:val="off"/>
                      <w:tabs>
                        <w:tab w:val="center" w:pos="4153" w:leader="none"/>
                        <w:tab w:val="right" w:pos="8306" w:leader="none"/>
                      </w:tabs>
                      <w:rPr>
                        <w:rFonts w:ascii="Calibri" w:hAnsi="Calibri" w:eastAsia="宋体" w:cs="Times New Roman"/>
                        <w:sz w:val="18"/>
                        <w:szCs w:val="24"/>
                        <w:lang w:val="en-US" w:eastAsia="zh-CN" w:bidi="ar-SA"/>
                      </w:rPr>
                    </w:pPr>
                    <w:r>
                      <w:rPr>
                        <w:rFonts w:ascii="Calibri" w:hAnsi="Calibri" w:eastAsia="宋体" w:cs="Times New Roman"/>
                        <w:sz w:val="18"/>
                        <w:szCs w:val="24"/>
                        <w:lang w:val="en-US" w:eastAsia="zh-CN" w:bidi="ar-SA"/>
                      </w:rPr>
                      <w:fldChar w:fldCharType="begin"/>
                    </w:r>
                    <w:r>
                      <w:rPr>
                        <w:rFonts w:ascii="Calibri" w:hAnsi="Calibri" w:eastAsia="宋体" w:cs="Times New Roman"/>
                        <w:sz w:val="18"/>
                        <w:szCs w:val="24"/>
                        <w:lang w:val="en-US" w:eastAsia="zh-CN" w:bidi="ar-SA"/>
                      </w:rPr>
                      <w:instrText xml:space="preserve"> PAGE  \* MERGEFORMAT </w:instrText>
                    </w:r>
                    <w:r>
                      <w:rPr>
                        <w:rFonts w:ascii="Calibri" w:hAnsi="Calibri" w:eastAsia="宋体" w:cs="Times New Roman"/>
                        <w:sz w:val="18"/>
                        <w:szCs w:val="24"/>
                        <w:lang w:val="en-US" w:eastAsia="zh-CN" w:bidi="ar-SA"/>
                      </w:rPr>
                      <w:fldChar w:fldCharType="separate"/>
                    </w:r>
                    <w:r>
                      <w:rPr>
                        <w:rFonts w:ascii="Calibri" w:hAnsi="Calibri" w:eastAsia="宋体" w:cs="Times New Roman"/>
                        <w:sz w:val="18"/>
                        <w:szCs w:val="24"/>
                        <w:lang w:val="en-US" w:eastAsia="zh-CN" w:bidi="ar-SA"/>
                      </w:rPr>
                      <w:t xml:space="preserve">1</w:t>
                    </w:r>
                    <w:r>
                      <w:rPr>
                        <w:rFonts w:ascii="Calibri" w:hAnsi="Calibri" w:eastAsia="宋体" w:cs="Times New Roman"/>
                        <w:sz w:val="18"/>
                        <w:szCs w:val="24"/>
                        <w:lang w:val="en-US" w:eastAsia="zh-CN" w:bidi="ar-S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3"/>
  </w:num>
  <w:num w:numId="3">
    <w:abstractNumId w:val="1"/>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8" w:default="1">
    <w:name w:val="Normal"/>
    <w:link w:val="872"/>
    <w:uiPriority w:val="0"/>
    <w:qFormat/>
    <w:pPr>
      <w:jc w:val="both"/>
      <w:widowControl w:val="off"/>
    </w:pPr>
    <w:rPr>
      <w:rFonts w:hint="default" w:asciiTheme="minorHAnsi" w:hAnsiTheme="minorHAnsi" w:eastAsiaTheme="minorEastAsia" w:cstheme="minorBidi"/>
      <w:sz w:val="21"/>
      <w:szCs w:val="24"/>
      <w:lang w:val="en-US" w:eastAsia="zh-CN" w:bidi="ar-SA"/>
    </w:rPr>
  </w:style>
  <w:style w:type="paragraph" w:styleId="679">
    <w:name w:val="Heading 1"/>
    <w:basedOn w:val="678"/>
    <w:next w:val="678"/>
    <w:link w:val="717"/>
    <w:uiPriority w:val="9"/>
    <w:qFormat/>
    <w:pPr>
      <w:keepLines/>
      <w:keepNext/>
      <w:spacing w:before="480" w:after="200"/>
      <w:outlineLvl w:val="0"/>
    </w:pPr>
    <w:rPr>
      <w:rFonts w:ascii="Arial" w:hAnsi="Arial" w:eastAsia="Arial" w:cs="Arial"/>
      <w:sz w:val="40"/>
      <w:szCs w:val="40"/>
    </w:rPr>
  </w:style>
  <w:style w:type="paragraph" w:styleId="680">
    <w:name w:val="Heading 2"/>
    <w:basedOn w:val="678"/>
    <w:next w:val="678"/>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paragraph" w:styleId="681">
    <w:name w:val="Heading 3"/>
    <w:basedOn w:val="678"/>
    <w:next w:val="678"/>
    <w:link w:val="719"/>
    <w:uiPriority w:val="9"/>
    <w:unhideWhenUsed/>
    <w:qFormat/>
    <w:pPr>
      <w:keepLines/>
      <w:keepNext/>
      <w:spacing w:before="320" w:after="200"/>
      <w:outlineLvl w:val="2"/>
    </w:pPr>
    <w:rPr>
      <w:rFonts w:ascii="Arial" w:hAnsi="Arial" w:eastAsia="Arial" w:cs="Arial"/>
      <w:sz w:val="30"/>
      <w:szCs w:val="30"/>
    </w:rPr>
  </w:style>
  <w:style w:type="paragraph" w:styleId="682">
    <w:name w:val="Heading 4"/>
    <w:basedOn w:val="678"/>
    <w:next w:val="678"/>
    <w:link w:val="720"/>
    <w:uiPriority w:val="9"/>
    <w:unhideWhenUsed/>
    <w:qFormat/>
    <w:pPr>
      <w:keepLines/>
      <w:keepNext/>
      <w:spacing w:before="320" w:after="200"/>
      <w:outlineLvl w:val="3"/>
    </w:pPr>
    <w:rPr>
      <w:rFonts w:ascii="Arial" w:hAnsi="Arial" w:eastAsia="Arial" w:cs="Arial"/>
      <w:b/>
      <w:bCs/>
      <w:sz w:val="26"/>
      <w:szCs w:val="26"/>
    </w:rPr>
  </w:style>
  <w:style w:type="paragraph" w:styleId="683">
    <w:name w:val="Heading 5"/>
    <w:basedOn w:val="678"/>
    <w:next w:val="678"/>
    <w:link w:val="721"/>
    <w:uiPriority w:val="9"/>
    <w:unhideWhenUsed/>
    <w:qFormat/>
    <w:pPr>
      <w:keepLines/>
      <w:keepNext/>
      <w:spacing w:before="320" w:after="200"/>
      <w:outlineLvl w:val="4"/>
    </w:pPr>
    <w:rPr>
      <w:rFonts w:ascii="Arial" w:hAnsi="Arial" w:eastAsia="Arial" w:cs="Arial"/>
      <w:b/>
      <w:bCs/>
      <w:sz w:val="24"/>
      <w:szCs w:val="24"/>
    </w:rPr>
  </w:style>
  <w:style w:type="paragraph" w:styleId="684">
    <w:name w:val="Heading 6"/>
    <w:basedOn w:val="678"/>
    <w:next w:val="678"/>
    <w:link w:val="722"/>
    <w:uiPriority w:val="9"/>
    <w:unhideWhenUsed/>
    <w:qFormat/>
    <w:pPr>
      <w:keepLines/>
      <w:keepNext/>
      <w:spacing w:before="320" w:after="200"/>
      <w:outlineLvl w:val="5"/>
    </w:pPr>
    <w:rPr>
      <w:rFonts w:ascii="Arial" w:hAnsi="Arial" w:eastAsia="Arial" w:cs="Arial"/>
      <w:b/>
      <w:bCs/>
      <w:sz w:val="22"/>
      <w:szCs w:val="22"/>
    </w:rPr>
  </w:style>
  <w:style w:type="paragraph" w:styleId="685">
    <w:name w:val="Heading 7"/>
    <w:basedOn w:val="678"/>
    <w:next w:val="678"/>
    <w:link w:val="723"/>
    <w:uiPriority w:val="9"/>
    <w:unhideWhenUsed/>
    <w:qFormat/>
    <w:pPr>
      <w:keepLines/>
      <w:keepNext/>
      <w:spacing w:before="320" w:after="200"/>
      <w:outlineLvl w:val="6"/>
    </w:pPr>
    <w:rPr>
      <w:rFonts w:ascii="Arial" w:hAnsi="Arial" w:eastAsia="Arial" w:cs="Arial"/>
      <w:b/>
      <w:bCs/>
      <w:i/>
      <w:iCs/>
      <w:sz w:val="22"/>
      <w:szCs w:val="22"/>
    </w:rPr>
  </w:style>
  <w:style w:type="paragraph" w:styleId="686">
    <w:name w:val="Heading 8"/>
    <w:basedOn w:val="678"/>
    <w:next w:val="678"/>
    <w:link w:val="724"/>
    <w:uiPriority w:val="9"/>
    <w:unhideWhenUsed/>
    <w:qFormat/>
    <w:pPr>
      <w:keepLines/>
      <w:keepNext/>
      <w:spacing w:before="320" w:after="200"/>
      <w:outlineLvl w:val="7"/>
    </w:pPr>
    <w:rPr>
      <w:rFonts w:ascii="Arial" w:hAnsi="Arial" w:eastAsia="Arial" w:cs="Arial"/>
      <w:i/>
      <w:iCs/>
      <w:sz w:val="22"/>
      <w:szCs w:val="22"/>
    </w:rPr>
  </w:style>
  <w:style w:type="paragraph" w:styleId="687">
    <w:name w:val="Heading 9"/>
    <w:basedOn w:val="678"/>
    <w:next w:val="678"/>
    <w:link w:val="725"/>
    <w:uiPriority w:val="9"/>
    <w:unhideWhenUsed/>
    <w:qFormat/>
    <w:pPr>
      <w:keepLines/>
      <w:keepNext/>
      <w:spacing w:before="320" w:after="200"/>
      <w:outlineLvl w:val="8"/>
    </w:pPr>
    <w:rPr>
      <w:rFonts w:ascii="Arial" w:hAnsi="Arial" w:eastAsia="Arial" w:cs="Arial"/>
      <w:i/>
      <w:iCs/>
      <w:sz w:val="21"/>
      <w:szCs w:val="21"/>
    </w:rPr>
  </w:style>
  <w:style w:type="character" w:styleId="688" w:default="1">
    <w:name w:val="Default Paragraph Font"/>
    <w:uiPriority w:val="1"/>
    <w:semiHidden/>
    <w:unhideWhenUsed/>
    <w:qFormat/>
  </w:style>
  <w:style w:type="table" w:styleId="689" w:default="1">
    <w:name w:val="Normal Table"/>
    <w:uiPriority w:val="99"/>
    <w:semiHidden/>
    <w:unhideWhenUsed/>
    <w:qFormat/>
    <w:tblPr>
      <w:tblCellMar>
        <w:left w:w="108" w:type="dxa"/>
        <w:top w:w="0" w:type="dxa"/>
        <w:right w:w="108" w:type="dxa"/>
        <w:bottom w:w="0" w:type="dxa"/>
      </w:tblCellMar>
    </w:tblPr>
  </w:style>
  <w:style w:type="paragraph" w:styleId="690">
    <w:name w:val="toc 7"/>
    <w:basedOn w:val="678"/>
    <w:next w:val="678"/>
    <w:uiPriority w:val="39"/>
    <w:unhideWhenUsed/>
    <w:qFormat/>
    <w:pPr>
      <w:ind w:left="1701" w:right="0" w:firstLine="0"/>
      <w:spacing w:after="57"/>
    </w:pPr>
  </w:style>
  <w:style w:type="paragraph" w:styleId="691">
    <w:name w:val="Caption"/>
    <w:basedOn w:val="678"/>
    <w:next w:val="678"/>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692">
    <w:name w:val="annotation text"/>
    <w:basedOn w:val="678"/>
    <w:uiPriority w:val="0"/>
    <w:qFormat/>
    <w:pPr>
      <w:jc w:val="left"/>
    </w:pPr>
  </w:style>
  <w:style w:type="paragraph" w:styleId="693">
    <w:name w:val="Body Text"/>
    <w:basedOn w:val="678"/>
    <w:uiPriority w:val="0"/>
    <w:semiHidden/>
    <w:qFormat/>
    <w:rPr>
      <w:rFonts w:ascii="仿宋" w:hAnsi="仿宋" w:eastAsia="仿宋" w:cs="仿宋"/>
      <w:sz w:val="31"/>
      <w:szCs w:val="31"/>
      <w:lang w:val="en-US" w:eastAsia="en-US" w:bidi="ar-SA"/>
    </w:rPr>
  </w:style>
  <w:style w:type="paragraph" w:styleId="694">
    <w:name w:val="Body Text Indent"/>
    <w:next w:val="695"/>
    <w:uiPriority w:val="0"/>
    <w:qFormat/>
    <w:pPr>
      <w:ind w:firstLine="645"/>
      <w:jc w:val="both"/>
      <w:widowControl w:val="off"/>
    </w:pPr>
    <w:rPr>
      <w:rFonts w:hint="default" w:ascii="楷体_GB2312" w:hAnsi="Times New Roman" w:eastAsia="楷体_GB2312" w:cs="Times New Roman"/>
      <w:sz w:val="32"/>
      <w:szCs w:val="32"/>
      <w:lang w:val="en-US" w:eastAsia="zh-CN" w:bidi="ar-SA"/>
    </w:rPr>
  </w:style>
  <w:style w:type="paragraph" w:styleId="695">
    <w:name w:val="envelope return"/>
    <w:uiPriority w:val="0"/>
    <w:qFormat/>
    <w:pPr>
      <w:jc w:val="both"/>
      <w:widowControl w:val="off"/>
    </w:pPr>
    <w:rPr>
      <w:rFonts w:hint="default" w:ascii="Arial" w:hAnsi="Arial" w:eastAsia="宋体" w:cs="Times New Roman"/>
      <w:sz w:val="21"/>
      <w:szCs w:val="21"/>
      <w:lang w:val="en-US" w:eastAsia="zh-CN" w:bidi="ar-SA"/>
    </w:rPr>
  </w:style>
  <w:style w:type="paragraph" w:styleId="696">
    <w:name w:val="toc 5"/>
    <w:basedOn w:val="678"/>
    <w:next w:val="678"/>
    <w:uiPriority w:val="39"/>
    <w:unhideWhenUsed/>
    <w:qFormat/>
    <w:pPr>
      <w:ind w:left="1134" w:right="0" w:firstLine="0"/>
      <w:spacing w:after="57"/>
    </w:pPr>
  </w:style>
  <w:style w:type="paragraph" w:styleId="697">
    <w:name w:val="toc 3"/>
    <w:basedOn w:val="678"/>
    <w:next w:val="678"/>
    <w:uiPriority w:val="39"/>
    <w:unhideWhenUsed/>
    <w:qFormat/>
    <w:pPr>
      <w:ind w:left="567" w:right="0" w:firstLine="0"/>
      <w:spacing w:after="57"/>
    </w:pPr>
  </w:style>
  <w:style w:type="paragraph" w:styleId="698">
    <w:name w:val="toc 8"/>
    <w:basedOn w:val="678"/>
    <w:next w:val="678"/>
    <w:uiPriority w:val="39"/>
    <w:unhideWhenUsed/>
    <w:qFormat/>
    <w:pPr>
      <w:ind w:left="1984" w:right="0" w:firstLine="0"/>
      <w:spacing w:after="57"/>
    </w:pPr>
  </w:style>
  <w:style w:type="paragraph" w:styleId="699">
    <w:name w:val="endnote text"/>
    <w:basedOn w:val="678"/>
    <w:link w:val="863"/>
    <w:uiPriority w:val="99"/>
    <w:semiHidden/>
    <w:unhideWhenUsed/>
    <w:qFormat/>
    <w:pPr>
      <w:spacing w:after="0" w:line="240" w:lineRule="auto"/>
    </w:pPr>
    <w:rPr>
      <w:sz w:val="20"/>
    </w:rPr>
  </w:style>
  <w:style w:type="paragraph" w:styleId="700">
    <w:name w:val="Footer"/>
    <w:basedOn w:val="678"/>
    <w:link w:val="867"/>
    <w:uiPriority w:val="0"/>
    <w:qFormat/>
    <w:pPr>
      <w:jc w:val="left"/>
      <w:tabs>
        <w:tab w:val="center" w:pos="4153" w:leader="none"/>
        <w:tab w:val="right" w:pos="8306" w:leader="none"/>
      </w:tabs>
    </w:pPr>
    <w:rPr>
      <w:sz w:val="18"/>
      <w:szCs w:val="18"/>
    </w:rPr>
  </w:style>
  <w:style w:type="paragraph" w:styleId="701">
    <w:name w:val="Header"/>
    <w:basedOn w:val="678"/>
    <w:link w:val="866"/>
    <w:uiPriority w:val="0"/>
    <w:qFormat/>
    <w:pPr>
      <w:jc w:val="center"/>
      <w:tabs>
        <w:tab w:val="center" w:pos="4153" w:leader="none"/>
        <w:tab w:val="right" w:pos="8306" w:leader="none"/>
      </w:tabs>
      <w:pBdr>
        <w:bottom w:val="single" w:color="auto" w:sz="6" w:space="1"/>
      </w:pBdr>
    </w:pPr>
    <w:rPr>
      <w:sz w:val="18"/>
      <w:szCs w:val="18"/>
    </w:rPr>
  </w:style>
  <w:style w:type="paragraph" w:styleId="702">
    <w:name w:val="toc 1"/>
    <w:basedOn w:val="678"/>
    <w:next w:val="678"/>
    <w:uiPriority w:val="39"/>
    <w:unhideWhenUsed/>
    <w:qFormat/>
    <w:pPr>
      <w:ind w:left="0" w:right="0" w:firstLine="0"/>
      <w:spacing w:after="57"/>
    </w:pPr>
  </w:style>
  <w:style w:type="paragraph" w:styleId="703">
    <w:name w:val="toc 4"/>
    <w:basedOn w:val="678"/>
    <w:next w:val="678"/>
    <w:uiPriority w:val="39"/>
    <w:unhideWhenUsed/>
    <w:qFormat/>
    <w:pPr>
      <w:ind w:left="850" w:right="0" w:firstLine="0"/>
      <w:spacing w:after="57"/>
    </w:pPr>
  </w:style>
  <w:style w:type="paragraph" w:styleId="704">
    <w:name w:val="Subtitle"/>
    <w:basedOn w:val="678"/>
    <w:next w:val="678"/>
    <w:link w:val="729"/>
    <w:uiPriority w:val="11"/>
    <w:qFormat/>
    <w:pPr>
      <w:spacing w:before="200" w:after="200"/>
    </w:pPr>
    <w:rPr>
      <w:sz w:val="24"/>
      <w:szCs w:val="24"/>
    </w:rPr>
  </w:style>
  <w:style w:type="paragraph" w:styleId="705">
    <w:name w:val="footnote text"/>
    <w:basedOn w:val="678"/>
    <w:link w:val="862"/>
    <w:uiPriority w:val="99"/>
    <w:semiHidden/>
    <w:unhideWhenUsed/>
    <w:qFormat/>
    <w:pPr>
      <w:spacing w:after="40" w:line="240" w:lineRule="auto"/>
    </w:pPr>
    <w:rPr>
      <w:sz w:val="18"/>
    </w:rPr>
  </w:style>
  <w:style w:type="paragraph" w:styleId="706">
    <w:name w:val="toc 6"/>
    <w:basedOn w:val="678"/>
    <w:next w:val="678"/>
    <w:uiPriority w:val="39"/>
    <w:unhideWhenUsed/>
    <w:qFormat/>
    <w:pPr>
      <w:ind w:left="1417" w:right="0" w:firstLine="0"/>
      <w:spacing w:after="57"/>
    </w:pPr>
  </w:style>
  <w:style w:type="paragraph" w:styleId="707">
    <w:name w:val="table of figures"/>
    <w:basedOn w:val="678"/>
    <w:next w:val="678"/>
    <w:uiPriority w:val="99"/>
    <w:unhideWhenUsed/>
    <w:qFormat/>
    <w:pPr>
      <w:spacing w:after="0" w:afterAutospacing="0"/>
    </w:pPr>
  </w:style>
  <w:style w:type="paragraph" w:styleId="708">
    <w:name w:val="toc 2"/>
    <w:basedOn w:val="678"/>
    <w:next w:val="678"/>
    <w:uiPriority w:val="39"/>
    <w:unhideWhenUsed/>
    <w:qFormat/>
    <w:pPr>
      <w:ind w:left="283" w:right="0" w:firstLine="0"/>
      <w:spacing w:after="57"/>
    </w:pPr>
  </w:style>
  <w:style w:type="paragraph" w:styleId="709">
    <w:name w:val="toc 9"/>
    <w:basedOn w:val="678"/>
    <w:next w:val="678"/>
    <w:uiPriority w:val="39"/>
    <w:unhideWhenUsed/>
    <w:qFormat/>
    <w:pPr>
      <w:ind w:left="2268" w:right="0" w:firstLine="0"/>
      <w:spacing w:after="57"/>
    </w:pPr>
  </w:style>
  <w:style w:type="paragraph" w:styleId="710">
    <w:name w:val="Normal (Web)"/>
    <w:basedOn w:val="678"/>
    <w:uiPriority w:val="0"/>
    <w:qFormat/>
    <w:pPr>
      <w:jc w:val="left"/>
      <w:spacing w:beforeAutospacing="1" w:afterAutospacing="1"/>
    </w:pPr>
    <w:rPr>
      <w:rFonts w:cs="Times New Roman"/>
      <w:sz w:val="24"/>
    </w:rPr>
  </w:style>
  <w:style w:type="paragraph" w:styleId="711">
    <w:name w:val="Title"/>
    <w:basedOn w:val="678"/>
    <w:next w:val="678"/>
    <w:link w:val="728"/>
    <w:uiPriority w:val="10"/>
    <w:qFormat/>
    <w:pPr>
      <w:contextualSpacing/>
      <w:spacing w:before="300" w:after="200"/>
    </w:pPr>
    <w:rPr>
      <w:sz w:val="48"/>
      <w:szCs w:val="48"/>
    </w:rPr>
  </w:style>
  <w:style w:type="paragraph" w:styleId="712">
    <w:name w:val="Body Text First Indent 2"/>
    <w:next w:val="678"/>
    <w:uiPriority w:val="0"/>
    <w:qFormat/>
    <w:pPr>
      <w:ind w:firstLine="420"/>
      <w:jc w:val="both"/>
      <w:spacing w:line="360" w:lineRule="auto"/>
      <w:widowControl w:val="off"/>
    </w:pPr>
    <w:rPr>
      <w:rFonts w:hint="default" w:ascii="宋体" w:hAnsi="宋体" w:eastAsia="宋体" w:cs="Times New Roman"/>
      <w:sz w:val="21"/>
      <w:szCs w:val="20"/>
      <w:lang w:val="en-US" w:eastAsia="zh-CN" w:bidi="ar-SA"/>
    </w:rPr>
  </w:style>
  <w:style w:type="table" w:styleId="713">
    <w:name w:val="Table Grid"/>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14">
    <w:name w:val="endnote reference"/>
    <w:basedOn w:val="688"/>
    <w:uiPriority w:val="99"/>
    <w:semiHidden/>
    <w:unhideWhenUsed/>
    <w:qFormat/>
    <w:rPr>
      <w:vertAlign w:val="superscript"/>
    </w:rPr>
  </w:style>
  <w:style w:type="character" w:styleId="715">
    <w:name w:val="Hyperlink"/>
    <w:uiPriority w:val="99"/>
    <w:unhideWhenUsed/>
    <w:qFormat/>
    <w:rPr>
      <w:color w:val="0563c1" w:themeColor="hyperlink"/>
      <w:u w:val="single"/>
      <w14:textFill>
        <w14:solidFill>
          <w14:schemeClr w14:val="hlink"/>
        </w14:solidFill>
      </w14:textFill>
    </w:rPr>
  </w:style>
  <w:style w:type="character" w:styleId="716">
    <w:name w:val="footnote reference"/>
    <w:basedOn w:val="688"/>
    <w:uiPriority w:val="99"/>
    <w:unhideWhenUsed/>
    <w:qFormat/>
    <w:rPr>
      <w:vertAlign w:val="superscript"/>
    </w:rPr>
  </w:style>
  <w:style w:type="character" w:styleId="717" w:customStyle="1">
    <w:name w:val="Heading 1 Char"/>
    <w:basedOn w:val="688"/>
    <w:link w:val="679"/>
    <w:uiPriority w:val="9"/>
    <w:qFormat/>
    <w:rPr>
      <w:rFonts w:ascii="Arial" w:hAnsi="Arial" w:eastAsia="Arial" w:cs="Arial"/>
      <w:sz w:val="40"/>
      <w:szCs w:val="40"/>
    </w:rPr>
  </w:style>
  <w:style w:type="character" w:styleId="718" w:customStyle="1">
    <w:name w:val="Heading 2 Char"/>
    <w:basedOn w:val="688"/>
    <w:uiPriority w:val="9"/>
    <w:qFormat/>
    <w:rPr>
      <w:rFonts w:ascii="Arial" w:hAnsi="Arial" w:eastAsia="Arial" w:cs="Arial"/>
      <w:sz w:val="34"/>
    </w:rPr>
  </w:style>
  <w:style w:type="character" w:styleId="719" w:customStyle="1">
    <w:name w:val="Heading 3 Char"/>
    <w:basedOn w:val="688"/>
    <w:link w:val="681"/>
    <w:uiPriority w:val="9"/>
    <w:qFormat/>
    <w:rPr>
      <w:rFonts w:ascii="Arial" w:hAnsi="Arial" w:eastAsia="Arial" w:cs="Arial"/>
      <w:sz w:val="30"/>
      <w:szCs w:val="30"/>
    </w:rPr>
  </w:style>
  <w:style w:type="character" w:styleId="720" w:customStyle="1">
    <w:name w:val="Heading 4 Char"/>
    <w:basedOn w:val="688"/>
    <w:link w:val="682"/>
    <w:uiPriority w:val="9"/>
    <w:qFormat/>
    <w:rPr>
      <w:rFonts w:ascii="Arial" w:hAnsi="Arial" w:eastAsia="Arial" w:cs="Arial"/>
      <w:b/>
      <w:bCs/>
      <w:sz w:val="26"/>
      <w:szCs w:val="26"/>
    </w:rPr>
  </w:style>
  <w:style w:type="character" w:styleId="721" w:customStyle="1">
    <w:name w:val="Heading 5 Char"/>
    <w:basedOn w:val="688"/>
    <w:link w:val="683"/>
    <w:uiPriority w:val="9"/>
    <w:qFormat/>
    <w:rPr>
      <w:rFonts w:ascii="Arial" w:hAnsi="Arial" w:eastAsia="Arial" w:cs="Arial"/>
      <w:b/>
      <w:bCs/>
      <w:sz w:val="24"/>
      <w:szCs w:val="24"/>
    </w:rPr>
  </w:style>
  <w:style w:type="character" w:styleId="722" w:customStyle="1">
    <w:name w:val="Heading 6 Char"/>
    <w:basedOn w:val="688"/>
    <w:link w:val="684"/>
    <w:uiPriority w:val="9"/>
    <w:qFormat/>
    <w:rPr>
      <w:rFonts w:ascii="Arial" w:hAnsi="Arial" w:eastAsia="Arial" w:cs="Arial"/>
      <w:b/>
      <w:bCs/>
      <w:sz w:val="22"/>
      <w:szCs w:val="22"/>
    </w:rPr>
  </w:style>
  <w:style w:type="character" w:styleId="723" w:customStyle="1">
    <w:name w:val="Heading 7 Char"/>
    <w:basedOn w:val="688"/>
    <w:link w:val="685"/>
    <w:uiPriority w:val="9"/>
    <w:qFormat/>
    <w:rPr>
      <w:rFonts w:ascii="Arial" w:hAnsi="Arial" w:eastAsia="Arial" w:cs="Arial"/>
      <w:b/>
      <w:bCs/>
      <w:i/>
      <w:iCs/>
      <w:sz w:val="22"/>
      <w:szCs w:val="22"/>
    </w:rPr>
  </w:style>
  <w:style w:type="character" w:styleId="724" w:customStyle="1">
    <w:name w:val="Heading 8 Char"/>
    <w:basedOn w:val="688"/>
    <w:link w:val="686"/>
    <w:uiPriority w:val="9"/>
    <w:qFormat/>
    <w:rPr>
      <w:rFonts w:ascii="Arial" w:hAnsi="Arial" w:eastAsia="Arial" w:cs="Arial"/>
      <w:i/>
      <w:iCs/>
      <w:sz w:val="22"/>
      <w:szCs w:val="22"/>
    </w:rPr>
  </w:style>
  <w:style w:type="character" w:styleId="725" w:customStyle="1">
    <w:name w:val="Heading 9 Char"/>
    <w:basedOn w:val="688"/>
    <w:link w:val="687"/>
    <w:uiPriority w:val="9"/>
    <w:qFormat/>
    <w:rPr>
      <w:rFonts w:ascii="Arial" w:hAnsi="Arial" w:eastAsia="Arial" w:cs="Arial"/>
      <w:i/>
      <w:iCs/>
      <w:sz w:val="21"/>
      <w:szCs w:val="21"/>
    </w:rPr>
  </w:style>
  <w:style w:type="paragraph" w:styleId="726">
    <w:name w:val="List Paragraph"/>
    <w:basedOn w:val="678"/>
    <w:uiPriority w:val="34"/>
    <w:qFormat/>
    <w:pPr>
      <w:contextualSpacing/>
      <w:ind w:left="720"/>
    </w:pPr>
  </w:style>
  <w:style w:type="paragraph" w:styleId="727">
    <w:name w:val="No Spacing"/>
    <w:uiPriority w:val="1"/>
    <w:qFormat/>
    <w:pPr>
      <w:spacing w:before="0" w:after="0" w:line="240" w:lineRule="auto"/>
    </w:pPr>
    <w:rPr>
      <w:rFonts w:hint="default" w:ascii="Times New Roman" w:hAnsi="Times New Roman" w:eastAsia="宋体" w:cs="Times New Roman"/>
    </w:rPr>
  </w:style>
  <w:style w:type="character" w:styleId="728" w:customStyle="1">
    <w:name w:val="Title Char"/>
    <w:basedOn w:val="688"/>
    <w:link w:val="711"/>
    <w:uiPriority w:val="10"/>
    <w:qFormat/>
    <w:rPr>
      <w:sz w:val="48"/>
      <w:szCs w:val="48"/>
    </w:rPr>
  </w:style>
  <w:style w:type="character" w:styleId="729" w:customStyle="1">
    <w:name w:val="Subtitle Char"/>
    <w:basedOn w:val="688"/>
    <w:link w:val="704"/>
    <w:uiPriority w:val="11"/>
    <w:qFormat/>
    <w:rPr>
      <w:sz w:val="24"/>
      <w:szCs w:val="24"/>
    </w:rPr>
  </w:style>
  <w:style w:type="paragraph" w:styleId="730">
    <w:name w:val="Quote"/>
    <w:basedOn w:val="678"/>
    <w:next w:val="678"/>
    <w:link w:val="731"/>
    <w:uiPriority w:val="29"/>
    <w:qFormat/>
    <w:pPr>
      <w:ind w:left="720" w:right="720"/>
    </w:pPr>
    <w:rPr>
      <w:i/>
    </w:rPr>
  </w:style>
  <w:style w:type="character" w:styleId="731" w:customStyle="1">
    <w:name w:val="Quote Char"/>
    <w:link w:val="730"/>
    <w:uiPriority w:val="29"/>
    <w:qFormat/>
    <w:rPr>
      <w:i/>
    </w:rPr>
  </w:style>
  <w:style w:type="paragraph" w:styleId="732">
    <w:name w:val="Intense Quote"/>
    <w:basedOn w:val="678"/>
    <w:next w:val="678"/>
    <w:link w:val="73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3" w:customStyle="1">
    <w:name w:val="Intense Quote Char"/>
    <w:link w:val="732"/>
    <w:uiPriority w:val="30"/>
    <w:qFormat/>
    <w:rPr>
      <w:i/>
    </w:rPr>
  </w:style>
  <w:style w:type="character" w:styleId="734" w:customStyle="1">
    <w:name w:val="Header Char"/>
    <w:basedOn w:val="688"/>
    <w:uiPriority w:val="99"/>
    <w:qFormat/>
  </w:style>
  <w:style w:type="character" w:styleId="735" w:customStyle="1">
    <w:name w:val="Footer Char"/>
    <w:basedOn w:val="688"/>
    <w:uiPriority w:val="99"/>
    <w:qFormat/>
  </w:style>
  <w:style w:type="character" w:styleId="736" w:customStyle="1">
    <w:name w:val="Caption Char"/>
    <w:uiPriority w:val="99"/>
    <w:qFormat/>
  </w:style>
  <w:style w:type="table" w:styleId="737" w:customStyle="1">
    <w:name w:val="Table Grid Light"/>
    <w:basedOn w:val="68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38" w:customStyle="1">
    <w:name w:val="Plain Table 1"/>
    <w:basedOn w:val="68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9" w:customStyle="1">
    <w:name w:val="Plain Table 2"/>
    <w:basedOn w:val="68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0" w:customStyle="1">
    <w:name w:val="Plain Table 3"/>
    <w:basedOn w:val="68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1" w:customStyle="1">
    <w:name w:val="Plain Table 4"/>
    <w:basedOn w:val="68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2" w:customStyle="1">
    <w:name w:val="Plain Table 5"/>
    <w:basedOn w:val="68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3" w:customStyle="1">
    <w:name w:val="Grid Table 1 Light"/>
    <w:basedOn w:val="68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4" w:customStyle="1">
    <w:name w:val="Grid Table 1 Light - Accent 1"/>
    <w:basedOn w:val="689"/>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45" w:customStyle="1">
    <w:name w:val="Grid Table 1 Light - Accent 2"/>
    <w:basedOn w:val="689"/>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46" w:customStyle="1">
    <w:name w:val="Grid Table 1 Light - Accent 3"/>
    <w:basedOn w:val="689"/>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47" w:customStyle="1">
    <w:name w:val="Grid Table 1 Light - Accent 4"/>
    <w:basedOn w:val="689"/>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48" w:customStyle="1">
    <w:name w:val="Grid Table 1 Light - Accent 5"/>
    <w:basedOn w:val="689"/>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49" w:customStyle="1">
    <w:name w:val="Grid Table 1 Light - Accent 6"/>
    <w:basedOn w:val="689"/>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50" w:customStyle="1">
    <w:name w:val="Grid Table 2"/>
    <w:basedOn w:val="68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1" w:customStyle="1">
    <w:name w:val="Grid Table 2 - Accent 1"/>
    <w:basedOn w:val="689"/>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52" w:customStyle="1">
    <w:name w:val="Grid Table 2 - Accent 2"/>
    <w:basedOn w:val="689"/>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53" w:customStyle="1">
    <w:name w:val="Grid Table 2 - Accent 3"/>
    <w:basedOn w:val="689"/>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54" w:customStyle="1">
    <w:name w:val="Grid Table 2 - Accent 4"/>
    <w:basedOn w:val="689"/>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55" w:customStyle="1">
    <w:name w:val="Grid Table 2 - Accent 5"/>
    <w:basedOn w:val="689"/>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56" w:customStyle="1">
    <w:name w:val="Grid Table 2 - Accent 6"/>
    <w:basedOn w:val="689"/>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57" w:customStyle="1">
    <w:name w:val="Grid Table 3"/>
    <w:basedOn w:val="68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8" w:customStyle="1">
    <w:name w:val="Grid Table 3 - Accent 1"/>
    <w:basedOn w:val="689"/>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9" w:customStyle="1">
    <w:name w:val="Grid Table 3 - Accent 2"/>
    <w:basedOn w:val="689"/>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0" w:customStyle="1">
    <w:name w:val="Grid Table 3 - Accent 3"/>
    <w:basedOn w:val="689"/>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1" w:customStyle="1">
    <w:name w:val="Grid Table 3 - Accent 4"/>
    <w:basedOn w:val="689"/>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2" w:customStyle="1">
    <w:name w:val="Grid Table 3 - Accent 5"/>
    <w:basedOn w:val="689"/>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3" w:customStyle="1">
    <w:name w:val="Grid Table 3 - Accent 6"/>
    <w:basedOn w:val="689"/>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Grid Table 4"/>
    <w:basedOn w:val="68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5" w:customStyle="1">
    <w:name w:val="Grid Table 4 - Accent 1"/>
    <w:basedOn w:val="689"/>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66" w:customStyle="1">
    <w:name w:val="Grid Table 4 - Accent 2"/>
    <w:basedOn w:val="689"/>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67" w:customStyle="1">
    <w:name w:val="Grid Table 4 - Accent 3"/>
    <w:basedOn w:val="689"/>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68" w:customStyle="1">
    <w:name w:val="Grid Table 4 - Accent 4"/>
    <w:basedOn w:val="689"/>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69" w:customStyle="1">
    <w:name w:val="Grid Table 4 - Accent 5"/>
    <w:basedOn w:val="689"/>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70" w:customStyle="1">
    <w:name w:val="Grid Table 4 - Accent 6"/>
    <w:basedOn w:val="689"/>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71" w:customStyle="1">
    <w:name w:val="Grid Table 5 Dark"/>
    <w:basedOn w:val="68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2" w:customStyle="1">
    <w:name w:val="Grid Table 5 Dark- Accent 1"/>
    <w:basedOn w:val="68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73" w:customStyle="1">
    <w:name w:val="Grid Table 5 Dark - Accent 2"/>
    <w:basedOn w:val="68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74" w:customStyle="1">
    <w:name w:val="Grid Table 5 Dark - Accent 3"/>
    <w:basedOn w:val="68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75" w:customStyle="1">
    <w:name w:val="Grid Table 5 Dark- Accent 4"/>
    <w:basedOn w:val="68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76" w:customStyle="1">
    <w:name w:val="Grid Table 5 Dark - Accent 5"/>
    <w:basedOn w:val="68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77" w:customStyle="1">
    <w:name w:val="Grid Table 5 Dark - Accent 6"/>
    <w:basedOn w:val="68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78" w:customStyle="1">
    <w:name w:val="Grid Table 6 Colorful"/>
    <w:basedOn w:val="68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9" w:customStyle="1">
    <w:name w:val="Grid Table 6 Colorful - Accent 1"/>
    <w:basedOn w:val="689"/>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780" w:customStyle="1">
    <w:name w:val="Grid Table 6 Colorful - Accent 2"/>
    <w:basedOn w:val="689"/>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781" w:customStyle="1">
    <w:name w:val="Grid Table 6 Colorful - Accent 3"/>
    <w:basedOn w:val="689"/>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782" w:customStyle="1">
    <w:name w:val="Grid Table 6 Colorful - Accent 4"/>
    <w:basedOn w:val="689"/>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783" w:customStyle="1">
    <w:name w:val="Grid Table 6 Colorful - Accent 5"/>
    <w:basedOn w:val="689"/>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84" w:customStyle="1">
    <w:name w:val="Grid Table 6 Colorful - Accent 6"/>
    <w:basedOn w:val="689"/>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85" w:customStyle="1">
    <w:name w:val="Grid Table 7 Colorful"/>
    <w:basedOn w:val="68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6" w:customStyle="1">
    <w:name w:val="Grid Table 7 Colorful - Accent 1"/>
    <w:basedOn w:val="689"/>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787" w:customStyle="1">
    <w:name w:val="Grid Table 7 Colorful - Accent 2"/>
    <w:basedOn w:val="689"/>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788" w:customStyle="1">
    <w:name w:val="Grid Table 7 Colorful - Accent 3"/>
    <w:basedOn w:val="689"/>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789" w:customStyle="1">
    <w:name w:val="Grid Table 7 Colorful - Accent 4"/>
    <w:basedOn w:val="689"/>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790" w:customStyle="1">
    <w:name w:val="Grid Table 7 Colorful - Accent 5"/>
    <w:basedOn w:val="689"/>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791" w:customStyle="1">
    <w:name w:val="Grid Table 7 Colorful - Accent 6"/>
    <w:basedOn w:val="689"/>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792" w:customStyle="1">
    <w:name w:val="List Table 1 Light"/>
    <w:basedOn w:val="68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3" w:customStyle="1">
    <w:name w:val="List Table 1 Light - Accent 1"/>
    <w:basedOn w:val="689"/>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794" w:customStyle="1">
    <w:name w:val="List Table 1 Light - Accent 2"/>
    <w:basedOn w:val="689"/>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795" w:customStyle="1">
    <w:name w:val="List Table 1 Light - Accent 3"/>
    <w:basedOn w:val="689"/>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796" w:customStyle="1">
    <w:name w:val="List Table 1 Light - Accent 4"/>
    <w:basedOn w:val="689"/>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797" w:customStyle="1">
    <w:name w:val="List Table 1 Light - Accent 5"/>
    <w:basedOn w:val="689"/>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798" w:customStyle="1">
    <w:name w:val="List Table 1 Light - Accent 6"/>
    <w:basedOn w:val="689"/>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799" w:customStyle="1">
    <w:name w:val="List Table 2"/>
    <w:basedOn w:val="68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0" w:customStyle="1">
    <w:name w:val="List Table 2 - Accent 1"/>
    <w:basedOn w:val="689"/>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01" w:customStyle="1">
    <w:name w:val="List Table 2 - Accent 2"/>
    <w:basedOn w:val="689"/>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02" w:customStyle="1">
    <w:name w:val="List Table 2 - Accent 3"/>
    <w:basedOn w:val="689"/>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03" w:customStyle="1">
    <w:name w:val="List Table 2 - Accent 4"/>
    <w:basedOn w:val="689"/>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04" w:customStyle="1">
    <w:name w:val="List Table 2 - Accent 5"/>
    <w:basedOn w:val="689"/>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05" w:customStyle="1">
    <w:name w:val="List Table 2 - Accent 6"/>
    <w:basedOn w:val="689"/>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06" w:customStyle="1">
    <w:name w:val="List Table 3"/>
    <w:basedOn w:val="68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7" w:customStyle="1">
    <w:name w:val="List Table 3 - Accent 1"/>
    <w:basedOn w:val="689"/>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08" w:customStyle="1">
    <w:name w:val="List Table 3 - Accent 2"/>
    <w:basedOn w:val="689"/>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09" w:customStyle="1">
    <w:name w:val="List Table 3 - Accent 3"/>
    <w:basedOn w:val="689"/>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10" w:customStyle="1">
    <w:name w:val="List Table 3 - Accent 4"/>
    <w:basedOn w:val="689"/>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11" w:customStyle="1">
    <w:name w:val="List Table 3 - Accent 5"/>
    <w:basedOn w:val="689"/>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12" w:customStyle="1">
    <w:name w:val="List Table 3 - Accent 6"/>
    <w:basedOn w:val="689"/>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13" w:customStyle="1">
    <w:name w:val="List Table 4"/>
    <w:basedOn w:val="68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4" w:customStyle="1">
    <w:name w:val="List Table 4 - Accent 1"/>
    <w:basedOn w:val="689"/>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15" w:customStyle="1">
    <w:name w:val="List Table 4 - Accent 2"/>
    <w:basedOn w:val="689"/>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16" w:customStyle="1">
    <w:name w:val="List Table 4 - Accent 3"/>
    <w:basedOn w:val="689"/>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17" w:customStyle="1">
    <w:name w:val="List Table 4 - Accent 4"/>
    <w:basedOn w:val="689"/>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18" w:customStyle="1">
    <w:name w:val="List Table 4 - Accent 5"/>
    <w:basedOn w:val="689"/>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19" w:customStyle="1">
    <w:name w:val="List Table 4 - Accent 6"/>
    <w:basedOn w:val="689"/>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20" w:customStyle="1">
    <w:name w:val="List Table 5 Dark"/>
    <w:basedOn w:val="68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1" w:customStyle="1">
    <w:name w:val="List Table 5 Dark - Accent 1"/>
    <w:basedOn w:val="689"/>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2" w:customStyle="1">
    <w:name w:val="List Table 5 Dark - Accent 2"/>
    <w:basedOn w:val="689"/>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3" w:customStyle="1">
    <w:name w:val="List Table 5 Dark - Accent 3"/>
    <w:basedOn w:val="689"/>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4" w:customStyle="1">
    <w:name w:val="List Table 5 Dark - Accent 4"/>
    <w:basedOn w:val="689"/>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5" w:customStyle="1">
    <w:name w:val="List Table 5 Dark - Accent 5"/>
    <w:basedOn w:val="689"/>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6" w:customStyle="1">
    <w:name w:val="List Table 5 Dark - Accent 6"/>
    <w:basedOn w:val="689"/>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7" w:customStyle="1">
    <w:name w:val="List Table 6 Colorful"/>
    <w:basedOn w:val="68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8" w:customStyle="1">
    <w:name w:val="List Table 6 Colorful - Accent 1"/>
    <w:basedOn w:val="689"/>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29" w:customStyle="1">
    <w:name w:val="List Table 6 Colorful - Accent 2"/>
    <w:basedOn w:val="689"/>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30" w:customStyle="1">
    <w:name w:val="List Table 6 Colorful - Accent 3"/>
    <w:basedOn w:val="689"/>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31" w:customStyle="1">
    <w:name w:val="List Table 6 Colorful - Accent 4"/>
    <w:basedOn w:val="689"/>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32" w:customStyle="1">
    <w:name w:val="List Table 6 Colorful - Accent 5"/>
    <w:basedOn w:val="689"/>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33" w:customStyle="1">
    <w:name w:val="List Table 6 Colorful - Accent 6"/>
    <w:basedOn w:val="689"/>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34" w:customStyle="1">
    <w:name w:val="List Table 7 Colorful"/>
    <w:basedOn w:val="68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5" w:customStyle="1">
    <w:name w:val="List Table 7 Colorful - Accent 1"/>
    <w:basedOn w:val="689"/>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36" w:customStyle="1">
    <w:name w:val="List Table 7 Colorful - Accent 2"/>
    <w:basedOn w:val="689"/>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37" w:customStyle="1">
    <w:name w:val="List Table 7 Colorful - Accent 3"/>
    <w:basedOn w:val="689"/>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38" w:customStyle="1">
    <w:name w:val="List Table 7 Colorful - Accent 4"/>
    <w:basedOn w:val="689"/>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39" w:customStyle="1">
    <w:name w:val="List Table 7 Colorful - Accent 5"/>
    <w:basedOn w:val="689"/>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40" w:customStyle="1">
    <w:name w:val="List Table 7 Colorful - Accent 6"/>
    <w:basedOn w:val="689"/>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41" w:customStyle="1">
    <w:name w:val="Lined - Accent"/>
    <w:basedOn w:val="68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2" w:customStyle="1">
    <w:name w:val="Lined - Accent 1"/>
    <w:basedOn w:val="68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43" w:customStyle="1">
    <w:name w:val="Lined - Accent 2"/>
    <w:basedOn w:val="68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44" w:customStyle="1">
    <w:name w:val="Lined - Accent 3"/>
    <w:basedOn w:val="68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45" w:customStyle="1">
    <w:name w:val="Lined - Accent 4"/>
    <w:basedOn w:val="68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46" w:customStyle="1">
    <w:name w:val="Lined - Accent 5"/>
    <w:basedOn w:val="68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47" w:customStyle="1">
    <w:name w:val="Lined - Accent 6"/>
    <w:basedOn w:val="68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48" w:customStyle="1">
    <w:name w:val="Bordered &amp; Lined - Accent"/>
    <w:basedOn w:val="689"/>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9" w:customStyle="1">
    <w:name w:val="Bordered &amp; Lined - Accent 1"/>
    <w:basedOn w:val="689"/>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50" w:customStyle="1">
    <w:name w:val="Bordered &amp; Lined - Accent 2"/>
    <w:basedOn w:val="689"/>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51" w:customStyle="1">
    <w:name w:val="Bordered &amp; Lined - Accent 3"/>
    <w:basedOn w:val="689"/>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52" w:customStyle="1">
    <w:name w:val="Bordered &amp; Lined - Accent 4"/>
    <w:basedOn w:val="689"/>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53" w:customStyle="1">
    <w:name w:val="Bordered &amp; Lined - Accent 5"/>
    <w:basedOn w:val="689"/>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54" w:customStyle="1">
    <w:name w:val="Bordered &amp; Lined - Accent 6"/>
    <w:basedOn w:val="689"/>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55" w:customStyle="1">
    <w:name w:val="Bordered"/>
    <w:basedOn w:val="689"/>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56" w:customStyle="1">
    <w:name w:val="Bordered - Accent 1"/>
    <w:basedOn w:val="689"/>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57" w:customStyle="1">
    <w:name w:val="Bordered - Accent 2"/>
    <w:basedOn w:val="689"/>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58" w:customStyle="1">
    <w:name w:val="Bordered - Accent 3"/>
    <w:basedOn w:val="689"/>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59" w:customStyle="1">
    <w:name w:val="Bordered - Accent 4"/>
    <w:basedOn w:val="689"/>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60" w:customStyle="1">
    <w:name w:val="Bordered - Accent 5"/>
    <w:basedOn w:val="689"/>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61" w:customStyle="1">
    <w:name w:val="Bordered - Accent 6"/>
    <w:basedOn w:val="689"/>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62" w:customStyle="1">
    <w:name w:val="Footnote Text Char"/>
    <w:link w:val="705"/>
    <w:uiPriority w:val="99"/>
    <w:qFormat/>
    <w:rPr>
      <w:sz w:val="18"/>
    </w:rPr>
  </w:style>
  <w:style w:type="character" w:styleId="863" w:customStyle="1">
    <w:name w:val="Endnote Text Char"/>
    <w:link w:val="699"/>
    <w:uiPriority w:val="99"/>
    <w:qFormat/>
    <w:rPr>
      <w:sz w:val="20"/>
    </w:rPr>
  </w:style>
  <w:style w:type="paragraph" w:styleId="864" w:customStyle="1">
    <w:name w:val="TOC Heading"/>
    <w:uiPriority w:val="39"/>
    <w:unhideWhenUsed/>
    <w:qFormat/>
    <w:rPr>
      <w:rFonts w:hint="default" w:ascii="Times New Roman" w:hAnsi="Times New Roman" w:eastAsia="宋体" w:cs="Times New Roman"/>
    </w:rPr>
  </w:style>
  <w:style w:type="paragraph" w:styleId="865" w:customStyle="1">
    <w:name w:val="Default"/>
    <w:basedOn w:val="678"/>
    <w:uiPriority w:val="0"/>
    <w:semiHidden/>
    <w:qFormat/>
    <w:pPr>
      <w:jc w:val="left"/>
    </w:pPr>
    <w:rPr>
      <w:rFonts w:ascii="宋体" w:hAnsi="Calibri" w:cs="宋体"/>
      <w:color w:val="000000"/>
      <w:sz w:val="24"/>
    </w:rPr>
  </w:style>
  <w:style w:type="character" w:styleId="866" w:customStyle="1">
    <w:name w:val="页眉 Char"/>
    <w:basedOn w:val="688"/>
    <w:link w:val="701"/>
    <w:uiPriority w:val="0"/>
    <w:qFormat/>
    <w:rPr>
      <w:rFonts w:asciiTheme="minorHAnsi" w:hAnsiTheme="minorHAnsi" w:eastAsiaTheme="minorEastAsia" w:cstheme="minorBidi"/>
      <w:sz w:val="18"/>
      <w:szCs w:val="18"/>
    </w:rPr>
  </w:style>
  <w:style w:type="character" w:styleId="867" w:customStyle="1">
    <w:name w:val="页脚 Char"/>
    <w:basedOn w:val="688"/>
    <w:link w:val="700"/>
    <w:uiPriority w:val="0"/>
    <w:qFormat/>
    <w:rPr>
      <w:rFonts w:asciiTheme="minorHAnsi" w:hAnsiTheme="minorHAnsi" w:eastAsiaTheme="minorEastAsia" w:cstheme="minorBidi"/>
      <w:sz w:val="18"/>
      <w:szCs w:val="18"/>
    </w:rPr>
  </w:style>
  <w:style w:type="paragraph" w:styleId="868" w:customStyle="1">
    <w:name w:val="普通正文"/>
    <w:basedOn w:val="678"/>
    <w:uiPriority w:val="0"/>
    <w:qFormat/>
    <w:pPr>
      <w:ind w:firstLine="480"/>
      <w:jc w:val="left"/>
      <w:spacing w:before="120" w:after="120" w:line="360" w:lineRule="auto"/>
    </w:pPr>
    <w:rPr>
      <w:rFonts w:ascii="Arial" w:hAnsi="Arial" w:eastAsia="等线" w:cs="Arial"/>
      <w:sz w:val="24"/>
      <w:szCs w:val="24"/>
    </w:rPr>
  </w:style>
  <w:style w:type="paragraph" w:styleId="869" w:customStyle="1">
    <w:name w:val="正文首行缩进 21"/>
    <w:basedOn w:val="870"/>
    <w:uiPriority w:val="0"/>
    <w:qFormat/>
    <w:pPr>
      <w:ind w:firstLine="420"/>
    </w:pPr>
  </w:style>
  <w:style w:type="paragraph" w:styleId="870" w:customStyle="1">
    <w:name w:val="正文文本缩进1"/>
    <w:basedOn w:val="678"/>
    <w:uiPriority w:val="0"/>
    <w:qFormat/>
    <w:pPr>
      <w:ind w:left="420"/>
      <w:spacing w:after="120"/>
    </w:pPr>
  </w:style>
  <w:style w:type="paragraph" w:styleId="871" w:customStyle="1">
    <w:name w:val="副标题1"/>
    <w:basedOn w:val="704"/>
    <w:uiPriority w:val="0"/>
    <w:qFormat/>
    <w:pPr>
      <w:jc w:val="left"/>
      <w:spacing w:before="60" w:line="460" w:lineRule="exact"/>
    </w:pPr>
    <w:rPr>
      <w:rFonts w:ascii="宋体" w:hAnsi="宋体" w:cs="Times New Roman"/>
      <w:sz w:val="21"/>
      <w:szCs w:val="21"/>
    </w:rPr>
  </w:style>
  <w:style w:type="character" w:styleId="872" w:customStyle="1">
    <w:name w:val="NormalCharacter1"/>
    <w:link w:val="678"/>
    <w:uiPriority w:val="0"/>
    <w:semiHidden/>
    <w:qFormat/>
    <w:rPr>
      <w:rFonts w:hint="default" w:asciiTheme="minorHAnsi" w:hAnsiTheme="minorHAnsi" w:eastAsiaTheme="minorEastAsia" w:cstheme="minorBidi"/>
      <w:sz w:val="21"/>
      <w:szCs w:val="24"/>
      <w:lang w:val="en-US" w:eastAsia="zh-CN" w:bidi="ar-SA"/>
    </w:rPr>
  </w:style>
  <w:style w:type="paragraph" w:styleId="873" w:customStyle="1">
    <w:name w:val="正文1"/>
    <w:basedOn w:val="874"/>
    <w:uiPriority w:val="0"/>
    <w:qFormat/>
    <w:pPr>
      <w:ind w:firstLine="420"/>
      <w:spacing w:line="400" w:lineRule="exact"/>
    </w:pPr>
    <w:rPr>
      <w:rFonts w:ascii="宋体" w:hAnsi="宋体"/>
      <w:szCs w:val="21"/>
    </w:rPr>
  </w:style>
  <w:style w:type="paragraph" w:styleId="874" w:customStyle="1">
    <w:name w:val="正文11"/>
    <w:next w:val="875"/>
    <w:uiPriority w:val="0"/>
    <w:qFormat/>
    <w:pPr>
      <w:jc w:val="both"/>
      <w:spacing w:line="856" w:lineRule="atLeast"/>
    </w:pPr>
    <w:rPr>
      <w:rFonts w:hint="default" w:ascii="Times New Roman" w:hAnsi="Times New Roman" w:eastAsia="宋体" w:cs="Times New Roman"/>
      <w:color w:val="000000"/>
      <w:sz w:val="21"/>
      <w:lang w:val="en-US" w:eastAsia="zh-CN" w:bidi="ar-SA"/>
    </w:rPr>
  </w:style>
  <w:style w:type="paragraph" w:styleId="875" w:customStyle="1">
    <w:name w:val="文本块1"/>
    <w:basedOn w:val="876"/>
    <w:uiPriority w:val="0"/>
    <w:qFormat/>
    <w:pPr>
      <w:ind w:left="256" w:right="6" w:firstLine="624"/>
    </w:pPr>
    <w:rPr>
      <w:rFonts w:ascii="Times New Roman" w:hAnsi="Times New Roman" w:eastAsia="仿宋"/>
      <w:sz w:val="28"/>
      <w:szCs w:val="20"/>
    </w:rPr>
  </w:style>
  <w:style w:type="paragraph" w:styleId="876" w:customStyle="1">
    <w:name w:val="正文111"/>
    <w:next w:val="875"/>
    <w:uiPriority w:val="0"/>
    <w:qFormat/>
    <w:pPr>
      <w:jc w:val="both"/>
      <w:widowControl w:val="off"/>
    </w:pPr>
    <w:rPr>
      <w:rFonts w:hint="default" w:ascii="Times New Roman" w:hAnsi="Times New Roman" w:eastAsia="宋体" w:cs="Times New Roman"/>
      <w:sz w:val="21"/>
      <w:szCs w:val="24"/>
    </w:rPr>
  </w:style>
  <w:style w:type="character" w:styleId="877" w:customStyle="1">
    <w:name w:val="NormalCharacter"/>
    <w:uiPriority w:val="0"/>
    <w:qFormat/>
  </w:style>
  <w:style w:type="numbering" w:styleId="87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吴竹慧</cp:lastModifiedBy>
  <cp:revision>281</cp:revision>
  <dcterms:created xsi:type="dcterms:W3CDTF">2014-10-29T12:08:00Z</dcterms:created>
  <dcterms:modified xsi:type="dcterms:W3CDTF">2026-09-17T06:59:35Z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AD55CC6BB18147ADA7D9F3F2A1B75795_13</vt:lpwstr>
  </property>
  <property fmtid="{D5CDD505-2E9C-101B-9397-08002B2CF9AE}" pid="4" name="KSOTemplateDocerSaveRecord">
    <vt:lpwstr>eyJoZGlkIjoiN2ZkN2U0NTE2ZWZjNGNkOGYwMTY5ODIwZjEyYjUxNGMiLCJ1c2VySWQiOiIzMzkzMDc1NjQifQ==</vt:lpwstr>
  </property>
</Properties>
</file>